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widowControl/>
        <w:adjustRightInd w:val="0"/>
        <w:snapToGrid w:val="0"/>
        <w:spacing w:line="360" w:lineRule="auto"/>
        <w:rPr>
          <w:rFonts w:ascii="黑体" w:eastAsia="黑体"/>
          <w:bCs/>
          <w:color w:val="000000" w:themeColor="text1"/>
          <w:sz w:val="32"/>
          <w:highlight w:val="none"/>
          <w14:textFill>
            <w14:solidFill>
              <w14:schemeClr w14:val="tx1"/>
            </w14:solidFill>
          </w14:textFill>
        </w:rPr>
      </w:pPr>
      <w:bookmarkStart w:id="0" w:name="_Toc491658631"/>
    </w:p>
    <w:p>
      <w:pPr>
        <w:pStyle w:val="24"/>
        <w:widowControl/>
        <w:adjustRightInd w:val="0"/>
        <w:snapToGrid w:val="0"/>
        <w:spacing w:line="360" w:lineRule="auto"/>
        <w:rPr>
          <w:rFonts w:ascii="黑体" w:eastAsia="黑体"/>
          <w:bCs/>
          <w:color w:val="000000" w:themeColor="text1"/>
          <w:sz w:val="32"/>
          <w:highlight w:val="none"/>
          <w14:textFill>
            <w14:solidFill>
              <w14:schemeClr w14:val="tx1"/>
            </w14:solidFill>
          </w14:textFill>
        </w:rPr>
      </w:pPr>
    </w:p>
    <w:p>
      <w:pPr>
        <w:pStyle w:val="24"/>
        <w:widowControl/>
        <w:adjustRightInd w:val="0"/>
        <w:snapToGrid w:val="0"/>
        <w:spacing w:line="360" w:lineRule="auto"/>
        <w:jc w:val="left"/>
        <w:rPr>
          <w:rFonts w:ascii="黑体" w:eastAsia="黑体"/>
          <w:bCs/>
          <w:color w:val="000000" w:themeColor="text1"/>
          <w:sz w:val="32"/>
          <w:highlight w:val="none"/>
          <w14:textFill>
            <w14:solidFill>
              <w14:schemeClr w14:val="tx1"/>
            </w14:solidFill>
          </w14:textFill>
        </w:rPr>
      </w:pPr>
      <w:r>
        <w:rPr>
          <w:rFonts w:hint="eastAsia" w:ascii="黑体" w:eastAsia="黑体"/>
          <w:bCs/>
          <w:color w:val="000000" w:themeColor="text1"/>
          <w:sz w:val="32"/>
          <w:highlight w:val="none"/>
          <w:lang w:eastAsia="zh-CN"/>
          <w14:textFill>
            <w14:solidFill>
              <w14:schemeClr w14:val="tx1"/>
            </w14:solidFill>
          </w14:textFill>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6"/>
                    <a:stretch>
                      <a:fillRect/>
                    </a:stretch>
                  </pic:blipFill>
                  <pic:spPr>
                    <a:xfrm>
                      <a:off x="0" y="0"/>
                      <a:ext cx="2265680" cy="400685"/>
                    </a:xfrm>
                    <a:prstGeom prst="rect">
                      <a:avLst/>
                    </a:prstGeom>
                  </pic:spPr>
                </pic:pic>
              </a:graphicData>
            </a:graphic>
          </wp:inline>
        </w:drawing>
      </w:r>
    </w:p>
    <w:p>
      <w:pPr>
        <w:pStyle w:val="24"/>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p>
      <w:pPr>
        <w:pStyle w:val="24"/>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r>
        <w:rPr>
          <w:rFonts w:hint="eastAsia" w:ascii="黑体" w:eastAsia="黑体"/>
          <w:bCs/>
          <w:color w:val="000000" w:themeColor="text1"/>
          <w:sz w:val="52"/>
          <w:szCs w:val="52"/>
          <w:highlight w:val="none"/>
          <w14:textFill>
            <w14:solidFill>
              <w14:schemeClr w14:val="tx1"/>
            </w14:solidFill>
          </w14:textFill>
        </w:rPr>
        <w:t>公开招标</w:t>
      </w:r>
    </w:p>
    <w:p>
      <w:pPr>
        <w:pStyle w:val="24"/>
        <w:widowControl/>
        <w:adjustRightInd w:val="0"/>
        <w:snapToGrid w:val="0"/>
        <w:spacing w:line="360" w:lineRule="auto"/>
        <w:jc w:val="center"/>
        <w:rPr>
          <w:rFonts w:ascii="黑体" w:eastAsia="黑体"/>
          <w:bCs/>
          <w:color w:val="000000" w:themeColor="text1"/>
          <w:sz w:val="72"/>
          <w:szCs w:val="72"/>
          <w:highlight w:val="none"/>
          <w14:textFill>
            <w14:solidFill>
              <w14:schemeClr w14:val="tx1"/>
            </w14:solidFill>
          </w14:textFill>
        </w:rPr>
      </w:pPr>
    </w:p>
    <w:p>
      <w:pPr>
        <w:pStyle w:val="24"/>
        <w:widowControl/>
        <w:adjustRightInd w:val="0"/>
        <w:snapToGrid w:val="0"/>
        <w:spacing w:line="360" w:lineRule="auto"/>
        <w:jc w:val="center"/>
        <w:rPr>
          <w:rFonts w:ascii="黑体" w:eastAsia="黑体"/>
          <w:bCs/>
          <w:color w:val="000000" w:themeColor="text1"/>
          <w:sz w:val="36"/>
          <w:highlight w:val="none"/>
          <w14:textFill>
            <w14:solidFill>
              <w14:schemeClr w14:val="tx1"/>
            </w14:solidFill>
          </w14:textFill>
        </w:rPr>
      </w:pPr>
      <w:r>
        <w:rPr>
          <w:rFonts w:hint="eastAsia" w:ascii="黑体" w:eastAsia="黑体"/>
          <w:bCs/>
          <w:color w:val="000000" w:themeColor="text1"/>
          <w:sz w:val="72"/>
          <w:highlight w:val="none"/>
          <w14:textFill>
            <w14:solidFill>
              <w14:schemeClr w14:val="tx1"/>
            </w14:solidFill>
          </w14:textFill>
        </w:rPr>
        <w:t>招  标  文  件</w:t>
      </w:r>
    </w:p>
    <w:p>
      <w:pPr>
        <w:pStyle w:val="24"/>
        <w:widowControl/>
        <w:adjustRightInd w:val="0"/>
        <w:snapToGrid w:val="0"/>
        <w:spacing w:line="360" w:lineRule="auto"/>
        <w:jc w:val="center"/>
        <w:rPr>
          <w:rFonts w:ascii="黑体" w:hAnsi="黑体" w:eastAsia="黑体"/>
          <w:bCs/>
          <w:color w:val="000000" w:themeColor="text1"/>
          <w:sz w:val="24"/>
          <w:szCs w:val="24"/>
          <w:highlight w:val="none"/>
          <w:bdr w:val="single" w:color="auto" w:sz="4" w:space="0"/>
          <w14:textFill>
            <w14:solidFill>
              <w14:schemeClr w14:val="tx1"/>
            </w14:solidFill>
          </w14:textFill>
        </w:rPr>
      </w:pPr>
    </w:p>
    <w:p>
      <w:pPr>
        <w:pStyle w:val="24"/>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p>
      <w:pPr>
        <w:pStyle w:val="24"/>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p>
      <w:pPr>
        <w:pStyle w:val="24"/>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tbl>
      <w:tblPr>
        <w:tblStyle w:val="46"/>
        <w:tblW w:w="8453" w:type="dxa"/>
        <w:jc w:val="center"/>
        <w:tblLayout w:type="fixed"/>
        <w:tblCellMar>
          <w:top w:w="0" w:type="dxa"/>
          <w:left w:w="108" w:type="dxa"/>
          <w:bottom w:w="0" w:type="dxa"/>
          <w:right w:w="108" w:type="dxa"/>
        </w:tblCellMar>
      </w:tblPr>
      <w:tblGrid>
        <w:gridCol w:w="1951"/>
        <w:gridCol w:w="284"/>
        <w:gridCol w:w="6218"/>
      </w:tblGrid>
      <w:tr>
        <w:tblPrEx>
          <w:tblCellMar>
            <w:top w:w="0" w:type="dxa"/>
            <w:left w:w="108" w:type="dxa"/>
            <w:bottom w:w="0" w:type="dxa"/>
            <w:right w:w="108" w:type="dxa"/>
          </w:tblCellMar>
        </w:tblPrEx>
        <w:trPr>
          <w:trHeight w:val="77" w:hRule="atLeast"/>
          <w:jc w:val="center"/>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项目编号</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218" w:type="dxa"/>
            <w:vAlign w:val="center"/>
          </w:tcPr>
          <w:p>
            <w:pPr>
              <w:pStyle w:val="24"/>
              <w:widowControl/>
              <w:adjustRightInd w:val="0"/>
              <w:snapToGrid w:val="0"/>
              <w:spacing w:line="360" w:lineRule="auto"/>
              <w:jc w:val="left"/>
              <w:rPr>
                <w:rFonts w:hint="eastAsia" w:hAnsi="宋体" w:eastAsia="宋体"/>
                <w:b/>
                <w:color w:val="000000" w:themeColor="text1"/>
                <w:sz w:val="28"/>
                <w:szCs w:val="28"/>
                <w:highlight w:val="none"/>
                <w:lang w:eastAsia="zh-CN"/>
                <w14:textFill>
                  <w14:solidFill>
                    <w14:schemeClr w14:val="tx1"/>
                  </w14:solidFill>
                </w14:textFill>
              </w:rPr>
            </w:pPr>
            <w:r>
              <w:rPr>
                <w:rFonts w:hint="eastAsia" w:hAnsi="宋体"/>
                <w:b/>
                <w:color w:val="000000" w:themeColor="text1"/>
                <w:sz w:val="28"/>
                <w:szCs w:val="28"/>
                <w:highlight w:val="none"/>
                <w:lang w:eastAsia="zh-CN"/>
                <w14:textFill>
                  <w14:solidFill>
                    <w14:schemeClr w14:val="tx1"/>
                  </w14:solidFill>
                </w14:textFill>
              </w:rPr>
              <w:t>YXZB-20240417</w:t>
            </w:r>
          </w:p>
        </w:tc>
      </w:tr>
      <w:tr>
        <w:tblPrEx>
          <w:tblCellMar>
            <w:top w:w="0" w:type="dxa"/>
            <w:left w:w="108" w:type="dxa"/>
            <w:bottom w:w="0" w:type="dxa"/>
            <w:right w:w="108" w:type="dxa"/>
          </w:tblCellMar>
        </w:tblPrEx>
        <w:trPr>
          <w:trHeight w:val="77" w:hRule="atLeast"/>
          <w:jc w:val="center"/>
        </w:trPr>
        <w:tc>
          <w:tcPr>
            <w:tcW w:w="1951" w:type="dxa"/>
          </w:tcPr>
          <w:p>
            <w:pPr>
              <w:pStyle w:val="24"/>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项目名称</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218" w:type="dxa"/>
            <w:vAlign w:val="center"/>
          </w:tcPr>
          <w:p>
            <w:pPr>
              <w:pStyle w:val="24"/>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阳江市海陵岛经济开发试验区财政局2024-2027年度统发工资代理银行采购项目</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采购人</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218" w:type="dxa"/>
            <w:vAlign w:val="center"/>
          </w:tcPr>
          <w:p>
            <w:pPr>
              <w:pStyle w:val="24"/>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阳江市海陵岛经济开发试验区财政局</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采购代理机构</w:t>
            </w:r>
          </w:p>
        </w:tc>
        <w:tc>
          <w:tcPr>
            <w:tcW w:w="284" w:type="dxa"/>
          </w:tcPr>
          <w:p>
            <w:pPr>
              <w:pStyle w:val="24"/>
              <w:widowControl/>
              <w:adjustRightInd w:val="0"/>
              <w:snapToGrid w:val="0"/>
              <w:spacing w:line="360" w:lineRule="auto"/>
              <w:jc w:val="left"/>
              <w:rPr>
                <w:rFonts w:hAnsi="宋体"/>
                <w:b/>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w:t>
            </w:r>
          </w:p>
        </w:tc>
        <w:tc>
          <w:tcPr>
            <w:tcW w:w="6218" w:type="dxa"/>
            <w:vAlign w:val="center"/>
          </w:tcPr>
          <w:p>
            <w:pPr>
              <w:pStyle w:val="24"/>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广东业信招标有限公司</w:t>
            </w:r>
          </w:p>
        </w:tc>
      </w:tr>
    </w:tbl>
    <w:p>
      <w:pPr>
        <w:pStyle w:val="24"/>
        <w:widowControl/>
        <w:adjustRightInd w:val="0"/>
        <w:snapToGrid w:val="0"/>
        <w:spacing w:line="360" w:lineRule="auto"/>
        <w:jc w:val="center"/>
        <w:rPr>
          <w:rFonts w:hint="eastAsia" w:ascii="黑体" w:eastAsia="黑体"/>
          <w:bCs/>
          <w:color w:val="000000" w:themeColor="text1"/>
          <w:sz w:val="24"/>
          <w:highlight w:val="none"/>
          <w14:textFill>
            <w14:solidFill>
              <w14:schemeClr w14:val="tx1"/>
            </w14:solidFill>
          </w14:textFill>
        </w:rPr>
      </w:pPr>
    </w:p>
    <w:p>
      <w:pPr>
        <w:pStyle w:val="24"/>
        <w:widowControl/>
        <w:adjustRightInd w:val="0"/>
        <w:snapToGrid w:val="0"/>
        <w:spacing w:line="360" w:lineRule="auto"/>
        <w:jc w:val="center"/>
        <w:rPr>
          <w:rFonts w:hint="eastAsia" w:ascii="宋体" w:hAnsi="宋体"/>
          <w:b/>
          <w:color w:val="000000" w:themeColor="text1"/>
          <w:sz w:val="36"/>
          <w:highlight w:val="none"/>
          <w14:textFill>
            <w14:solidFill>
              <w14:schemeClr w14:val="tx1"/>
            </w14:solidFill>
          </w14:textFill>
        </w:rPr>
      </w:pPr>
      <w:r>
        <w:rPr>
          <w:rFonts w:hint="eastAsia" w:ascii="黑体" w:eastAsia="黑体"/>
          <w:bCs/>
          <w:color w:val="000000" w:themeColor="text1"/>
          <w:sz w:val="24"/>
          <w:highlight w:val="none"/>
          <w14:textFill>
            <w14:solidFill>
              <w14:schemeClr w14:val="tx1"/>
            </w14:solidFill>
          </w14:textFill>
        </w:rPr>
        <w:t>二○</w:t>
      </w:r>
      <w:r>
        <w:rPr>
          <w:rFonts w:hint="eastAsia" w:ascii="黑体" w:eastAsia="黑体"/>
          <w:bCs/>
          <w:color w:val="000000" w:themeColor="text1"/>
          <w:sz w:val="24"/>
          <w:highlight w:val="none"/>
          <w:lang w:val="en-US" w:eastAsia="zh-CN"/>
          <w14:textFill>
            <w14:solidFill>
              <w14:schemeClr w14:val="tx1"/>
            </w14:solidFill>
          </w14:textFill>
        </w:rPr>
        <w:t>二四</w:t>
      </w:r>
      <w:r>
        <w:rPr>
          <w:rFonts w:hint="eastAsia" w:ascii="黑体" w:eastAsia="黑体"/>
          <w:bCs/>
          <w:color w:val="000000" w:themeColor="text1"/>
          <w:sz w:val="24"/>
          <w:highlight w:val="none"/>
          <w14:textFill>
            <w14:solidFill>
              <w14:schemeClr w14:val="tx1"/>
            </w14:solidFill>
          </w14:textFill>
        </w:rPr>
        <w:t>年</w:t>
      </w:r>
      <w:r>
        <w:rPr>
          <w:rFonts w:hint="eastAsia" w:ascii="黑体" w:eastAsia="黑体"/>
          <w:bCs/>
          <w:color w:val="000000" w:themeColor="text1"/>
          <w:sz w:val="24"/>
          <w:highlight w:val="none"/>
          <w:lang w:val="en-US" w:eastAsia="zh-CN"/>
          <w14:textFill>
            <w14:solidFill>
              <w14:schemeClr w14:val="tx1"/>
            </w14:solidFill>
          </w14:textFill>
        </w:rPr>
        <w:t>四</w:t>
      </w:r>
      <w:r>
        <w:rPr>
          <w:rFonts w:hint="eastAsia" w:ascii="黑体" w:eastAsia="黑体"/>
          <w:bCs/>
          <w:color w:val="000000" w:themeColor="text1"/>
          <w:sz w:val="24"/>
          <w:highlight w:val="none"/>
          <w14:textFill>
            <w14:solidFill>
              <w14:schemeClr w14:val="tx1"/>
            </w14:solidFill>
          </w14:textFill>
        </w:rPr>
        <w:t>月</w:t>
      </w:r>
    </w:p>
    <w:p>
      <w:pPr>
        <w:spacing w:beforeLines="50" w:afterLines="50" w:line="360" w:lineRule="atLeast"/>
        <w:jc w:val="center"/>
        <w:rPr>
          <w:rFonts w:ascii="宋体" w:hAnsi="宋体"/>
          <w:b/>
          <w:color w:val="000000" w:themeColor="text1"/>
          <w:sz w:val="36"/>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温馨提示：特别注意事项</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请供应商特别留意招标文件上注明的投标截止和开标时间，逾期送达或邮寄送达的投标文件</w:t>
      </w:r>
      <w:r>
        <w:rPr>
          <w:rFonts w:hint="eastAsia" w:ascii="宋体" w:hAnsi="宋体"/>
          <w:color w:val="000000" w:themeColor="text1"/>
          <w:szCs w:val="21"/>
          <w:highlight w:val="none"/>
          <w14:textFill>
            <w14:solidFill>
              <w14:schemeClr w14:val="tx1"/>
            </w14:solidFill>
          </w14:textFill>
        </w:rPr>
        <w:t>，招标采购单位</w:t>
      </w:r>
      <w:r>
        <w:rPr>
          <w:rFonts w:ascii="宋体" w:hAnsi="宋体"/>
          <w:color w:val="000000" w:themeColor="text1"/>
          <w:szCs w:val="21"/>
          <w:highlight w:val="none"/>
          <w14:textFill>
            <w14:solidFill>
              <w14:schemeClr w14:val="tx1"/>
            </w14:solidFill>
          </w14:textFill>
        </w:rPr>
        <w:t>恕不接收。因此，请供应商适当提前到达</w:t>
      </w:r>
      <w:r>
        <w:rPr>
          <w:rFonts w:hint="eastAsia" w:ascii="宋体" w:hAnsi="宋体"/>
          <w:color w:val="000000" w:themeColor="text1"/>
          <w:szCs w:val="21"/>
          <w:highlight w:val="none"/>
          <w14:textFill>
            <w14:solidFill>
              <w14:schemeClr w14:val="tx1"/>
            </w14:solidFill>
          </w14:textFill>
        </w:rPr>
        <w:t>开标</w:t>
      </w:r>
      <w:r>
        <w:rPr>
          <w:rFonts w:ascii="宋体" w:hAnsi="宋体"/>
          <w:color w:val="000000" w:themeColor="text1"/>
          <w:szCs w:val="21"/>
          <w:highlight w:val="none"/>
          <w14:textFill>
            <w14:solidFill>
              <w14:schemeClr w14:val="tx1"/>
            </w14:solidFill>
          </w14:textFill>
        </w:rPr>
        <w:t>会议室。</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b/>
          <w:color w:val="000000" w:themeColor="text1"/>
          <w:szCs w:val="21"/>
          <w:highlight w:val="none"/>
          <w:u w:val="single"/>
          <w14:textFill>
            <w14:solidFill>
              <w14:schemeClr w14:val="tx1"/>
            </w14:solidFill>
          </w14:textFill>
        </w:rPr>
        <w:t>招标文件中标有“★”的</w:t>
      </w:r>
      <w:r>
        <w:rPr>
          <w:rFonts w:hint="eastAsia" w:ascii="宋体" w:hAnsi="宋体"/>
          <w:b/>
          <w:color w:val="000000" w:themeColor="text1"/>
          <w:szCs w:val="21"/>
          <w:highlight w:val="none"/>
          <w:u w:val="single"/>
          <w14:textFill>
            <w14:solidFill>
              <w14:schemeClr w14:val="tx1"/>
            </w14:solidFill>
          </w14:textFill>
        </w:rPr>
        <w:t>条款</w:t>
      </w:r>
      <w:r>
        <w:rPr>
          <w:rFonts w:ascii="宋体" w:hAnsi="宋体"/>
          <w:b/>
          <w:color w:val="000000" w:themeColor="text1"/>
          <w:szCs w:val="21"/>
          <w:highlight w:val="none"/>
          <w:u w:val="singl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供应商</w:t>
      </w:r>
      <w:r>
        <w:rPr>
          <w:rFonts w:ascii="宋体" w:hAnsi="宋体"/>
          <w:b/>
          <w:color w:val="000000" w:themeColor="text1"/>
          <w:szCs w:val="21"/>
          <w:highlight w:val="none"/>
          <w:u w:val="single"/>
          <w14:textFill>
            <w14:solidFill>
              <w14:schemeClr w14:val="tx1"/>
            </w14:solidFill>
          </w14:textFill>
        </w:rPr>
        <w:t>必须一一响应</w:t>
      </w:r>
      <w:r>
        <w:rPr>
          <w:rFonts w:ascii="宋体" w:hAnsi="宋体"/>
          <w:color w:val="000000" w:themeColor="text1"/>
          <w:szCs w:val="21"/>
          <w:highlight w:val="none"/>
          <w14:textFill>
            <w14:solidFill>
              <w14:schemeClr w14:val="tx1"/>
            </w14:solidFill>
          </w14:textFill>
        </w:rPr>
        <w:t>。</w:t>
      </w:r>
      <w:r>
        <w:rPr>
          <w:rFonts w:ascii="宋体" w:hAnsi="宋体"/>
          <w:b/>
          <w:color w:val="000000" w:themeColor="text1"/>
          <w:szCs w:val="21"/>
          <w:highlight w:val="none"/>
          <w:u w:val="single"/>
          <w14:textFill>
            <w14:solidFill>
              <w14:schemeClr w14:val="tx1"/>
            </w14:solidFill>
          </w14:textFill>
        </w:rPr>
        <w:t>若有一项带“★”的指标要求未响应或不满足，</w:t>
      </w:r>
      <w:r>
        <w:rPr>
          <w:rFonts w:hint="eastAsia" w:ascii="宋体" w:hAnsi="宋体"/>
          <w:b/>
          <w:color w:val="000000" w:themeColor="text1"/>
          <w:szCs w:val="21"/>
          <w:highlight w:val="none"/>
          <w:u w:val="single"/>
          <w14:textFill>
            <w14:solidFill>
              <w14:schemeClr w14:val="tx1"/>
            </w14:solidFill>
          </w14:textFill>
        </w:rPr>
        <w:t>其投标</w:t>
      </w:r>
      <w:r>
        <w:rPr>
          <w:rFonts w:ascii="宋体" w:hAnsi="宋体"/>
          <w:b/>
          <w:color w:val="000000" w:themeColor="text1"/>
          <w:szCs w:val="21"/>
          <w:highlight w:val="none"/>
          <w:u w:val="single"/>
          <w14:textFill>
            <w14:solidFill>
              <w14:schemeClr w14:val="tx1"/>
            </w14:solidFill>
          </w14:textFill>
        </w:rPr>
        <w:t>将按无效投标处理。</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请正确填写《开标一览表》，</w:t>
      </w:r>
      <w:r>
        <w:rPr>
          <w:rFonts w:hint="eastAsia" w:ascii="宋体" w:hAnsi="宋体"/>
          <w:color w:val="000000" w:themeColor="text1"/>
          <w:szCs w:val="21"/>
          <w:highlight w:val="none"/>
          <w14:textFill>
            <w14:solidFill>
              <w14:schemeClr w14:val="tx1"/>
            </w14:solidFill>
          </w14:textFill>
        </w:rPr>
        <w:t>如</w:t>
      </w:r>
      <w:r>
        <w:rPr>
          <w:rFonts w:ascii="宋体" w:hAnsi="宋体"/>
          <w:color w:val="000000" w:themeColor="text1"/>
          <w:szCs w:val="21"/>
          <w:highlight w:val="none"/>
          <w14:textFill>
            <w14:solidFill>
              <w14:schemeClr w14:val="tx1"/>
            </w14:solidFill>
          </w14:textFill>
        </w:rPr>
        <w:t>含有</w:t>
      </w:r>
      <w:r>
        <w:rPr>
          <w:rFonts w:hint="eastAsia" w:ascii="宋体" w:hAnsi="宋体"/>
          <w:color w:val="000000" w:themeColor="text1"/>
          <w:szCs w:val="21"/>
          <w:highlight w:val="none"/>
          <w14:textFill>
            <w14:solidFill>
              <w14:schemeClr w14:val="tx1"/>
            </w14:solidFill>
          </w14:textFill>
        </w:rPr>
        <w:t>包组</w:t>
      </w:r>
      <w:r>
        <w:rPr>
          <w:rFonts w:ascii="宋体" w:hAnsi="宋体"/>
          <w:color w:val="000000" w:themeColor="text1"/>
          <w:szCs w:val="21"/>
          <w:highlight w:val="none"/>
          <w14:textFill>
            <w14:solidFill>
              <w14:schemeClr w14:val="tx1"/>
            </w14:solidFill>
          </w14:textFill>
        </w:rPr>
        <w:t>的投标项目</w:t>
      </w:r>
      <w:r>
        <w:rPr>
          <w:rFonts w:hint="eastAsia" w:ascii="宋体" w:hAnsi="宋体"/>
          <w:color w:val="000000" w:themeColor="text1"/>
          <w:szCs w:val="21"/>
          <w:highlight w:val="none"/>
          <w14:textFill>
            <w14:solidFill>
              <w14:schemeClr w14:val="tx1"/>
            </w14:solidFill>
          </w14:textFill>
        </w:rPr>
        <w:t>建议</w:t>
      </w:r>
      <w:r>
        <w:rPr>
          <w:rFonts w:ascii="宋体" w:hAnsi="宋体"/>
          <w:color w:val="000000" w:themeColor="text1"/>
          <w:szCs w:val="21"/>
          <w:highlight w:val="none"/>
          <w14:textFill>
            <w14:solidFill>
              <w14:schemeClr w14:val="tx1"/>
            </w14:solidFill>
          </w14:textFill>
        </w:rPr>
        <w:t>分开报价，</w:t>
      </w:r>
      <w:r>
        <w:rPr>
          <w:rFonts w:hint="eastAsia" w:ascii="宋体" w:hAnsi="宋体"/>
          <w:color w:val="000000" w:themeColor="text1"/>
          <w:szCs w:val="21"/>
          <w:highlight w:val="none"/>
          <w14:textFill>
            <w14:solidFill>
              <w14:schemeClr w14:val="tx1"/>
            </w14:solidFill>
          </w14:textFill>
        </w:rPr>
        <w:t>报价要求详见招标文件《开标一览表》</w:t>
      </w:r>
      <w:r>
        <w:rPr>
          <w:rFonts w:ascii="宋体" w:hAnsi="宋体"/>
          <w:color w:val="000000" w:themeColor="text1"/>
          <w:szCs w:val="21"/>
          <w:highlight w:val="none"/>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请仔细检查《投标函》、《开标一览表》、</w:t>
      </w:r>
      <w:r>
        <w:rPr>
          <w:rFonts w:hint="eastAsia" w:ascii="宋体" w:hAnsi="宋体"/>
          <w:color w:val="000000" w:themeColor="text1"/>
          <w:szCs w:val="21"/>
          <w:highlight w:val="none"/>
          <w14:textFill>
            <w14:solidFill>
              <w14:schemeClr w14:val="tx1"/>
            </w14:solidFill>
          </w14:textFill>
        </w:rPr>
        <w:t>《法定代表人（负责人）证明书》、</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法定代表人（负责人）</w:t>
      </w:r>
      <w:r>
        <w:rPr>
          <w:rFonts w:ascii="宋体" w:hAnsi="宋体"/>
          <w:color w:val="000000" w:themeColor="text1"/>
          <w:szCs w:val="21"/>
          <w:highlight w:val="none"/>
          <w14:textFill>
            <w14:solidFill>
              <w14:schemeClr w14:val="tx1"/>
            </w14:solidFill>
          </w14:textFill>
        </w:rPr>
        <w:t>授权书》等重要格式文件是否有按要求盖公章或签名</w:t>
      </w:r>
      <w:r>
        <w:rPr>
          <w:rFonts w:hint="eastAsia" w:ascii="宋体" w:hAnsi="宋体" w:cs="Tahoma"/>
          <w:b/>
          <w:bCs/>
          <w:color w:val="000000" w:themeColor="text1"/>
          <w:szCs w:val="21"/>
          <w:highlight w:val="none"/>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建议将投标文件按</w:t>
      </w:r>
      <w:r>
        <w:rPr>
          <w:rFonts w:hint="eastAsia" w:ascii="宋体" w:hAnsi="宋体"/>
          <w:color w:val="000000" w:themeColor="text1"/>
          <w:szCs w:val="21"/>
          <w:highlight w:val="none"/>
          <w14:textFill>
            <w14:solidFill>
              <w14:schemeClr w14:val="tx1"/>
            </w14:solidFill>
          </w14:textFill>
        </w:rPr>
        <w:t>目录格式</w:t>
      </w:r>
      <w:r>
        <w:rPr>
          <w:rFonts w:ascii="宋体" w:hAnsi="宋体"/>
          <w:color w:val="000000" w:themeColor="text1"/>
          <w:szCs w:val="21"/>
          <w:highlight w:val="none"/>
          <w14:textFill>
            <w14:solidFill>
              <w14:schemeClr w14:val="tx1"/>
            </w14:solidFill>
          </w14:textFill>
        </w:rPr>
        <w:t>顺序编制页码。</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投标人请注意区分投标保证金及招标代理服务费收款</w:t>
      </w:r>
      <w:r>
        <w:rPr>
          <w:rFonts w:hint="eastAsia" w:ascii="宋体" w:hAnsi="宋体"/>
          <w:b/>
          <w:color w:val="000000" w:themeColor="text1"/>
          <w:highlight w:val="none"/>
          <w14:textFill>
            <w14:solidFill>
              <w14:schemeClr w14:val="tx1"/>
            </w14:solidFill>
          </w14:textFill>
        </w:rPr>
        <w:t>账号</w:t>
      </w:r>
      <w:r>
        <w:rPr>
          <w:rFonts w:hint="eastAsia" w:ascii="宋体" w:hAnsi="宋体"/>
          <w:b/>
          <w:color w:val="000000" w:themeColor="text1"/>
          <w:szCs w:val="21"/>
          <w:highlight w:val="none"/>
          <w14:textFill>
            <w14:solidFill>
              <w14:schemeClr w14:val="tx1"/>
            </w14:solidFill>
          </w14:textFill>
        </w:rPr>
        <w:t>的区别</w:t>
      </w:r>
      <w:r>
        <w:rPr>
          <w:rFonts w:hint="eastAsia" w:ascii="宋体" w:hAnsi="宋体"/>
          <w:color w:val="000000" w:themeColor="text1"/>
          <w:szCs w:val="21"/>
          <w:highlight w:val="none"/>
          <w14:textFill>
            <w14:solidFill>
              <w14:schemeClr w14:val="tx1"/>
            </w14:solidFill>
          </w14:textFill>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000000" w:themeColor="text1"/>
          <w:szCs w:val="21"/>
          <w:highlight w:val="none"/>
          <w:lang w:val="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我司</w:t>
      </w:r>
      <w:r>
        <w:rPr>
          <w:rFonts w:ascii="宋体" w:hAnsi="宋体"/>
          <w:color w:val="000000" w:themeColor="text1"/>
          <w:szCs w:val="21"/>
          <w:highlight w:val="none"/>
          <w14:textFill>
            <w14:solidFill>
              <w14:schemeClr w14:val="tx1"/>
            </w14:solidFill>
          </w14:textFill>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14:textFill>
            <w14:solidFill>
              <w14:schemeClr w14:val="tx1"/>
            </w14:solidFill>
          </w14:textFill>
        </w:rPr>
        <w:t>不同</w:t>
      </w:r>
      <w:r>
        <w:rPr>
          <w:rFonts w:ascii="宋体" w:hAnsi="宋体"/>
          <w:color w:val="000000" w:themeColor="text1"/>
          <w:szCs w:val="21"/>
          <w:highlight w:val="none"/>
          <w14:textFill>
            <w14:solidFill>
              <w14:schemeClr w14:val="tx1"/>
            </w14:solidFill>
          </w14:textFill>
        </w:rPr>
        <w:t>投标</w:t>
      </w:r>
      <w:r>
        <w:rPr>
          <w:rFonts w:hint="eastAsia" w:ascii="宋体" w:hAnsi="宋体"/>
          <w:color w:val="000000" w:themeColor="text1"/>
          <w:szCs w:val="21"/>
          <w:highlight w:val="none"/>
          <w14:textFill>
            <w14:solidFill>
              <w14:schemeClr w14:val="tx1"/>
            </w14:solidFill>
          </w14:textFill>
        </w:rPr>
        <w:t>方案</w:t>
      </w:r>
      <w:r>
        <w:rPr>
          <w:rFonts w:ascii="宋体" w:hAnsi="宋体"/>
          <w:color w:val="000000" w:themeColor="text1"/>
          <w:szCs w:val="21"/>
          <w:highlight w:val="none"/>
          <w14:textFill>
            <w14:solidFill>
              <w14:schemeClr w14:val="tx1"/>
            </w14:solidFill>
          </w14:textFill>
        </w:rPr>
        <w:t>的，</w:t>
      </w:r>
      <w:r>
        <w:rPr>
          <w:rFonts w:hint="eastAsia" w:ascii="宋体" w:hAnsi="宋体"/>
          <w:color w:val="000000" w:themeColor="text1"/>
          <w:szCs w:val="21"/>
          <w:highlight w:val="none"/>
          <w14:textFill>
            <w14:solidFill>
              <w14:schemeClr w14:val="tx1"/>
            </w14:solidFill>
          </w14:textFill>
        </w:rPr>
        <w:t>评标委员会</w:t>
      </w:r>
      <w:r>
        <w:rPr>
          <w:rFonts w:ascii="宋体" w:hAnsi="宋体"/>
          <w:color w:val="000000" w:themeColor="text1"/>
          <w:szCs w:val="21"/>
          <w:highlight w:val="none"/>
          <w14:textFill>
            <w14:solidFill>
              <w14:schemeClr w14:val="tx1"/>
            </w14:solidFill>
          </w14:textFill>
        </w:rPr>
        <w:t>将</w:t>
      </w:r>
      <w:r>
        <w:rPr>
          <w:rFonts w:hint="eastAsia" w:ascii="宋体" w:hAnsi="宋体"/>
          <w:color w:val="000000" w:themeColor="text1"/>
          <w:szCs w:val="21"/>
          <w:highlight w:val="none"/>
          <w14:textFill>
            <w14:solidFill>
              <w14:schemeClr w14:val="tx1"/>
            </w14:solidFill>
          </w14:textFill>
        </w:rPr>
        <w:t>对其投标</w:t>
      </w:r>
      <w:r>
        <w:rPr>
          <w:rFonts w:ascii="宋体" w:hAnsi="宋体"/>
          <w:color w:val="000000" w:themeColor="text1"/>
          <w:szCs w:val="21"/>
          <w:highlight w:val="none"/>
          <w14:textFill>
            <w14:solidFill>
              <w14:schemeClr w14:val="tx1"/>
            </w14:solidFill>
          </w14:textFill>
        </w:rPr>
        <w:t>按无效投标处理</w:t>
      </w:r>
      <w:r>
        <w:rPr>
          <w:rFonts w:hint="eastAsia" w:ascii="宋体" w:hAnsi="宋体"/>
          <w:color w:val="000000" w:themeColor="text1"/>
          <w:szCs w:val="21"/>
          <w:highlight w:val="none"/>
          <w14:textFill>
            <w14:solidFill>
              <w14:schemeClr w14:val="tx1"/>
            </w14:solidFill>
          </w14:textFill>
        </w:rPr>
        <w:t>（如有特殊要求的除外）。</w:t>
      </w:r>
    </w:p>
    <w:p>
      <w:pPr>
        <w:pStyle w:val="24"/>
        <w:widowControl/>
        <w:adjustRightInd w:val="0"/>
        <w:snapToGrid w:val="0"/>
        <w:spacing w:line="440" w:lineRule="exact"/>
        <w:ind w:firstLine="413" w:firstLineChars="196"/>
        <w:rPr>
          <w:rFonts w:ascii="黑体" w:eastAsia="黑体"/>
          <w:bCs/>
          <w:color w:val="000000" w:themeColor="text1"/>
          <w:sz w:val="30"/>
          <w:szCs w:val="30"/>
          <w:highlight w:val="none"/>
          <w14:textFill>
            <w14:solidFill>
              <w14:schemeClr w14:val="tx1"/>
            </w14:solidFill>
          </w14:textFill>
        </w:rPr>
      </w:pPr>
      <w:r>
        <w:rPr>
          <w:rFonts w:hint="eastAsia" w:hAnsi="宋体" w:cs="仿宋_GB2312"/>
          <w:b/>
          <w:bCs/>
          <w:color w:val="000000" w:themeColor="text1"/>
          <w:highlight w:val="none"/>
          <w:lang w:val="zh-CN"/>
          <w14:textFill>
            <w14:solidFill>
              <w14:schemeClr w14:val="tx1"/>
            </w14:solidFill>
          </w14:textFill>
        </w:rPr>
        <w:t>（本提示内容非招标文件的组成部分，仅为善意提醒。如有不一致，以招标文件为准）</w:t>
      </w:r>
    </w:p>
    <w:p>
      <w:pPr>
        <w:pStyle w:val="24"/>
        <w:widowControl/>
        <w:adjustRightInd w:val="0"/>
        <w:snapToGrid w:val="0"/>
        <w:spacing w:line="360" w:lineRule="auto"/>
        <w:jc w:val="center"/>
        <w:rPr>
          <w:rFonts w:ascii="黑体" w:eastAsia="黑体"/>
          <w:bCs/>
          <w:color w:val="000000" w:themeColor="text1"/>
          <w:sz w:val="30"/>
          <w:szCs w:val="30"/>
          <w:highlight w:val="none"/>
          <w14:textFill>
            <w14:solidFill>
              <w14:schemeClr w14:val="tx1"/>
            </w14:solidFill>
          </w14:textFill>
        </w:rPr>
        <w:sectPr>
          <w:headerReference r:id="rId3" w:type="default"/>
          <w:footerReference r:id="rId4" w:type="default"/>
          <w:footerReference r:id="rId5" w:type="even"/>
          <w:type w:val="continuous"/>
          <w:pgSz w:w="11907" w:h="16840"/>
          <w:pgMar w:top="1417" w:right="1474" w:bottom="1417" w:left="1474" w:header="851" w:footer="850" w:gutter="0"/>
          <w:cols w:space="0" w:num="1"/>
          <w:titlePg/>
          <w:docGrid w:linePitch="380" w:charSpace="0"/>
        </w:sect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ab/>
      </w:r>
      <w:r>
        <w:rPr>
          <w:rFonts w:ascii="宋体" w:hAnsi="宋体"/>
          <w:bCs/>
          <w:color w:val="000000" w:themeColor="text1"/>
          <w:szCs w:val="21"/>
          <w:highlight w:val="none"/>
          <w14:textFill>
            <w14:solidFill>
              <w14:schemeClr w14:val="tx1"/>
            </w14:solidFill>
          </w14:textFill>
        </w:rPr>
        <w:tab/>
      </w: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pStyle w:val="3"/>
        <w:rPr>
          <w:color w:val="000000" w:themeColor="text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r>
        <w:rPr>
          <w:rFonts w:hint="eastAsia" w:ascii="宋体" w:hAnsi="宋体"/>
          <w:b/>
          <w:bCs/>
          <w:color w:val="000000" w:themeColor="text1"/>
          <w:sz w:val="32"/>
          <w:szCs w:val="32"/>
          <w:highlight w:val="none"/>
          <w14:textFill>
            <w14:solidFill>
              <w14:schemeClr w14:val="tx1"/>
            </w14:solidFill>
          </w14:textFill>
        </w:rPr>
        <w:t>目   录</w:t>
      </w:r>
    </w:p>
    <w:p>
      <w:pPr>
        <w:pStyle w:val="4"/>
        <w:numPr>
          <w:ilvl w:val="0"/>
          <w:numId w:val="0"/>
        </w:numPr>
        <w:spacing w:beforeLines="0" w:line="240" w:lineRule="auto"/>
        <w:rPr>
          <w:color w:val="000000" w:themeColor="text1"/>
          <w:highlight w:val="none"/>
          <w14:textFill>
            <w14:solidFill>
              <w14:schemeClr w14:val="tx1"/>
            </w14:solidFill>
          </w14:textFill>
        </w:rPr>
      </w:pPr>
    </w:p>
    <w:p>
      <w:pPr>
        <w:pStyle w:val="31"/>
        <w:tabs>
          <w:tab w:val="right" w:leader="dot" w:pos="8959"/>
          <w:tab w:val="clear" w:pos="8949"/>
        </w:tabs>
        <w:rPr>
          <w:color w:val="000000" w:themeColor="text1"/>
          <w:highlight w:val="none"/>
          <w14:textFill>
            <w14:solidFill>
              <w14:schemeClr w14:val="tx1"/>
            </w14:solidFill>
          </w14:textFill>
        </w:rPr>
      </w:pPr>
      <w:r>
        <w:rPr>
          <w:b w:val="0"/>
          <w:bCs w:val="0"/>
          <w:caps w:val="0"/>
          <w:color w:val="000000" w:themeColor="text1"/>
          <w:highlight w:val="none"/>
          <w14:textFill>
            <w14:solidFill>
              <w14:schemeClr w14:val="tx1"/>
            </w14:solidFill>
          </w14:textFill>
        </w:rPr>
        <w:fldChar w:fldCharType="begin"/>
      </w:r>
      <w:r>
        <w:rPr>
          <w:b w:val="0"/>
          <w:bCs w:val="0"/>
          <w:caps w:val="0"/>
          <w:color w:val="000000" w:themeColor="text1"/>
          <w:highlight w:val="none"/>
          <w14:textFill>
            <w14:solidFill>
              <w14:schemeClr w14:val="tx1"/>
            </w14:solidFill>
          </w14:textFill>
        </w:rPr>
        <w:instrText xml:space="preserve"> TOC \o "1-3" \h \z \u </w:instrText>
      </w:r>
      <w:r>
        <w:rPr>
          <w:b w:val="0"/>
          <w:bCs w:val="0"/>
          <w:caps w:val="0"/>
          <w:color w:val="000000" w:themeColor="text1"/>
          <w:highlight w:val="none"/>
          <w14:textFill>
            <w14:solidFill>
              <w14:schemeClr w14:val="tx1"/>
            </w14:solidFill>
          </w14:textFill>
        </w:rPr>
        <w:fldChar w:fldCharType="separate"/>
      </w:r>
      <w:r>
        <w:rPr>
          <w:bCs w:val="0"/>
          <w:caps w:val="0"/>
          <w:color w:val="000000" w:themeColor="text1"/>
          <w:highlight w:val="none"/>
          <w14:textFill>
            <w14:solidFill>
              <w14:schemeClr w14:val="tx1"/>
            </w14:solidFill>
          </w14:textFill>
        </w:rPr>
        <w:fldChar w:fldCharType="begin"/>
      </w:r>
      <w:r>
        <w:rPr>
          <w:bCs w:val="0"/>
          <w:caps w:val="0"/>
          <w:color w:val="000000" w:themeColor="text1"/>
          <w:highlight w:val="none"/>
          <w14:textFill>
            <w14:solidFill>
              <w14:schemeClr w14:val="tx1"/>
            </w14:solidFill>
          </w14:textFill>
        </w:rPr>
        <w:instrText xml:space="preserve"> HYPERLINK \l _Toc32503 </w:instrText>
      </w:r>
      <w:r>
        <w:rPr>
          <w:bCs w:val="0"/>
          <w:caps w:val="0"/>
          <w:color w:val="000000" w:themeColor="text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第一部分 投标邀请函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_Toc32503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fldChar w:fldCharType="end"/>
      </w:r>
      <w:r>
        <w:rPr>
          <w:bCs w:val="0"/>
          <w:caps w:val="0"/>
          <w:color w:val="000000" w:themeColor="text1"/>
          <w:highlight w:val="none"/>
          <w14:textFill>
            <w14:solidFill>
              <w14:schemeClr w14:val="tx1"/>
            </w14:solidFill>
          </w14:textFill>
        </w:rPr>
        <w:fldChar w:fldCharType="end"/>
      </w:r>
    </w:p>
    <w:p>
      <w:pPr>
        <w:pStyle w:val="31"/>
        <w:tabs>
          <w:tab w:val="right" w:leader="dot" w:pos="8959"/>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_Toc24424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第二部分 采购项目内容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_Toc24424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_Toc20467 </w:instrText>
      </w:r>
      <w:r>
        <w:rPr>
          <w:bCs/>
          <w:caps/>
          <w:color w:val="000000" w:themeColor="text1"/>
          <w:szCs w:val="21"/>
          <w:highlight w:val="none"/>
          <w14:textFill>
            <w14:solidFill>
              <w14:schemeClr w14:val="tx1"/>
            </w14:solidFill>
          </w14:textFill>
        </w:rPr>
        <w:fldChar w:fldCharType="separate"/>
      </w:r>
      <w:r>
        <w:rPr>
          <w:color w:val="000000" w:themeColor="text1"/>
          <w:kern w:val="0"/>
          <w:highlight w:val="none"/>
          <w14:textFill>
            <w14:solidFill>
              <w14:schemeClr w14:val="tx1"/>
            </w14:solidFill>
          </w14:textFill>
        </w:rPr>
        <w:t xml:space="preserve">A  </w:t>
      </w:r>
      <w:r>
        <w:rPr>
          <w:rFonts w:hint="eastAsia"/>
          <w:color w:val="000000" w:themeColor="text1"/>
          <w:kern w:val="0"/>
          <w:highlight w:val="none"/>
          <w14:textFill>
            <w14:solidFill>
              <w14:schemeClr w14:val="tx1"/>
            </w14:solidFill>
          </w14:textFill>
        </w:rPr>
        <w:t>商务要求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_Toc20467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_Toc25258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kern w:val="0"/>
          <w:highlight w:val="none"/>
          <w14:textFill>
            <w14:solidFill>
              <w14:schemeClr w14:val="tx1"/>
            </w14:solidFill>
          </w14:textFill>
        </w:rPr>
        <w:t>B  技术要求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_Toc25258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1"/>
        <w:tabs>
          <w:tab w:val="right" w:leader="dot" w:pos="8959"/>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_Toc28593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第三部分 投标人须知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_Toc28593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_Toc25224 </w:instrText>
      </w:r>
      <w:r>
        <w:rPr>
          <w:bCs/>
          <w:caps/>
          <w:color w:val="000000" w:themeColor="text1"/>
          <w:szCs w:val="21"/>
          <w:highlight w:val="none"/>
          <w14:textFill>
            <w14:solidFill>
              <w14:schemeClr w14:val="tx1"/>
            </w14:solidFill>
          </w14:textFill>
        </w:rPr>
        <w:fldChar w:fldCharType="separate"/>
      </w:r>
      <w:r>
        <w:rPr>
          <w:rFonts w:hint="eastAsia"/>
          <w:color w:val="000000" w:themeColor="text1"/>
          <w:szCs w:val="21"/>
          <w:highlight w:val="none"/>
          <w14:textFill>
            <w14:solidFill>
              <w14:schemeClr w14:val="tx1"/>
            </w14:solidFill>
          </w14:textFill>
        </w:rPr>
        <w:t>投标人须知前附表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_Toc25224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_Toc16364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Ａ说明</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_Toc16364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_Toc15096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 </w:t>
      </w:r>
      <w:r>
        <w:rPr>
          <w:rFonts w:hint="eastAsia"/>
          <w:color w:val="000000" w:themeColor="text1"/>
          <w:highlight w:val="none"/>
          <w14:textFill>
            <w14:solidFill>
              <w14:schemeClr w14:val="tx1"/>
            </w14:solidFill>
          </w14:textFill>
        </w:rPr>
        <w:t>适用范围和资金来源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_Toc15096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_Toc12639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 </w:t>
      </w:r>
      <w:r>
        <w:rPr>
          <w:rFonts w:hint="eastAsia"/>
          <w:color w:val="000000" w:themeColor="text1"/>
          <w:highlight w:val="none"/>
          <w14:textFill>
            <w14:solidFill>
              <w14:schemeClr w14:val="tx1"/>
            </w14:solidFill>
          </w14:textFill>
        </w:rPr>
        <w:t>定义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_Toc12639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_Toc29684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 </w:t>
      </w:r>
      <w:r>
        <w:rPr>
          <w:rFonts w:hint="eastAsia"/>
          <w:color w:val="000000" w:themeColor="text1"/>
          <w:highlight w:val="none"/>
          <w14:textFill>
            <w14:solidFill>
              <w14:schemeClr w14:val="tx1"/>
            </w14:solidFill>
          </w14:textFill>
        </w:rPr>
        <w:t>合格的投标人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_Toc29684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_Toc25988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4 </w:t>
      </w:r>
      <w:r>
        <w:rPr>
          <w:rFonts w:hint="eastAsia"/>
          <w:color w:val="000000" w:themeColor="text1"/>
          <w:highlight w:val="none"/>
          <w14:textFill>
            <w14:solidFill>
              <w14:schemeClr w14:val="tx1"/>
            </w14:solidFill>
          </w14:textFill>
        </w:rPr>
        <w:t>投标费用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_Toc25988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_Toc9431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Ｂ招标文件说明</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_Toc9431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_Toc11014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5 </w:t>
      </w:r>
      <w:r>
        <w:rPr>
          <w:rFonts w:hint="eastAsia"/>
          <w:color w:val="000000" w:themeColor="text1"/>
          <w:highlight w:val="none"/>
          <w14:textFill>
            <w14:solidFill>
              <w14:schemeClr w14:val="tx1"/>
            </w14:solidFill>
          </w14:textFill>
        </w:rPr>
        <w:t>招标文件的构成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_Toc11014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_Toc2926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6 </w:t>
      </w:r>
      <w:r>
        <w:rPr>
          <w:rFonts w:hint="eastAsia"/>
          <w:color w:val="000000" w:themeColor="text1"/>
          <w:highlight w:val="none"/>
          <w14:textFill>
            <w14:solidFill>
              <w14:schemeClr w14:val="tx1"/>
            </w14:solidFill>
          </w14:textFill>
        </w:rPr>
        <w:t>招标文件的澄清、修改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_Toc2926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_Toc4873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Ｃ投标文件的编制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_Toc4873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_Toc15538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7 </w:t>
      </w:r>
      <w:r>
        <w:rPr>
          <w:rFonts w:hint="eastAsia"/>
          <w:color w:val="000000" w:themeColor="text1"/>
          <w:highlight w:val="none"/>
          <w14:textFill>
            <w14:solidFill>
              <w14:schemeClr w14:val="tx1"/>
            </w14:solidFill>
          </w14:textFill>
        </w:rPr>
        <w:t>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_Toc15538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_Toc3448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8 </w:t>
      </w:r>
      <w:r>
        <w:rPr>
          <w:rFonts w:hint="eastAsia"/>
          <w:color w:val="000000" w:themeColor="text1"/>
          <w:highlight w:val="none"/>
          <w14:textFill>
            <w14:solidFill>
              <w14:schemeClr w14:val="tx1"/>
            </w14:solidFill>
          </w14:textFill>
        </w:rPr>
        <w:t>投标语言及计量单位</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_Toc3448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_Toc17490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9 </w:t>
      </w:r>
      <w:r>
        <w:rPr>
          <w:rFonts w:hint="eastAsia"/>
          <w:color w:val="000000" w:themeColor="text1"/>
          <w:highlight w:val="none"/>
          <w14:textFill>
            <w14:solidFill>
              <w14:schemeClr w14:val="tx1"/>
            </w14:solidFill>
          </w14:textFill>
        </w:rPr>
        <w:t>投标文件的构成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_Toc17490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_Toc11509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10 </w:t>
      </w:r>
      <w:r>
        <w:rPr>
          <w:rFonts w:hint="eastAsia"/>
          <w:color w:val="000000" w:themeColor="text1"/>
          <w:highlight w:val="none"/>
          <w14:textFill>
            <w14:solidFill>
              <w14:schemeClr w14:val="tx1"/>
            </w14:solidFill>
          </w14:textFill>
        </w:rPr>
        <w:t>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_Toc11509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_Toc29032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11 </w:t>
      </w:r>
      <w:r>
        <w:rPr>
          <w:rFonts w:hint="eastAsia"/>
          <w:color w:val="000000" w:themeColor="text1"/>
          <w:highlight w:val="none"/>
          <w14:textFill>
            <w14:solidFill>
              <w14:schemeClr w14:val="tx1"/>
            </w14:solidFill>
          </w14:textFill>
        </w:rPr>
        <w:t>资格证明文件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_Toc29032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_Toc30501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12 </w:t>
      </w:r>
      <w:r>
        <w:rPr>
          <w:rFonts w:hint="eastAsia"/>
          <w:color w:val="000000" w:themeColor="text1"/>
          <w:highlight w:val="none"/>
          <w14:textFill>
            <w14:solidFill>
              <w14:schemeClr w14:val="tx1"/>
            </w14:solidFill>
          </w14:textFill>
        </w:rPr>
        <w:t>货物和服务的证明文件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_Toc30501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_Toc16923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13 </w:t>
      </w:r>
      <w:r>
        <w:rPr>
          <w:rFonts w:hint="eastAsia"/>
          <w:color w:val="000000" w:themeColor="text1"/>
          <w:highlight w:val="none"/>
          <w14:textFill>
            <w14:solidFill>
              <w14:schemeClr w14:val="tx1"/>
            </w14:solidFill>
          </w14:textFill>
        </w:rPr>
        <w:t>投标报价与投标货币</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_Toc16923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_Toc3174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14 </w:t>
      </w:r>
      <w:r>
        <w:rPr>
          <w:rFonts w:hint="eastAsia"/>
          <w:color w:val="000000" w:themeColor="text1"/>
          <w:highlight w:val="none"/>
          <w14:textFill>
            <w14:solidFill>
              <w14:schemeClr w14:val="tx1"/>
            </w14:solidFill>
          </w14:textFill>
        </w:rPr>
        <w:t>投标保证金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_Toc3174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_Toc11506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15 </w:t>
      </w:r>
      <w:r>
        <w:rPr>
          <w:rFonts w:hint="eastAsia"/>
          <w:color w:val="000000" w:themeColor="text1"/>
          <w:highlight w:val="none"/>
          <w14:textFill>
            <w14:solidFill>
              <w14:schemeClr w14:val="tx1"/>
            </w14:solidFill>
          </w14:textFill>
        </w:rPr>
        <w:t>投标有效期</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_Toc11506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_Toc2612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16 </w:t>
      </w:r>
      <w:r>
        <w:rPr>
          <w:rFonts w:hint="eastAsia"/>
          <w:color w:val="000000" w:themeColor="text1"/>
          <w:highlight w:val="none"/>
          <w14:textFill>
            <w14:solidFill>
              <w14:schemeClr w14:val="tx1"/>
            </w14:solidFill>
          </w14:textFill>
        </w:rPr>
        <w:t>投标文件的签署及规定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_Toc2612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_Toc15912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Ｄ投标文件的递交</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_Toc15912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_Toc26062 </w:instrText>
      </w:r>
      <w:r>
        <w:rPr>
          <w:bCs/>
          <w:caps/>
          <w:color w:val="000000" w:themeColor="text1"/>
          <w:szCs w:val="21"/>
          <w:highlight w:val="none"/>
          <w14:textFill>
            <w14:solidFill>
              <w14:schemeClr w14:val="tx1"/>
            </w14:solidFill>
          </w14:textFill>
        </w:rPr>
        <w:fldChar w:fldCharType="separate"/>
      </w:r>
      <w:r>
        <w:rPr>
          <w:rFonts w:hint="default" w:ascii="宋体" w:hAnsi="宋体"/>
          <w:color w:val="000000" w:themeColor="text1"/>
          <w:highlight w:val="none"/>
          <w14:textFill>
            <w14:solidFill>
              <w14:schemeClr w14:val="tx1"/>
            </w14:solidFill>
          </w14:textFill>
        </w:rPr>
        <w:t xml:space="preserve">17 </w:t>
      </w:r>
      <w:r>
        <w:rPr>
          <w:rFonts w:hint="eastAsia"/>
          <w:color w:val="000000" w:themeColor="text1"/>
          <w:highlight w:val="none"/>
          <w14:textFill>
            <w14:solidFill>
              <w14:schemeClr w14:val="tx1"/>
            </w14:solidFill>
          </w14:textFill>
        </w:rPr>
        <w:t>投标文件的密封和标记</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_Toc26062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_Toc28742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18 </w:t>
      </w:r>
      <w:r>
        <w:rPr>
          <w:rFonts w:hint="eastAsia"/>
          <w:color w:val="000000" w:themeColor="text1"/>
          <w:highlight w:val="none"/>
          <w14:textFill>
            <w14:solidFill>
              <w14:schemeClr w14:val="tx1"/>
            </w14:solidFill>
          </w14:textFill>
        </w:rPr>
        <w:t>递交投标文件的时间、地点及截止时间</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_Toc28742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_Toc10451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19 </w:t>
      </w:r>
      <w:r>
        <w:rPr>
          <w:rFonts w:hint="eastAsia"/>
          <w:color w:val="000000" w:themeColor="text1"/>
          <w:highlight w:val="none"/>
          <w14:textFill>
            <w14:solidFill>
              <w14:schemeClr w14:val="tx1"/>
            </w14:solidFill>
          </w14:textFill>
        </w:rPr>
        <w:t>迟交的投标文件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_Toc10451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_Toc8897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20 </w:t>
      </w:r>
      <w:r>
        <w:rPr>
          <w:rFonts w:hint="eastAsia"/>
          <w:color w:val="000000" w:themeColor="text1"/>
          <w:highlight w:val="none"/>
          <w14:textFill>
            <w14:solidFill>
              <w14:schemeClr w14:val="tx1"/>
            </w14:solidFill>
          </w14:textFill>
        </w:rPr>
        <w:t>投标文件的修改和撤回</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_Toc8897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_Toc2028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Ｅ开标和评标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_Toc2028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_Toc26235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21 </w:t>
      </w:r>
      <w:r>
        <w:rPr>
          <w:rFonts w:hint="eastAsia"/>
          <w:color w:val="000000" w:themeColor="text1"/>
          <w:highlight w:val="none"/>
          <w14:textFill>
            <w14:solidFill>
              <w14:schemeClr w14:val="tx1"/>
            </w14:solidFill>
          </w14:textFill>
        </w:rPr>
        <w:t>开标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_Toc26235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_Toc19403 </w:instrText>
      </w:r>
      <w:r>
        <w:rPr>
          <w:bCs/>
          <w:caps/>
          <w:color w:val="000000" w:themeColor="text1"/>
          <w:szCs w:val="21"/>
          <w:highlight w:val="none"/>
          <w14:textFill>
            <w14:solidFill>
              <w14:schemeClr w14:val="tx1"/>
            </w14:solidFill>
          </w14:textFill>
        </w:rPr>
        <w:fldChar w:fldCharType="separate"/>
      </w:r>
      <w:r>
        <w:rPr>
          <w:rFonts w:hint="default" w:ascii="宋体" w:hAnsi="宋体"/>
          <w:color w:val="000000" w:themeColor="text1"/>
          <w:highlight w:val="none"/>
          <w14:textFill>
            <w14:solidFill>
              <w14:schemeClr w14:val="tx1"/>
            </w14:solidFill>
          </w14:textFill>
        </w:rPr>
        <w:t xml:space="preserve">22 </w:t>
      </w:r>
      <w:r>
        <w:rPr>
          <w:rFonts w:hint="eastAsia"/>
          <w:color w:val="000000" w:themeColor="text1"/>
          <w:highlight w:val="none"/>
          <w14:textFill>
            <w14:solidFill>
              <w14:schemeClr w14:val="tx1"/>
            </w14:solidFill>
          </w14:textFill>
        </w:rPr>
        <w:t>评标委员会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_Toc19403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_Toc22357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23 </w:t>
      </w:r>
      <w:r>
        <w:rPr>
          <w:rFonts w:hint="eastAsia"/>
          <w:color w:val="000000" w:themeColor="text1"/>
          <w:highlight w:val="none"/>
          <w14:textFill>
            <w14:solidFill>
              <w14:schemeClr w14:val="tx1"/>
            </w14:solidFill>
          </w14:textFill>
        </w:rPr>
        <w:t>对投标文件的初审和响应性的确定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_Toc22357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_Toc1787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24 </w:t>
      </w:r>
      <w:r>
        <w:rPr>
          <w:rFonts w:hint="eastAsia"/>
          <w:color w:val="000000" w:themeColor="text1"/>
          <w:highlight w:val="none"/>
          <w14:textFill>
            <w14:solidFill>
              <w14:schemeClr w14:val="tx1"/>
            </w14:solidFill>
          </w14:textFill>
        </w:rPr>
        <w:t>投标报价的审核</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_Toc1787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_Toc13101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25 </w:t>
      </w:r>
      <w:r>
        <w:rPr>
          <w:rFonts w:hint="eastAsia"/>
          <w:color w:val="000000" w:themeColor="text1"/>
          <w:highlight w:val="none"/>
          <w14:textFill>
            <w14:solidFill>
              <w14:schemeClr w14:val="tx1"/>
            </w14:solidFill>
          </w14:textFill>
        </w:rPr>
        <w:t>询标及投标文件的澄清</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_Toc13101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_Toc10071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26 </w:t>
      </w:r>
      <w:r>
        <w:rPr>
          <w:rFonts w:hint="eastAsia"/>
          <w:color w:val="000000" w:themeColor="text1"/>
          <w:highlight w:val="none"/>
          <w14:textFill>
            <w14:solidFill>
              <w14:schemeClr w14:val="tx1"/>
            </w14:solidFill>
          </w14:textFill>
        </w:rPr>
        <w:t>评标原则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_Toc10071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_Toc8709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27 </w:t>
      </w:r>
      <w:r>
        <w:rPr>
          <w:rFonts w:hint="eastAsia"/>
          <w:color w:val="000000" w:themeColor="text1"/>
          <w:highlight w:val="none"/>
          <w14:textFill>
            <w14:solidFill>
              <w14:schemeClr w14:val="tx1"/>
            </w14:solidFill>
          </w14:textFill>
        </w:rPr>
        <w:t>评标标准和办法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_Toc8709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_Toc10281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28 </w:t>
      </w:r>
      <w:r>
        <w:rPr>
          <w:rFonts w:hint="eastAsia"/>
          <w:color w:val="000000" w:themeColor="text1"/>
          <w:highlight w:val="none"/>
          <w14:textFill>
            <w14:solidFill>
              <w14:schemeClr w14:val="tx1"/>
            </w14:solidFill>
          </w14:textFill>
        </w:rPr>
        <w:t>评标注意事项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_Toc10281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29 </w:t>
      </w:r>
      <w:r>
        <w:rPr>
          <w:rFonts w:hint="eastAsia"/>
          <w:color w:val="000000" w:themeColor="text1"/>
          <w:highlight w:val="none"/>
          <w14:textFill>
            <w14:solidFill>
              <w14:schemeClr w14:val="tx1"/>
            </w14:solidFill>
          </w14:textFill>
        </w:rPr>
        <w:t>接受和拒绝投标的权利</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_Toc4662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30 </w:t>
      </w:r>
      <w:r>
        <w:rPr>
          <w:rFonts w:hint="eastAsia"/>
          <w:color w:val="000000" w:themeColor="text1"/>
          <w:highlight w:val="none"/>
          <w14:textFill>
            <w14:solidFill>
              <w14:schemeClr w14:val="tx1"/>
            </w14:solidFill>
          </w14:textFill>
        </w:rPr>
        <w:t>发布中标结果公告和发放中标通知书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_Toc4662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_Toc16999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31 </w:t>
      </w:r>
      <w:r>
        <w:rPr>
          <w:rFonts w:hint="eastAsia"/>
          <w:color w:val="000000" w:themeColor="text1"/>
          <w:highlight w:val="none"/>
          <w14:textFill>
            <w14:solidFill>
              <w14:schemeClr w14:val="tx1"/>
            </w14:solidFill>
          </w14:textFill>
        </w:rPr>
        <w:t>投标人对中标结果的质疑、投诉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_Toc16999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_Toc8522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Ｆ  授予合同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_Toc8522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_Toc3631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32 </w:t>
      </w:r>
      <w:r>
        <w:rPr>
          <w:rFonts w:hint="eastAsia"/>
          <w:color w:val="000000" w:themeColor="text1"/>
          <w:highlight w:val="none"/>
          <w14:textFill>
            <w14:solidFill>
              <w14:schemeClr w14:val="tx1"/>
            </w14:solidFill>
          </w14:textFill>
        </w:rPr>
        <w:t>合同授予标准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_Toc3631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_Toc25343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33 </w:t>
      </w:r>
      <w:r>
        <w:rPr>
          <w:rFonts w:hint="eastAsia"/>
          <w:color w:val="000000" w:themeColor="text1"/>
          <w:highlight w:val="none"/>
          <w14:textFill>
            <w14:solidFill>
              <w14:schemeClr w14:val="tx1"/>
            </w14:solidFill>
          </w14:textFill>
        </w:rPr>
        <w:t>签订合同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_Toc25343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_Toc10627 </w:instrText>
      </w:r>
      <w:r>
        <w:rPr>
          <w:bCs/>
          <w:caps/>
          <w:color w:val="000000" w:themeColor="text1"/>
          <w:szCs w:val="21"/>
          <w:highlight w:val="none"/>
          <w14:textFill>
            <w14:solidFill>
              <w14:schemeClr w14:val="tx1"/>
            </w14:solidFill>
          </w14:textFill>
        </w:rPr>
        <w:fldChar w:fldCharType="separate"/>
      </w:r>
      <w:r>
        <w:rPr>
          <w:color w:val="000000" w:themeColor="text1"/>
          <w:highlight w:val="none"/>
          <w14:textFill>
            <w14:solidFill>
              <w14:schemeClr w14:val="tx1"/>
            </w14:solidFill>
          </w14:textFill>
        </w:rPr>
        <w:t>G</w:t>
      </w:r>
      <w:r>
        <w:rPr>
          <w:rFonts w:hint="eastAsia"/>
          <w:color w:val="000000" w:themeColor="text1"/>
          <w:highlight w:val="none"/>
          <w14:textFill>
            <w14:solidFill>
              <w14:schemeClr w14:val="tx1"/>
            </w14:solidFill>
          </w14:textFill>
        </w:rPr>
        <w:t>、政府采购政策</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_Toc10627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H、评标细则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1"/>
        <w:tabs>
          <w:tab w:val="right" w:leader="dot" w:pos="8959"/>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_Toc19798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第四部分  采购项目合同（参考范本）</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_Toc19798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1"/>
        <w:tabs>
          <w:tab w:val="right" w:leader="dot" w:pos="8959"/>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_Toc14261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第五部分投标文件格式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_Toc14261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_Toc29474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资格审查封面格式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_Toc29474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_Toc20976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第一章 </w:t>
      </w:r>
      <w:r>
        <w:rPr>
          <w:rFonts w:hint="eastAsia"/>
          <w:color w:val="000000" w:themeColor="text1"/>
          <w:highlight w:val="none"/>
          <w14:textFill>
            <w14:solidFill>
              <w14:schemeClr w14:val="tx1"/>
            </w14:solidFill>
          </w14:textFill>
        </w:rPr>
        <w:t>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_Toc20976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_Toc16433 </w:instrText>
      </w:r>
      <w:r>
        <w:rPr>
          <w:bCs/>
          <w:caps/>
          <w:color w:val="000000" w:themeColor="text1"/>
          <w:szCs w:val="21"/>
          <w:highlight w:val="none"/>
          <w14:textFill>
            <w14:solidFill>
              <w14:schemeClr w14:val="tx1"/>
            </w14:solidFill>
          </w14:textFill>
        </w:rPr>
        <w:fldChar w:fldCharType="separate"/>
      </w:r>
      <w:r>
        <w:rPr>
          <w:rFonts w:hint="eastAsia" w:ascii="宋体"/>
          <w:bCs w:val="0"/>
          <w:color w:val="000000" w:themeColor="text1"/>
          <w:szCs w:val="21"/>
          <w:highlight w:val="none"/>
          <w14:textFill>
            <w14:solidFill>
              <w14:schemeClr w14:val="tx1"/>
            </w14:solidFill>
          </w14:textFill>
        </w:rPr>
        <w:t>资格性自查表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_Toc16433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_Toc23451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（一）资格审查文件要求提交的有效证明文件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_Toc23451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_Toc1097 </w:instrText>
      </w:r>
      <w:r>
        <w:rPr>
          <w:bCs/>
          <w:caps/>
          <w:color w:val="000000" w:themeColor="text1"/>
          <w:szCs w:val="21"/>
          <w:highlight w:val="none"/>
          <w14:textFill>
            <w14:solidFill>
              <w14:schemeClr w14:val="tx1"/>
            </w14:solidFill>
          </w14:textFill>
        </w:rPr>
        <w:fldChar w:fldCharType="separate"/>
      </w:r>
      <w:r>
        <w:rPr>
          <w:rFonts w:hint="eastAsia" w:hAnsi="黑体"/>
          <w:color w:val="000000" w:themeColor="text1"/>
          <w:szCs w:val="21"/>
          <w:highlight w:val="none"/>
          <w14:textFill>
            <w14:solidFill>
              <w14:schemeClr w14:val="tx1"/>
            </w14:solidFill>
          </w14:textFill>
        </w:rPr>
        <w:t>（二）无重大违法记录声明函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_Toc1097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_Toc20785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第二章 </w:t>
      </w:r>
      <w:r>
        <w:rPr>
          <w:rFonts w:hint="eastAsia"/>
          <w:color w:val="000000" w:themeColor="text1"/>
          <w:highlight w:val="none"/>
          <w14:textFill>
            <w14:solidFill>
              <w14:schemeClr w14:val="tx1"/>
            </w14:solidFill>
          </w14:textFill>
        </w:rPr>
        <w:t>投标文件商务及技术部分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_Toc20785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_Toc11923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商务及技术封面格式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_Toc11923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_Toc16201 </w:instrText>
      </w:r>
      <w:r>
        <w:rPr>
          <w:bCs/>
          <w:caps/>
          <w:color w:val="000000" w:themeColor="text1"/>
          <w:szCs w:val="21"/>
          <w:highlight w:val="none"/>
          <w14:textFill>
            <w14:solidFill>
              <w14:schemeClr w14:val="tx1"/>
            </w14:solidFill>
          </w14:textFill>
        </w:rPr>
        <w:fldChar w:fldCharType="separate"/>
      </w:r>
      <w:r>
        <w:rPr>
          <w:rFonts w:hint="eastAsia" w:ascii="宋体"/>
          <w:bCs w:val="0"/>
          <w:color w:val="000000" w:themeColor="text1"/>
          <w:szCs w:val="21"/>
          <w:highlight w:val="none"/>
          <w14:textFill>
            <w14:solidFill>
              <w14:schemeClr w14:val="tx1"/>
            </w14:solidFill>
          </w14:textFill>
        </w:rPr>
        <w:t>符合性自查表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_Toc16201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_Toc29440 </w:instrText>
      </w:r>
      <w:r>
        <w:rPr>
          <w:bCs/>
          <w:caps/>
          <w:color w:val="000000" w:themeColor="text1"/>
          <w:szCs w:val="21"/>
          <w:highlight w:val="none"/>
          <w14:textFill>
            <w14:solidFill>
              <w14:schemeClr w14:val="tx1"/>
            </w14:solidFill>
          </w14:textFill>
        </w:rPr>
        <w:fldChar w:fldCharType="separate"/>
      </w:r>
      <w:r>
        <w:rPr>
          <w:rFonts w:hint="eastAsia" w:ascii="宋体"/>
          <w:color w:val="000000" w:themeColor="text1"/>
          <w:szCs w:val="21"/>
          <w:highlight w:val="none"/>
          <w14:textFill>
            <w14:solidFill>
              <w14:schemeClr w14:val="tx1"/>
            </w14:solidFill>
          </w14:textFill>
        </w:rPr>
        <w:t>评审项目投标资料表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_Toc29440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_Toc17669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（一）法定代表人（负责人）证明书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_Toc17669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_Toc27501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（二）法定代表人（负责人）授权书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_Toc27501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_Toc14080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附件一：投标函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_Toc14080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_Toc6999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附件二：开标一览表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_Toc6999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_Toc20172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附件三：商务条款偏离一览表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_Toc20172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_Toc12782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四</w:t>
      </w:r>
      <w:r>
        <w:rPr>
          <w:rFonts w:hint="eastAsia"/>
          <w:color w:val="000000" w:themeColor="text1"/>
          <w:highlight w:val="none"/>
          <w14:textFill>
            <w14:solidFill>
              <w14:schemeClr w14:val="tx1"/>
            </w14:solidFill>
          </w14:textFill>
        </w:rPr>
        <w:t>：技术条款偏离一览表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_Toc12782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_Toc29499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五</w:t>
      </w:r>
      <w:r>
        <w:rPr>
          <w:rFonts w:hint="eastAsia"/>
          <w:color w:val="000000" w:themeColor="text1"/>
          <w:highlight w:val="none"/>
          <w14:textFill>
            <w14:solidFill>
              <w14:schemeClr w14:val="tx1"/>
            </w14:solidFill>
          </w14:textFill>
        </w:rPr>
        <w:t>：同类业绩一览表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_Toc29499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_Toc1451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六</w:t>
      </w:r>
      <w:r>
        <w:rPr>
          <w:rFonts w:hint="eastAsia"/>
          <w:color w:val="000000" w:themeColor="text1"/>
          <w:highlight w:val="none"/>
          <w14:textFill>
            <w14:solidFill>
              <w14:schemeClr w14:val="tx1"/>
            </w14:solidFill>
          </w14:textFill>
        </w:rPr>
        <w:t>：</w:t>
      </w:r>
      <w:r>
        <w:rPr>
          <w:rFonts w:hint="eastAsia" w:hAnsi="黑体" w:cs="黑体"/>
          <w:color w:val="000000" w:themeColor="text1"/>
          <w:highlight w:val="none"/>
          <w14:textFill>
            <w14:solidFill>
              <w14:schemeClr w14:val="tx1"/>
            </w14:solidFill>
          </w14:textFill>
        </w:rPr>
        <w:t>中小微企业声明函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_Toc1451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_Toc18435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七</w:t>
      </w:r>
      <w:r>
        <w:rPr>
          <w:rFonts w:hint="eastAsia"/>
          <w:color w:val="000000" w:themeColor="text1"/>
          <w:highlight w:val="none"/>
          <w14:textFill>
            <w14:solidFill>
              <w14:schemeClr w14:val="tx1"/>
            </w14:solidFill>
          </w14:textFill>
        </w:rPr>
        <w:t>：</w:t>
      </w:r>
      <w:r>
        <w:rPr>
          <w:rFonts w:hint="eastAsia" w:hAnsi="黑体" w:cs="黑体"/>
          <w:color w:val="000000" w:themeColor="text1"/>
          <w:highlight w:val="none"/>
          <w14:textFill>
            <w14:solidFill>
              <w14:schemeClr w14:val="tx1"/>
            </w14:solidFill>
          </w14:textFill>
        </w:rPr>
        <w:t>残疾人福利性单位声明函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_Toc18435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_Toc24046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八</w:t>
      </w:r>
      <w:r>
        <w:rPr>
          <w:rFonts w:hint="eastAsia"/>
          <w:color w:val="000000" w:themeColor="text1"/>
          <w:highlight w:val="none"/>
          <w14:textFill>
            <w14:solidFill>
              <w14:schemeClr w14:val="tx1"/>
            </w14:solidFill>
          </w14:textFill>
        </w:rPr>
        <w:t>：中标服务费承诺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_Toc24046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_Toc26502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九</w:t>
      </w:r>
      <w:r>
        <w:rPr>
          <w:rFonts w:hint="eastAsia"/>
          <w:color w:val="000000" w:themeColor="text1"/>
          <w:highlight w:val="none"/>
          <w14:textFill>
            <w14:solidFill>
              <w14:schemeClr w14:val="tx1"/>
            </w14:solidFill>
          </w14:textFill>
        </w:rPr>
        <w:t>：投标人提交的其它商务和技术资料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_Toc26502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_Toc550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其 他 格 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_Toc550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_Toc32700 </w:instrText>
      </w:r>
      <w:r>
        <w:rPr>
          <w:bCs/>
          <w:caps/>
          <w:color w:val="000000" w:themeColor="text1"/>
          <w:szCs w:val="21"/>
          <w:highlight w:val="none"/>
          <w14:textFill>
            <w14:solidFill>
              <w14:schemeClr w14:val="tx1"/>
            </w14:solidFill>
          </w14:textFill>
        </w:rPr>
        <w:fldChar w:fldCharType="separate"/>
      </w:r>
      <w:r>
        <w:rPr>
          <w:rFonts w:hint="eastAsia" w:ascii="宋体" w:hAnsi="宋体" w:eastAsia="宋体"/>
          <w:color w:val="000000" w:themeColor="text1"/>
          <w:highlight w:val="none"/>
          <w14:textFill>
            <w14:solidFill>
              <w14:schemeClr w14:val="tx1"/>
            </w14:solidFill>
          </w14:textFill>
        </w:rPr>
        <w:t>投标保证金退付书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_Toc32700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rPr>
          <w:color w:val="000000" w:themeColor="text1"/>
          <w:highlight w:val="none"/>
          <w14:textFill>
            <w14:solidFill>
              <w14:schemeClr w14:val="tx1"/>
            </w14:solidFill>
          </w14:textFill>
        </w:rPr>
        <w:sectPr>
          <w:headerReference r:id="rId7" w:type="first"/>
          <w:footerReference r:id="rId8" w:type="first"/>
          <w:headerReference r:id="rId6" w:type="default"/>
          <w:type w:val="continuous"/>
          <w:pgSz w:w="11907" w:h="16840"/>
          <w:pgMar w:top="1418" w:right="1474" w:bottom="1418" w:left="1474" w:header="851" w:footer="851" w:gutter="0"/>
          <w:cols w:space="720" w:num="1"/>
          <w:docGrid w:linePitch="462" w:charSpace="0"/>
        </w:sectPr>
      </w:pPr>
      <w:r>
        <w:rPr>
          <w:bCs/>
          <w:caps/>
          <w:color w:val="000000" w:themeColor="text1"/>
          <w:szCs w:val="21"/>
          <w:highlight w:val="none"/>
          <w14:textFill>
            <w14:solidFill>
              <w14:schemeClr w14:val="tx1"/>
            </w14:solidFill>
          </w14:textFill>
        </w:rPr>
        <w:fldChar w:fldCharType="end"/>
      </w:r>
    </w:p>
    <w:bookmarkEnd w:id="0"/>
    <w:p>
      <w:pPr>
        <w:pStyle w:val="4"/>
        <w:numPr>
          <w:ilvl w:val="0"/>
          <w:numId w:val="0"/>
        </w:numPr>
        <w:spacing w:beforeLines="0"/>
        <w:rPr>
          <w:color w:val="000000" w:themeColor="text1"/>
          <w:highlight w:val="none"/>
          <w14:textFill>
            <w14:solidFill>
              <w14:schemeClr w14:val="tx1"/>
            </w14:solidFill>
          </w14:textFill>
        </w:rPr>
      </w:pPr>
      <w:bookmarkStart w:id="1" w:name="_Toc332270305"/>
      <w:bookmarkStart w:id="2" w:name="_Toc336681892"/>
      <w:bookmarkStart w:id="3" w:name="_Toc366072457"/>
      <w:bookmarkStart w:id="4" w:name="_Toc32503"/>
      <w:bookmarkStart w:id="5" w:name="_Toc350756403"/>
      <w:bookmarkStart w:id="6" w:name="_Toc330459945"/>
      <w:bookmarkStart w:id="7" w:name="_Toc349143546"/>
      <w:bookmarkStart w:id="8" w:name="_Toc339020048"/>
      <w:bookmarkStart w:id="9" w:name="_Toc342296708"/>
      <w:bookmarkStart w:id="10" w:name="_Toc332206657"/>
      <w:bookmarkStart w:id="11" w:name="_Toc339019828"/>
      <w:bookmarkStart w:id="12" w:name="_Toc333935619"/>
      <w:bookmarkStart w:id="13" w:name="_Toc333238571"/>
      <w:bookmarkStart w:id="14" w:name="_Toc340507403"/>
      <w:bookmarkStart w:id="15" w:name="_Toc350438702"/>
      <w:bookmarkStart w:id="16" w:name="_Toc337632315"/>
      <w:bookmarkStart w:id="17" w:name="_Toc331683994"/>
      <w:bookmarkStart w:id="18" w:name="_Toc340677031"/>
      <w:bookmarkStart w:id="19" w:name="_Toc342060322"/>
      <w:bookmarkStart w:id="20" w:name="_Toc331512856"/>
      <w:bookmarkStart w:id="21" w:name="_Toc365967002"/>
      <w:bookmarkStart w:id="22" w:name="_Toc340672830"/>
      <w:bookmarkStart w:id="23" w:name="_Toc339020186"/>
      <w:bookmarkStart w:id="24" w:name="_Toc339441044"/>
      <w:bookmarkStart w:id="25" w:name="_Toc339019954"/>
      <w:bookmarkStart w:id="26" w:name="_Toc341348291"/>
      <w:bookmarkStart w:id="27" w:name="_Toc333935278"/>
      <w:bookmarkStart w:id="28" w:name="_Toc333237723"/>
      <w:bookmarkStart w:id="29" w:name="_Toc365985108"/>
      <w:bookmarkStart w:id="30" w:name="_Toc349127583"/>
      <w:bookmarkStart w:id="31" w:name="_Toc339362257"/>
      <w:bookmarkStart w:id="32" w:name="_Toc333237612"/>
      <w:bookmarkStart w:id="33" w:name="_Toc336681537"/>
      <w:bookmarkStart w:id="34" w:name="_Toc345513762"/>
      <w:bookmarkStart w:id="35" w:name="_Toc500860978"/>
      <w:r>
        <w:rPr>
          <w:rFonts w:hint="eastAsia"/>
          <w:color w:val="000000" w:themeColor="text1"/>
          <w:highlight w:val="none"/>
          <w14:textFill>
            <w14:solidFill>
              <w14:schemeClr w14:val="tx1"/>
            </w14:solidFill>
          </w14:textFill>
        </w:rPr>
        <w:t>第一</w:t>
      </w:r>
      <w:bookmarkStart w:id="36" w:name="_Hlt23321731"/>
      <w:bookmarkEnd w:id="36"/>
      <w:r>
        <w:rPr>
          <w:rFonts w:hint="eastAsia"/>
          <w:color w:val="000000" w:themeColor="text1"/>
          <w:highlight w:val="none"/>
          <w14:textFill>
            <w14:solidFill>
              <w14:schemeClr w14:val="tx1"/>
            </w14:solidFill>
          </w14:textFill>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keepNext w:val="0"/>
        <w:keepLines w:val="0"/>
        <w:pageBreakBefore w:val="0"/>
        <w:widowControl/>
        <w:tabs>
          <w:tab w:val="left" w:pos="502"/>
          <w:tab w:val="left" w:pos="5145"/>
        </w:tabs>
        <w:kinsoku/>
        <w:wordWrap/>
        <w:overflowPunct/>
        <w:topLinePunct w:val="0"/>
        <w:autoSpaceDE/>
        <w:autoSpaceDN/>
        <w:bidi w:val="0"/>
        <w:adjustRightInd w:val="0"/>
        <w:snapToGrid w:val="0"/>
        <w:spacing w:line="400" w:lineRule="exact"/>
        <w:ind w:left="105" w:leftChars="50" w:firstLine="420" w:firstLineChars="200"/>
        <w:jc w:val="left"/>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lang w:eastAsia="zh-CN"/>
          <w14:textFill>
            <w14:solidFill>
              <w14:schemeClr w14:val="tx1"/>
            </w14:solidFill>
          </w14:textFill>
        </w:rPr>
        <w:t>广东业信招标有限公司</w:t>
      </w:r>
      <w:r>
        <w:rPr>
          <w:rFonts w:hint="eastAsia" w:ascii="宋体" w:hAnsi="宋体"/>
          <w:bCs/>
          <w:color w:val="000000" w:themeColor="text1"/>
          <w:highlight w:val="none"/>
          <w14:textFill>
            <w14:solidFill>
              <w14:schemeClr w14:val="tx1"/>
            </w14:solidFill>
          </w14:textFill>
        </w:rPr>
        <w:t>（以下简称“代理采购机构”）受</w:t>
      </w:r>
      <w:r>
        <w:rPr>
          <w:rFonts w:hint="eastAsia" w:ascii="宋体" w:hAnsi="宋体"/>
          <w:bCs/>
          <w:color w:val="000000" w:themeColor="text1"/>
          <w:highlight w:val="none"/>
          <w:lang w:eastAsia="zh-CN"/>
          <w14:textFill>
            <w14:solidFill>
              <w14:schemeClr w14:val="tx1"/>
            </w14:solidFill>
          </w14:textFill>
        </w:rPr>
        <w:t>阳江市海陵岛经济开发试验区财政局</w:t>
      </w:r>
      <w:r>
        <w:rPr>
          <w:rFonts w:hint="eastAsia" w:ascii="宋体" w:hAnsi="宋体"/>
          <w:bCs/>
          <w:color w:val="000000" w:themeColor="text1"/>
          <w:highlight w:val="none"/>
          <w14:textFill>
            <w14:solidFill>
              <w14:schemeClr w14:val="tx1"/>
            </w14:solidFill>
          </w14:textFill>
        </w:rPr>
        <w:t>（以下简称</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采购人</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）的委托，就</w:t>
      </w:r>
      <w:r>
        <w:rPr>
          <w:rFonts w:hint="eastAsia" w:ascii="宋体" w:hAnsi="宋体"/>
          <w:bCs/>
          <w:color w:val="000000" w:themeColor="text1"/>
          <w:highlight w:val="none"/>
          <w:lang w:eastAsia="zh-CN"/>
          <w14:textFill>
            <w14:solidFill>
              <w14:schemeClr w14:val="tx1"/>
            </w14:solidFill>
          </w14:textFill>
        </w:rPr>
        <w:t>阳江市海陵岛经济开发试验区财政局2024-2027年度统发工资代理银行采购项目</w:t>
      </w:r>
      <w:r>
        <w:rPr>
          <w:rFonts w:hint="eastAsia" w:ascii="宋体" w:hAnsi="宋体"/>
          <w:bCs/>
          <w:color w:val="000000" w:themeColor="text1"/>
          <w:highlight w:val="none"/>
          <w14:textFill>
            <w14:solidFill>
              <w14:schemeClr w14:val="tx1"/>
            </w14:solidFill>
          </w14:textFill>
        </w:rPr>
        <w:t>进行公开招标(项目编号:</w:t>
      </w:r>
      <w:r>
        <w:rPr>
          <w:rFonts w:hint="eastAsia" w:ascii="宋体" w:hAnsi="宋体"/>
          <w:bCs/>
          <w:color w:val="000000" w:themeColor="text1"/>
          <w:highlight w:val="none"/>
          <w:lang w:eastAsia="zh-CN"/>
          <w14:textFill>
            <w14:solidFill>
              <w14:schemeClr w14:val="tx1"/>
            </w14:solidFill>
          </w14:textFill>
        </w:rPr>
        <w:t>YXZB-20240417</w:t>
      </w:r>
      <w:r>
        <w:rPr>
          <w:rFonts w:hint="eastAsia" w:ascii="宋体" w:hAnsi="宋体"/>
          <w:bCs/>
          <w:color w:val="000000" w:themeColor="text1"/>
          <w:highlight w:val="none"/>
          <w14:textFill>
            <w14:solidFill>
              <w14:schemeClr w14:val="tx1"/>
            </w14:solidFill>
          </w14:textFill>
        </w:rPr>
        <w:t>)，欢迎符合条件的投标人参加。有关事项如下：</w:t>
      </w:r>
    </w:p>
    <w:p>
      <w:pPr>
        <w:keepNext w:val="0"/>
        <w:keepLines w:val="0"/>
        <w:pageBreakBefore w:val="0"/>
        <w:widowControl/>
        <w:tabs>
          <w:tab w:val="left" w:pos="502"/>
        </w:tabs>
        <w:kinsoku/>
        <w:wordWrap/>
        <w:overflowPunct/>
        <w:topLinePunct w:val="0"/>
        <w:autoSpaceDE/>
        <w:autoSpaceDN/>
        <w:bidi w:val="0"/>
        <w:adjustRightInd w:val="0"/>
        <w:snapToGrid w:val="0"/>
        <w:spacing w:line="400" w:lineRule="exact"/>
        <w:textAlignment w:val="auto"/>
        <w:rPr>
          <w:rFonts w:ascii="Tahoma" w:hAnsi="Tahoma"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一、</w:t>
      </w:r>
      <w:r>
        <w:rPr>
          <w:rFonts w:hint="eastAsia" w:ascii="Tahoma" w:hAnsi="Tahoma" w:cs="Tahoma"/>
          <w:b/>
          <w:bCs/>
          <w:color w:val="000000" w:themeColor="text1"/>
          <w:szCs w:val="21"/>
          <w:highlight w:val="none"/>
          <w14:textFill>
            <w14:solidFill>
              <w14:schemeClr w14:val="tx1"/>
            </w14:solidFill>
          </w14:textFill>
        </w:rPr>
        <w:t>招标项目的名称、用途、数量、采购方式</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400" w:lineRule="exact"/>
        <w:ind w:left="1785" w:leftChars="200" w:right="-82" w:rightChars="-39" w:hanging="1365" w:hangingChars="650"/>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ascii="宋体" w:hAnsi="宋体"/>
          <w:bCs/>
          <w:color w:val="000000" w:themeColor="text1"/>
          <w:highlight w:val="none"/>
          <w:lang w:eastAsia="zh-CN"/>
          <w14:textFill>
            <w14:solidFill>
              <w14:schemeClr w14:val="tx1"/>
            </w14:solidFill>
          </w14:textFill>
        </w:rPr>
        <w:t>阳江市海陵岛经济开发试验区财政局2024-2027年度统发工资代理银行采购项目</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400" w:lineRule="exact"/>
        <w:ind w:left="420" w:leftChars="200" w:firstLine="0"/>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项目编号: </w:t>
      </w:r>
      <w:r>
        <w:rPr>
          <w:rFonts w:hint="eastAsia" w:ascii="宋体" w:hAnsi="宋体"/>
          <w:bCs/>
          <w:color w:val="000000" w:themeColor="text1"/>
          <w:highlight w:val="none"/>
          <w:lang w:eastAsia="zh-CN"/>
          <w14:textFill>
            <w14:solidFill>
              <w14:schemeClr w14:val="tx1"/>
            </w14:solidFill>
          </w14:textFill>
        </w:rPr>
        <w:t>YXZB-20240417</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400" w:lineRule="exact"/>
        <w:ind w:left="735" w:leftChars="200" w:hanging="315" w:hangingChars="150"/>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数  量：</w:t>
      </w:r>
      <w:r>
        <w:rPr>
          <w:rFonts w:hint="eastAsia" w:ascii="宋体" w:hAnsi="宋体"/>
          <w:bCs/>
          <w:color w:val="000000" w:themeColor="text1"/>
          <w:highlight w:val="none"/>
          <w:lang w:val="en-US" w:eastAsia="zh-CN"/>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项</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400" w:lineRule="exact"/>
        <w:ind w:left="736" w:leftChars="200" w:hanging="316" w:hangingChars="150"/>
        <w:textAlignment w:val="auto"/>
        <w:rPr>
          <w:rFonts w:ascii="宋体" w:hAnsi="宋体"/>
          <w:bCs/>
          <w:color w:val="000000" w:themeColor="text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服务期</w:t>
      </w:r>
      <w:r>
        <w:rPr>
          <w:rFonts w:hint="eastAsia" w:ascii="宋体" w:hAnsi="宋体"/>
          <w:b/>
          <w:bCs/>
          <w:color w:val="000000" w:themeColor="text1"/>
          <w:spacing w:val="-6"/>
          <w:szCs w:val="21"/>
          <w:highlight w:val="none"/>
          <w14:textFill>
            <w14:solidFill>
              <w14:schemeClr w14:val="tx1"/>
            </w14:solidFill>
          </w14:textFill>
        </w:rPr>
        <w:t>：</w:t>
      </w:r>
      <w:r>
        <w:rPr>
          <w:rFonts w:hint="eastAsia" w:ascii="宋体" w:hAnsi="宋体"/>
          <w:b w:val="0"/>
          <w:bCs w:val="0"/>
          <w:color w:val="000000" w:themeColor="text1"/>
          <w:spacing w:val="-6"/>
          <w:szCs w:val="21"/>
          <w:highlight w:val="none"/>
          <w14:textFill>
            <w14:solidFill>
              <w14:schemeClr w14:val="tx1"/>
            </w14:solidFill>
          </w14:textFill>
        </w:rPr>
        <w:t>3年，从合同生效之日起开始计算。</w:t>
      </w:r>
      <w:r>
        <w:rPr>
          <w:rFonts w:hint="eastAsia"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lang w:val="en-US" w:eastAsia="zh-CN"/>
          <w14:textFill>
            <w14:solidFill>
              <w14:schemeClr w14:val="tx1"/>
            </w14:solidFill>
          </w14:textFill>
        </w:rPr>
        <w:t>少于</w:t>
      </w:r>
      <w:r>
        <w:rPr>
          <w:rFonts w:hint="eastAsia" w:ascii="宋体" w:hAnsi="宋体"/>
          <w:bCs/>
          <w:color w:val="000000" w:themeColor="text1"/>
          <w:highlight w:val="none"/>
          <w14:textFill>
            <w14:solidFill>
              <w14:schemeClr w14:val="tx1"/>
            </w14:solidFill>
          </w14:textFill>
        </w:rPr>
        <w:t>该服务期将作为无效投标处理）</w:t>
      </w:r>
    </w:p>
    <w:p>
      <w:pPr>
        <w:keepNext w:val="0"/>
        <w:keepLines w:val="0"/>
        <w:pageBreakBefore w:val="0"/>
        <w:widowControl/>
        <w:numPr>
          <w:ilvl w:val="0"/>
          <w:numId w:val="20"/>
        </w:numPr>
        <w:tabs>
          <w:tab w:val="left" w:pos="315"/>
          <w:tab w:val="left" w:pos="735"/>
          <w:tab w:val="clear" w:pos="528"/>
        </w:tabs>
        <w:kinsoku/>
        <w:wordWrap/>
        <w:overflowPunct/>
        <w:topLinePunct w:val="0"/>
        <w:autoSpaceDE/>
        <w:autoSpaceDN/>
        <w:bidi w:val="0"/>
        <w:adjustRightInd w:val="0"/>
        <w:snapToGrid w:val="0"/>
        <w:spacing w:line="400" w:lineRule="exact"/>
        <w:ind w:left="420" w:leftChars="200" w:firstLine="0"/>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lang w:eastAsia="zh-CN"/>
          <w14:textFill>
            <w14:solidFill>
              <w14:schemeClr w14:val="tx1"/>
            </w14:solidFill>
          </w14:textFill>
        </w:rPr>
        <w:t>中标</w:t>
      </w:r>
      <w:r>
        <w:rPr>
          <w:rFonts w:hint="eastAsia" w:ascii="宋体" w:hAnsi="宋体"/>
          <w:bCs/>
          <w:color w:val="000000" w:themeColor="text1"/>
          <w:highlight w:val="none"/>
          <w14:textFill>
            <w14:solidFill>
              <w14:schemeClr w14:val="tx1"/>
            </w14:solidFill>
          </w14:textFill>
        </w:rPr>
        <w:t>单位数量：选取</w:t>
      </w:r>
      <w:r>
        <w:rPr>
          <w:rFonts w:hint="eastAsia" w:ascii="宋体" w:hAnsi="宋体"/>
          <w:bCs/>
          <w:color w:val="000000" w:themeColor="text1"/>
          <w:highlight w:val="none"/>
          <w:lang w:val="en-US" w:eastAsia="zh-CN"/>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名</w:t>
      </w:r>
      <w:r>
        <w:rPr>
          <w:rFonts w:hint="eastAsia" w:ascii="宋体" w:hAnsi="宋体"/>
          <w:bCs/>
          <w:color w:val="000000" w:themeColor="text1"/>
          <w:highlight w:val="none"/>
          <w:lang w:val="en-US" w:eastAsia="zh-CN"/>
          <w14:textFill>
            <w14:solidFill>
              <w14:schemeClr w14:val="tx1"/>
            </w14:solidFill>
          </w14:textFill>
        </w:rPr>
        <w:t>中标供应商。</w:t>
      </w:r>
    </w:p>
    <w:p>
      <w:pPr>
        <w:keepNext w:val="0"/>
        <w:keepLines w:val="0"/>
        <w:pageBreakBefore w:val="0"/>
        <w:widowControl/>
        <w:numPr>
          <w:ilvl w:val="0"/>
          <w:numId w:val="20"/>
        </w:numPr>
        <w:tabs>
          <w:tab w:val="left" w:pos="315"/>
          <w:tab w:val="left" w:pos="735"/>
          <w:tab w:val="clear" w:pos="528"/>
        </w:tabs>
        <w:kinsoku/>
        <w:wordWrap/>
        <w:overflowPunct/>
        <w:topLinePunct w:val="0"/>
        <w:autoSpaceDE/>
        <w:autoSpaceDN/>
        <w:bidi w:val="0"/>
        <w:adjustRightInd w:val="0"/>
        <w:snapToGrid w:val="0"/>
        <w:spacing w:line="400" w:lineRule="exact"/>
        <w:ind w:left="420" w:leftChars="200" w:firstLine="0"/>
        <w:textAlignment w:val="auto"/>
        <w:rPr>
          <w:rFonts w:ascii="宋体" w:hAnsi="宋体"/>
          <w:bCs/>
          <w:color w:val="000000" w:themeColor="text1"/>
          <w:highlight w:val="none"/>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项目采购方式：公开招标</w:t>
      </w:r>
    </w:p>
    <w:p>
      <w:pPr>
        <w:keepNext w:val="0"/>
        <w:keepLines w:val="0"/>
        <w:pageBreakBefore w:val="0"/>
        <w:widowControl/>
        <w:tabs>
          <w:tab w:val="left" w:pos="502"/>
        </w:tabs>
        <w:kinsoku/>
        <w:wordWrap/>
        <w:overflowPunct/>
        <w:topLinePunct w:val="0"/>
        <w:autoSpaceDE/>
        <w:autoSpaceDN/>
        <w:bidi w:val="0"/>
        <w:adjustRightInd w:val="0"/>
        <w:snapToGrid w:val="0"/>
        <w:spacing w:line="400" w:lineRule="exact"/>
        <w:textAlignment w:val="auto"/>
        <w:rPr>
          <w:rFonts w:ascii="宋体" w:hAnsi="宋体" w:cs="Tahoma"/>
          <w:b/>
          <w:bCs/>
          <w:color w:val="000000" w:themeColor="text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二、投标人资格要求为：</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400" w:lineRule="exact"/>
        <w:ind w:left="735" w:hanging="315"/>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投标人应具备《中华人民共和国政府采购法》第二十二条规定的条件：</w:t>
      </w:r>
    </w:p>
    <w:p>
      <w:pPr>
        <w:keepNext w:val="0"/>
        <w:keepLines w:val="0"/>
        <w:pageBreakBefore w:val="0"/>
        <w:widowControl/>
        <w:tabs>
          <w:tab w:val="left" w:pos="525"/>
        </w:tabs>
        <w:kinsoku/>
        <w:wordWrap/>
        <w:overflowPunct/>
        <w:topLinePunct w:val="0"/>
        <w:autoSpaceDE/>
        <w:autoSpaceDN/>
        <w:bidi w:val="0"/>
        <w:adjustRightInd w:val="0"/>
        <w:snapToGrid w:val="0"/>
        <w:spacing w:line="400" w:lineRule="exact"/>
        <w:ind w:left="630" w:leftChars="300"/>
        <w:textAlignment w:val="auto"/>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1）具有独立承担民事责任的能力；</w:t>
      </w:r>
    </w:p>
    <w:p>
      <w:pPr>
        <w:keepNext w:val="0"/>
        <w:keepLines w:val="0"/>
        <w:pageBreakBefore w:val="0"/>
        <w:widowControl/>
        <w:tabs>
          <w:tab w:val="left" w:pos="525"/>
        </w:tabs>
        <w:kinsoku/>
        <w:wordWrap/>
        <w:overflowPunct/>
        <w:topLinePunct w:val="0"/>
        <w:autoSpaceDE/>
        <w:autoSpaceDN/>
        <w:bidi w:val="0"/>
        <w:adjustRightInd w:val="0"/>
        <w:snapToGrid w:val="0"/>
        <w:spacing w:line="400" w:lineRule="exact"/>
        <w:ind w:left="630" w:leftChars="300"/>
        <w:textAlignment w:val="auto"/>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2）具有良好的商业信誉和健全的财务会计制度；</w:t>
      </w:r>
    </w:p>
    <w:p>
      <w:pPr>
        <w:keepNext w:val="0"/>
        <w:keepLines w:val="0"/>
        <w:pageBreakBefore w:val="0"/>
        <w:widowControl/>
        <w:tabs>
          <w:tab w:val="left" w:pos="525"/>
        </w:tabs>
        <w:kinsoku/>
        <w:wordWrap/>
        <w:overflowPunct/>
        <w:topLinePunct w:val="0"/>
        <w:autoSpaceDE/>
        <w:autoSpaceDN/>
        <w:bidi w:val="0"/>
        <w:adjustRightInd w:val="0"/>
        <w:snapToGrid w:val="0"/>
        <w:spacing w:line="400" w:lineRule="exact"/>
        <w:ind w:left="630" w:leftChars="300"/>
        <w:textAlignment w:val="auto"/>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3）具有履行合同所必需的设备和专业技术能力；</w:t>
      </w:r>
    </w:p>
    <w:p>
      <w:pPr>
        <w:keepNext w:val="0"/>
        <w:keepLines w:val="0"/>
        <w:pageBreakBefore w:val="0"/>
        <w:widowControl/>
        <w:tabs>
          <w:tab w:val="left" w:pos="525"/>
        </w:tabs>
        <w:kinsoku/>
        <w:wordWrap/>
        <w:overflowPunct/>
        <w:topLinePunct w:val="0"/>
        <w:autoSpaceDE/>
        <w:autoSpaceDN/>
        <w:bidi w:val="0"/>
        <w:adjustRightInd w:val="0"/>
        <w:snapToGrid w:val="0"/>
        <w:spacing w:line="400" w:lineRule="exact"/>
        <w:ind w:left="630" w:leftChars="300"/>
        <w:textAlignment w:val="auto"/>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4）有依法缴纳税收和社会保障资金的良好记录；</w:t>
      </w:r>
    </w:p>
    <w:p>
      <w:pPr>
        <w:keepNext w:val="0"/>
        <w:keepLines w:val="0"/>
        <w:pageBreakBefore w:val="0"/>
        <w:widowControl/>
        <w:tabs>
          <w:tab w:val="left" w:pos="525"/>
        </w:tabs>
        <w:kinsoku/>
        <w:wordWrap/>
        <w:overflowPunct/>
        <w:topLinePunct w:val="0"/>
        <w:autoSpaceDE/>
        <w:autoSpaceDN/>
        <w:bidi w:val="0"/>
        <w:adjustRightInd w:val="0"/>
        <w:snapToGrid w:val="0"/>
        <w:spacing w:line="400" w:lineRule="exact"/>
        <w:ind w:left="630" w:leftChars="300"/>
        <w:textAlignment w:val="auto"/>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5）参加政府采购活动前三年内，在经营活动中没有重大违法记录；</w:t>
      </w:r>
    </w:p>
    <w:p>
      <w:pPr>
        <w:keepNext w:val="0"/>
        <w:keepLines w:val="0"/>
        <w:pageBreakBefore w:val="0"/>
        <w:widowControl/>
        <w:tabs>
          <w:tab w:val="left" w:pos="525"/>
        </w:tabs>
        <w:kinsoku/>
        <w:wordWrap/>
        <w:overflowPunct/>
        <w:topLinePunct w:val="0"/>
        <w:autoSpaceDE/>
        <w:autoSpaceDN/>
        <w:bidi w:val="0"/>
        <w:adjustRightInd w:val="0"/>
        <w:snapToGrid w:val="0"/>
        <w:spacing w:line="400" w:lineRule="exact"/>
        <w:ind w:left="630" w:leftChars="300"/>
        <w:textAlignment w:val="auto"/>
        <w:rPr>
          <w:rFonts w:ascii="宋体" w:hAnsi="宋体"/>
          <w:color w:val="000000" w:themeColor="text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6）法律、行政法规规定的其他条件。</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400" w:lineRule="exact"/>
        <w:ind w:left="735" w:hanging="315"/>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投标人须是在中华人民共和国境内注册，且经中国人民银行批准设立的，在阳江地区</w:t>
      </w:r>
      <w:r>
        <w:rPr>
          <w:rFonts w:hint="eastAsia" w:ascii="宋体" w:hAnsi="宋体"/>
          <w:color w:val="000000" w:themeColor="text1"/>
          <w:szCs w:val="21"/>
          <w:highlight w:val="none"/>
          <w:lang w:eastAsia="zh-CN"/>
          <w14:textFill>
            <w14:solidFill>
              <w14:schemeClr w14:val="tx1"/>
            </w14:solidFill>
          </w14:textFill>
        </w:rPr>
        <w:t>具备</w:t>
      </w:r>
      <w:r>
        <w:rPr>
          <w:rFonts w:hint="eastAsia" w:ascii="宋体" w:hAnsi="宋体"/>
          <w:color w:val="000000" w:themeColor="text1"/>
          <w:szCs w:val="21"/>
          <w:highlight w:val="none"/>
          <w14:textFill>
            <w14:solidFill>
              <w14:schemeClr w14:val="tx1"/>
            </w14:solidFill>
          </w14:textFill>
        </w:rPr>
        <w:t>经营银行业务资格的金融机构</w:t>
      </w:r>
      <w:r>
        <w:rPr>
          <w:rFonts w:hint="eastAsia" w:ascii="宋体" w:hAnsi="宋体"/>
          <w:color w:val="000000" w:themeColor="text1"/>
          <w:szCs w:val="21"/>
          <w:highlight w:val="none"/>
          <w:lang w:eastAsia="zh-CN"/>
          <w14:textFill>
            <w14:solidFill>
              <w14:schemeClr w14:val="tx1"/>
            </w14:solidFill>
          </w14:textFill>
        </w:rPr>
        <w:t>，并在</w:t>
      </w:r>
      <w:r>
        <w:rPr>
          <w:rFonts w:hint="eastAsia" w:ascii="宋体" w:hAnsi="宋体"/>
          <w:color w:val="000000" w:themeColor="text1"/>
          <w:szCs w:val="21"/>
          <w:highlight w:val="none"/>
          <w14:textFill>
            <w14:solidFill>
              <w14:schemeClr w14:val="tx1"/>
            </w14:solidFill>
          </w14:textFill>
        </w:rPr>
        <w:t>海陵区</w:t>
      </w:r>
      <w:r>
        <w:rPr>
          <w:rFonts w:hint="eastAsia" w:ascii="宋体" w:hAnsi="宋体"/>
          <w:color w:val="000000" w:themeColor="text1"/>
          <w:szCs w:val="21"/>
          <w:highlight w:val="none"/>
          <w:lang w:eastAsia="zh-CN"/>
          <w14:textFill>
            <w14:solidFill>
              <w14:schemeClr w14:val="tx1"/>
            </w14:solidFill>
          </w14:textFill>
        </w:rPr>
        <w:t>内设立金融网点（不含自助银行），</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eastAsia="zh-CN"/>
          <w14:textFill>
            <w14:solidFill>
              <w14:schemeClr w14:val="tx1"/>
            </w14:solidFill>
          </w14:textFill>
        </w:rPr>
        <w:t>需</w:t>
      </w:r>
      <w:r>
        <w:rPr>
          <w:rFonts w:hint="eastAsia" w:ascii="宋体" w:hAnsi="宋体"/>
          <w:color w:val="000000" w:themeColor="text1"/>
          <w:szCs w:val="21"/>
          <w:highlight w:val="none"/>
          <w14:textFill>
            <w14:solidFill>
              <w14:schemeClr w14:val="tx1"/>
            </w14:solidFill>
          </w14:textFill>
        </w:rPr>
        <w:t>提供中国银行业监督管理部门核发的《金融许可证》）</w:t>
      </w:r>
      <w:r>
        <w:rPr>
          <w:rFonts w:hint="eastAsia" w:ascii="宋体" w:hAnsi="宋体"/>
          <w:color w:val="000000" w:themeColor="text1"/>
          <w:szCs w:val="21"/>
          <w:highlight w:val="none"/>
          <w:lang w:eastAsia="zh-CN"/>
          <w14:textFill>
            <w14:solidFill>
              <w14:schemeClr w14:val="tx1"/>
            </w14:solidFill>
          </w14:textFill>
        </w:rPr>
        <w:t>；</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400" w:lineRule="exact"/>
        <w:ind w:left="735" w:hanging="315"/>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本项目不接受联合体投标，中标单位不得转分包项目；</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400" w:lineRule="exact"/>
        <w:ind w:left="735" w:hanging="315"/>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w:t>
      </w:r>
      <w:r>
        <w:rPr>
          <w:rFonts w:hint="eastAsia" w:hAnsi="宋体"/>
          <w:color w:val="000000" w:themeColor="text1"/>
          <w:szCs w:val="21"/>
          <w:highlight w:val="none"/>
          <w14:textFill>
            <w14:solidFill>
              <w14:schemeClr w14:val="tx1"/>
            </w14:solidFill>
          </w14:textFill>
        </w:rPr>
        <w:t>须</w:t>
      </w:r>
      <w:r>
        <w:rPr>
          <w:rFonts w:hint="eastAsia" w:hAnsi="宋体" w:cs="宋体"/>
          <w:color w:val="000000" w:themeColor="text1"/>
          <w:szCs w:val="21"/>
          <w:highlight w:val="none"/>
          <w14:textFill>
            <w14:solidFill>
              <w14:schemeClr w14:val="tx1"/>
            </w14:solidFill>
          </w14:textFill>
        </w:rPr>
        <w:t>在招标代理机构登记并购买招标文件。</w:t>
      </w:r>
    </w:p>
    <w:p>
      <w:pPr>
        <w:keepNext w:val="0"/>
        <w:keepLines w:val="0"/>
        <w:pageBreakBefore w:val="0"/>
        <w:widowControl/>
        <w:tabs>
          <w:tab w:val="left" w:pos="502"/>
        </w:tabs>
        <w:kinsoku/>
        <w:wordWrap/>
        <w:overflowPunct/>
        <w:topLinePunct w:val="0"/>
        <w:autoSpaceDE/>
        <w:autoSpaceDN/>
        <w:bidi w:val="0"/>
        <w:adjustRightInd w:val="0"/>
        <w:snapToGrid w:val="0"/>
        <w:spacing w:line="400" w:lineRule="exact"/>
        <w:textAlignment w:val="auto"/>
        <w:rPr>
          <w:rFonts w:ascii="Tahoma" w:hAnsi="Tahoma" w:cs="Tahoma"/>
          <w:b/>
          <w:bCs/>
          <w:color w:val="000000" w:themeColor="text1"/>
          <w:szCs w:val="21"/>
          <w:highlight w:val="none"/>
          <w14:textFill>
            <w14:solidFill>
              <w14:schemeClr w14:val="tx1"/>
            </w14:solidFill>
          </w14:textFill>
        </w:rPr>
      </w:pPr>
      <w:r>
        <w:rPr>
          <w:rFonts w:hint="eastAsia" w:ascii="Tahoma" w:hAnsi="Tahoma" w:cs="Tahoma"/>
          <w:b/>
          <w:bCs/>
          <w:color w:val="000000" w:themeColor="text1"/>
          <w:szCs w:val="21"/>
          <w:highlight w:val="none"/>
          <w14:textFill>
            <w14:solidFill>
              <w14:schemeClr w14:val="tx1"/>
            </w14:solidFill>
          </w14:textFill>
        </w:rPr>
        <w:t>三、</w:t>
      </w:r>
      <w:r>
        <w:rPr>
          <w:rFonts w:ascii="Tahoma" w:hAnsi="Tahoma" w:cs="Tahoma"/>
          <w:b/>
          <w:bCs/>
          <w:color w:val="000000" w:themeColor="text1"/>
          <w:szCs w:val="21"/>
          <w:highlight w:val="none"/>
          <w14:textFill>
            <w14:solidFill>
              <w14:schemeClr w14:val="tx1"/>
            </w14:solidFill>
          </w14:textFill>
        </w:rPr>
        <w:t>招标文件的公示</w:t>
      </w:r>
    </w:p>
    <w:p>
      <w:pPr>
        <w:keepNext w:val="0"/>
        <w:keepLines w:val="0"/>
        <w:pageBreakBefore w:val="0"/>
        <w:kinsoku/>
        <w:wordWrap/>
        <w:overflowPunct/>
        <w:topLinePunct w:val="0"/>
        <w:autoSpaceDE/>
        <w:autoSpaceDN/>
        <w:bidi w:val="0"/>
        <w:spacing w:line="400" w:lineRule="exact"/>
        <w:ind w:firstLine="210" w:firstLine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w:t>
      </w:r>
      <w:r>
        <w:rPr>
          <w:rFonts w:hint="eastAsia" w:ascii="宋体" w:hAnsi="宋体" w:cs="Arial"/>
          <w:color w:val="000000" w:themeColor="text1"/>
          <w:highlight w:val="none"/>
          <w14:textFill>
            <w14:solidFill>
              <w14:schemeClr w14:val="tx1"/>
            </w14:solidFill>
          </w14:textFill>
        </w:rPr>
        <w:t>招标文件公示时</w:t>
      </w:r>
      <w:r>
        <w:rPr>
          <w:rFonts w:hint="eastAsia" w:ascii="宋体" w:hAnsi="宋体"/>
          <w:bCs/>
          <w:color w:val="000000" w:themeColor="text1"/>
          <w:highlight w:val="none"/>
          <w14:textFill>
            <w14:solidFill>
              <w14:schemeClr w14:val="tx1"/>
            </w14:solidFill>
          </w14:textFill>
        </w:rPr>
        <w:t>间及</w:t>
      </w:r>
      <w:r>
        <w:rPr>
          <w:rFonts w:hint="eastAsia" w:ascii="宋体" w:hAnsi="宋体" w:eastAsia="宋体" w:cs="宋体"/>
          <w:bCs/>
          <w:color w:val="000000" w:themeColor="text1"/>
          <w:highlight w:val="none"/>
          <w14:textFill>
            <w14:solidFill>
              <w14:schemeClr w14:val="tx1"/>
            </w14:solidFill>
          </w14:textFill>
        </w:rPr>
        <w:t>下载：2024年4月19日至2024年4月26日。</w:t>
      </w:r>
    </w:p>
    <w:p>
      <w:pPr>
        <w:keepNext w:val="0"/>
        <w:keepLines w:val="0"/>
        <w:pageBreakBefore w:val="0"/>
        <w:widowControl/>
        <w:kinsoku/>
        <w:wordWrap/>
        <w:overflowPunct/>
        <w:topLinePunct w:val="0"/>
        <w:autoSpaceDE/>
        <w:autoSpaceDN/>
        <w:bidi w:val="0"/>
        <w:adjustRightInd w:val="0"/>
        <w:snapToGrid w:val="0"/>
        <w:spacing w:line="400" w:lineRule="exact"/>
        <w:ind w:left="315" w:leftChars="100" w:hanging="105" w:hangingChars="50"/>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2．根据《广东省实施〈中华人民共和国政府采购法〉办法》第三十五条的规定，投标人认为政府采购文件的内容损害其权益</w:t>
      </w:r>
      <w:r>
        <w:rPr>
          <w:rFonts w:hint="eastAsia" w:ascii="宋体" w:hAnsi="宋体" w:eastAsia="宋体" w:cs="宋体"/>
          <w:color w:val="000000" w:themeColor="text1"/>
          <w:kern w:val="0"/>
          <w:szCs w:val="21"/>
          <w:highlight w:val="none"/>
          <w14:textFill>
            <w14:solidFill>
              <w14:schemeClr w14:val="tx1"/>
            </w14:solidFill>
          </w14:textFill>
        </w:rPr>
        <w:t>的，可以在公示期间或者自期满之日起七个工作日内以书面形式向采购人或代理采购机构提出质疑。质疑函应当由质疑投标人的法定代表人或主要负责人签字并加盖单位公章，留有联系人及联系电话并提供营业执照复印件、法定代表人（负责人）证明书、授权书、法定代表人（负责人）被授权人身份证复印件，并与代理采购机构工作人员做好确认工作，未被确认的质疑将作为无效质疑，采购人或代理采购机构可不予作答。</w:t>
      </w:r>
    </w:p>
    <w:p>
      <w:pPr>
        <w:keepNext w:val="0"/>
        <w:keepLines w:val="0"/>
        <w:pageBreakBefore w:val="0"/>
        <w:widowControl/>
        <w:numPr>
          <w:ilvl w:val="0"/>
          <w:numId w:val="23"/>
        </w:numPr>
        <w:tabs>
          <w:tab w:val="left" w:pos="502"/>
        </w:tabs>
        <w:kinsoku/>
        <w:wordWrap/>
        <w:overflowPunct/>
        <w:topLinePunct w:val="0"/>
        <w:autoSpaceDE/>
        <w:autoSpaceDN/>
        <w:bidi w:val="0"/>
        <w:adjustRightInd w:val="0"/>
        <w:snapToGrid w:val="0"/>
        <w:spacing w:line="400" w:lineRule="exact"/>
        <w:textAlignment w:val="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购买招标文件的时间、地点、方式及招标文件售价</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left="210" w:left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1.购买招标文件</w:t>
      </w:r>
      <w:r>
        <w:rPr>
          <w:rFonts w:hint="eastAsia" w:ascii="宋体" w:hAnsi="宋体" w:eastAsia="宋体" w:cs="宋体"/>
          <w:bCs/>
          <w:color w:val="000000" w:themeColor="text1"/>
          <w:highlight w:val="none"/>
          <w14:textFill>
            <w14:solidFill>
              <w14:schemeClr w14:val="tx1"/>
            </w14:solidFill>
          </w14:textFill>
        </w:rPr>
        <w:t>时间：2024年4月19日至2024年4月26日，上午9:00～12:00，下午2:30～5:30（节假日除外）（北</w:t>
      </w:r>
      <w:r>
        <w:rPr>
          <w:rFonts w:hint="eastAsia" w:ascii="宋体" w:hAnsi="宋体" w:eastAsia="宋体" w:cs="宋体"/>
          <w:color w:val="000000" w:themeColor="text1"/>
          <w:highlight w:val="none"/>
          <w14:textFill>
            <w14:solidFill>
              <w14:schemeClr w14:val="tx1"/>
            </w14:solidFill>
          </w14:textFill>
        </w:rPr>
        <w:t>京时间）。</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left="210" w:left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2.购买招标文件地点：</w:t>
      </w:r>
      <w:r>
        <w:rPr>
          <w:rFonts w:hint="eastAsia" w:ascii="宋体" w:hAnsi="宋体" w:eastAsia="宋体" w:cs="宋体"/>
          <w:color w:val="000000" w:themeColor="text1"/>
          <w:szCs w:val="21"/>
          <w:highlight w:val="none"/>
          <w:lang w:eastAsia="zh-CN"/>
          <w14:textFill>
            <w14:solidFill>
              <w14:schemeClr w14:val="tx1"/>
            </w14:solidFill>
          </w14:textFill>
        </w:rPr>
        <w:t>阳江市江城区猫山四街33号A座2楼</w:t>
      </w:r>
      <w:r>
        <w:rPr>
          <w:rFonts w:hint="eastAsia" w:ascii="宋体" w:hAnsi="宋体" w:eastAsia="宋体" w:cs="宋体"/>
          <w:color w:val="000000" w:themeColor="text1"/>
          <w:szCs w:val="21"/>
          <w:highlight w:val="none"/>
          <w:lang w:val="en-US" w:eastAsia="zh-CN"/>
          <w14:textFill>
            <w14:solidFill>
              <w14:schemeClr w14:val="tx1"/>
            </w14:solidFill>
          </w14:textFill>
        </w:rPr>
        <w:t>205室</w:t>
      </w:r>
      <w:r>
        <w:rPr>
          <w:rFonts w:hint="eastAsia" w:ascii="宋体" w:hAnsi="宋体" w:eastAsia="宋体" w:cs="宋体"/>
          <w:color w:val="000000" w:themeColor="text1"/>
          <w:szCs w:val="21"/>
          <w:highlight w:val="none"/>
          <w14:textFill>
            <w14:solidFill>
              <w14:schemeClr w14:val="tx1"/>
            </w14:solidFill>
          </w14:textFill>
        </w:rPr>
        <w:t>。</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left="210" w:left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3.招标文件售价：</w:t>
      </w:r>
      <w:r>
        <w:rPr>
          <w:rFonts w:hint="eastAsia" w:ascii="宋体" w:hAnsi="宋体" w:eastAsia="宋体" w:cs="宋体"/>
          <w:bCs/>
          <w:color w:val="000000" w:themeColor="text1"/>
          <w:szCs w:val="21"/>
          <w:highlight w:val="none"/>
          <w14:textFill>
            <w14:solidFill>
              <w14:schemeClr w14:val="tx1"/>
            </w14:solidFill>
          </w14:textFill>
        </w:rPr>
        <w:t>招标文件每套人民币300元，售后不退</w:t>
      </w:r>
      <w:r>
        <w:rPr>
          <w:rFonts w:hint="eastAsia" w:ascii="宋体" w:hAnsi="宋体" w:eastAsia="宋体" w:cs="宋体"/>
          <w:bCs/>
          <w:color w:val="000000" w:themeColor="text1"/>
          <w:highlight w:val="none"/>
          <w14:textFill>
            <w14:solidFill>
              <w14:schemeClr w14:val="tx1"/>
            </w14:solidFill>
          </w14:textFill>
        </w:rPr>
        <w:t>。</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left="420" w:leftChars="100" w:hanging="210" w:hanging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4.招标文件获取方式：现场发售。</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left="420" w:leftChars="100" w:hanging="210" w:hangingChars="100"/>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5.</w:t>
      </w:r>
      <w:r>
        <w:rPr>
          <w:rFonts w:hint="eastAsia" w:ascii="宋体" w:hAnsi="宋体" w:eastAsia="宋体" w:cs="宋体"/>
          <w:bCs/>
          <w:color w:val="000000" w:themeColor="text1"/>
          <w:szCs w:val="21"/>
          <w:highlight w:val="none"/>
          <w14:textFill>
            <w14:solidFill>
              <w14:schemeClr w14:val="tx1"/>
            </w14:solidFill>
          </w14:textFill>
        </w:rPr>
        <w:t>购买招标文件必须携带:</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left="659" w:leftChars="164" w:hanging="315" w:hangingChars="15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1）法定代表人（负责人）证明书原件、法定代表人（负责人）授权委托书原件、法定代表人（负责人）身份证复印件、授权委托人身份证复印件、营业执照副本复印件和相关资质证书复印件及《购买标书登记表》</w:t>
      </w:r>
      <w:r>
        <w:rPr>
          <w:rFonts w:hint="eastAsia" w:ascii="宋体" w:hAnsi="宋体" w:eastAsia="宋体" w:cs="宋体"/>
          <w:bCs/>
          <w:color w:val="000000" w:themeColor="text1"/>
          <w:szCs w:val="21"/>
          <w:highlight w:val="none"/>
          <w:lang w:val="en-US" w:eastAsia="zh-CN"/>
          <w14:textFill>
            <w14:solidFill>
              <w14:schemeClr w14:val="tx1"/>
            </w14:solidFill>
          </w14:textFill>
        </w:rPr>
        <w:t xml:space="preserve"> </w:t>
      </w:r>
      <w:r>
        <w:rPr>
          <w:rFonts w:hint="eastAsia" w:ascii="宋体" w:hAnsi="宋体" w:eastAsia="宋体" w:cs="宋体"/>
          <w:bCs/>
          <w:color w:val="000000" w:themeColor="text1"/>
          <w:szCs w:val="21"/>
          <w:highlight w:val="none"/>
          <w14:textFill>
            <w14:solidFill>
              <w14:schemeClr w14:val="tx1"/>
            </w14:solidFill>
          </w14:textFill>
        </w:rPr>
        <w:t>加盖公章到指定地址购买。</w:t>
      </w:r>
      <w:r>
        <w:rPr>
          <w:rFonts w:hint="eastAsia" w:ascii="宋体" w:hAnsi="宋体" w:eastAsia="宋体" w:cs="宋体"/>
          <w:b/>
          <w:bCs/>
          <w:color w:val="000000" w:themeColor="text1"/>
          <w:highlight w:val="none"/>
          <w14:textFill>
            <w14:solidFill>
              <w14:schemeClr w14:val="tx1"/>
            </w14:solidFill>
          </w14:textFill>
        </w:rPr>
        <w:t>报名时投标单位的资料与以上报名条件不符合、不齐全、复印件不清晰或未盖红色公章的将不予受理</w:t>
      </w:r>
      <w:r>
        <w:rPr>
          <w:rFonts w:hint="eastAsia" w:ascii="宋体" w:hAnsi="宋体" w:eastAsia="宋体" w:cs="宋体"/>
          <w:bCs/>
          <w:color w:val="000000" w:themeColor="text1"/>
          <w:highlight w:val="none"/>
          <w14:textFill>
            <w14:solidFill>
              <w14:schemeClr w14:val="tx1"/>
            </w14:solidFill>
          </w14:textFill>
        </w:rPr>
        <w:t>。</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left="660" w:leftChars="164" w:hanging="316" w:hangingChars="150"/>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2）供应商须提供未被列入“信用中国”网站(www.creditchina.gov.cn)“记录失信被执行人或</w:t>
      </w:r>
      <w:r>
        <w:rPr>
          <w:rFonts w:hint="eastAsia" w:ascii="宋体" w:hAnsi="宋体" w:eastAsia="宋体" w:cs="宋体"/>
          <w:b/>
          <w:bCs/>
          <w:color w:val="000000" w:themeColor="text1"/>
          <w:highlight w:val="none"/>
          <w:lang w:val="en-US" w:eastAsia="zh-CN"/>
          <w14:textFill>
            <w14:solidFill>
              <w14:schemeClr w14:val="tx1"/>
            </w14:solidFill>
          </w14:textFill>
        </w:rPr>
        <w:t>重大税收违法失信主体</w:t>
      </w:r>
      <w:r>
        <w:rPr>
          <w:rFonts w:hint="eastAsia" w:ascii="宋体" w:hAnsi="宋体" w:eastAsia="宋体" w:cs="宋体"/>
          <w:b/>
          <w:bCs/>
          <w:color w:val="000000" w:themeColor="text1"/>
          <w:highlight w:val="none"/>
          <w14:textFill>
            <w14:solidFill>
              <w14:schemeClr w14:val="tx1"/>
            </w14:solidFill>
          </w14:textFill>
        </w:rPr>
        <w:t>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keepNext w:val="0"/>
        <w:keepLines w:val="0"/>
        <w:pageBreakBefore w:val="0"/>
        <w:widowControl/>
        <w:numPr>
          <w:ilvl w:val="0"/>
          <w:numId w:val="23"/>
        </w:numPr>
        <w:tabs>
          <w:tab w:val="left" w:pos="502"/>
        </w:tabs>
        <w:kinsoku/>
        <w:wordWrap/>
        <w:overflowPunct/>
        <w:topLinePunct w:val="0"/>
        <w:autoSpaceDE/>
        <w:autoSpaceDN/>
        <w:bidi w:val="0"/>
        <w:adjustRightInd w:val="0"/>
        <w:snapToGrid w:val="0"/>
        <w:spacing w:line="400" w:lineRule="exact"/>
        <w:textAlignment w:val="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投标截止时间、开标时间及地点</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210" w:firstLine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1.递交投标文件时间：2024年5月10日</w:t>
      </w:r>
      <w:r>
        <w:rPr>
          <w:rFonts w:hint="eastAsia" w:ascii="宋体" w:hAnsi="宋体" w:eastAsia="宋体" w:cs="宋体"/>
          <w:color w:val="000000" w:themeColor="text1"/>
          <w:highlight w:val="none"/>
          <w:lang w:val="en-US" w:eastAsia="zh-CN"/>
          <w14:textFill>
            <w14:solidFill>
              <w14:schemeClr w14:val="tx1"/>
            </w14:solidFill>
          </w14:textFill>
        </w:rPr>
        <w:t xml:space="preserve">  14</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3</w:t>
      </w:r>
      <w:r>
        <w:rPr>
          <w:rFonts w:hint="eastAsia" w:ascii="宋体" w:hAnsi="宋体" w:eastAsia="宋体" w:cs="宋体"/>
          <w:color w:val="000000" w:themeColor="text1"/>
          <w:highlight w:val="none"/>
          <w14:textFill>
            <w14:solidFill>
              <w14:schemeClr w14:val="tx1"/>
            </w14:solidFill>
          </w14:textFill>
        </w:rPr>
        <w:t>0-</w:t>
      </w:r>
      <w:r>
        <w:rPr>
          <w:rFonts w:hint="eastAsia" w:ascii="宋体" w:hAnsi="宋体" w:eastAsia="宋体" w:cs="宋体"/>
          <w:color w:val="000000" w:themeColor="text1"/>
          <w:highlight w:val="none"/>
          <w:lang w:val="en-US" w:eastAsia="zh-CN"/>
          <w14:textFill>
            <w14:solidFill>
              <w14:schemeClr w14:val="tx1"/>
            </w14:solidFill>
          </w14:textFill>
        </w:rPr>
        <w:t>15</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0</w:t>
      </w:r>
      <w:r>
        <w:rPr>
          <w:rFonts w:hint="eastAsia" w:ascii="宋体" w:hAnsi="宋体" w:eastAsia="宋体" w:cs="宋体"/>
          <w:color w:val="000000" w:themeColor="text1"/>
          <w:highlight w:val="none"/>
          <w14:textFill>
            <w14:solidFill>
              <w14:schemeClr w14:val="tx1"/>
            </w14:solidFill>
          </w14:textFill>
        </w:rPr>
        <w:t>0 (北京时间)。</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210" w:firstLine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2.投标截止时间、开标时间：</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 xml:space="preserve"> 2024年5月10日</w:t>
      </w:r>
      <w:r>
        <w:rPr>
          <w:rFonts w:hint="eastAsia" w:ascii="宋体" w:hAnsi="宋体" w:eastAsia="宋体" w:cs="宋体"/>
          <w:color w:val="000000" w:themeColor="text1"/>
          <w:highlight w:val="none"/>
          <w:lang w:val="en-US" w:eastAsia="zh-CN"/>
          <w14:textFill>
            <w14:solidFill>
              <w14:schemeClr w14:val="tx1"/>
            </w14:solidFill>
          </w14:textFill>
        </w:rPr>
        <w:t xml:space="preserve">  15</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00</w:t>
      </w:r>
      <w:r>
        <w:rPr>
          <w:rFonts w:hint="eastAsia" w:ascii="宋体" w:hAnsi="宋体" w:eastAsia="宋体" w:cs="宋体"/>
          <w:color w:val="000000" w:themeColor="text1"/>
          <w:highlight w:val="none"/>
          <w14:textFill>
            <w14:solidFill>
              <w14:schemeClr w14:val="tx1"/>
            </w14:solidFill>
          </w14:textFill>
        </w:rPr>
        <w:t>(北京时间)。</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210" w:firstLine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3.递交投标文件地点、开标地点：</w:t>
      </w:r>
      <w:r>
        <w:rPr>
          <w:rFonts w:hint="eastAsia" w:ascii="宋体" w:hAnsi="宋体" w:eastAsia="宋体" w:cs="宋体"/>
          <w:color w:val="000000" w:themeColor="text1"/>
          <w:highlight w:val="none"/>
          <w:lang w:eastAsia="zh-CN"/>
          <w14:textFill>
            <w14:solidFill>
              <w14:schemeClr w14:val="tx1"/>
            </w14:solidFill>
          </w14:textFill>
        </w:rPr>
        <w:t>阳江市江城区猫山四街33号A座2楼</w:t>
      </w:r>
      <w:r>
        <w:rPr>
          <w:rFonts w:hint="eastAsia" w:ascii="宋体" w:hAnsi="宋体" w:eastAsia="宋体" w:cs="宋体"/>
          <w:color w:val="000000" w:themeColor="text1"/>
          <w:highlight w:val="none"/>
          <w:lang w:val="en-US" w:eastAsia="zh-CN"/>
          <w14:textFill>
            <w14:solidFill>
              <w14:schemeClr w14:val="tx1"/>
            </w14:solidFill>
          </w14:textFill>
        </w:rPr>
        <w:t>201</w:t>
      </w:r>
      <w:r>
        <w:rPr>
          <w:rFonts w:hint="eastAsia" w:ascii="宋体" w:hAnsi="宋体" w:eastAsia="宋体" w:cs="宋体"/>
          <w:color w:val="000000" w:themeColor="text1"/>
          <w:highlight w:val="none"/>
          <w14:textFill>
            <w14:solidFill>
              <w14:schemeClr w14:val="tx1"/>
            </w14:solidFill>
          </w14:textFill>
        </w:rPr>
        <w:t>开标室。</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textAlignment w:val="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六、采购人、代理采购机构的名称、地址和联系方式</w:t>
      </w:r>
    </w:p>
    <w:p>
      <w:pPr>
        <w:keepNext w:val="0"/>
        <w:keepLines w:val="0"/>
        <w:pageBreakBefore w:val="0"/>
        <w:widowControl/>
        <w:tabs>
          <w:tab w:val="left" w:pos="630"/>
        </w:tabs>
        <w:kinsoku/>
        <w:wordWrap/>
        <w:overflowPunct/>
        <w:topLinePunct w:val="0"/>
        <w:autoSpaceDE/>
        <w:autoSpaceDN/>
        <w:bidi w:val="0"/>
        <w:adjustRightInd w:val="0"/>
        <w:snapToGrid w:val="0"/>
        <w:spacing w:line="400" w:lineRule="exact"/>
        <w:ind w:firstLine="315" w:firstLineChars="15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1．采购人联系方式：</w:t>
      </w:r>
    </w:p>
    <w:p>
      <w:pPr>
        <w:keepNext w:val="0"/>
        <w:keepLines w:val="0"/>
        <w:pageBreakBefore w:val="0"/>
        <w:tabs>
          <w:tab w:val="left" w:pos="735"/>
          <w:tab w:val="left" w:pos="4680"/>
        </w:tabs>
        <w:kinsoku/>
        <w:wordWrap/>
        <w:overflowPunct/>
        <w:topLinePunct w:val="0"/>
        <w:autoSpaceDE/>
        <w:autoSpaceDN/>
        <w:bidi w:val="0"/>
        <w:adjustRightInd w:val="0"/>
        <w:snapToGrid w:val="0"/>
        <w:spacing w:line="400" w:lineRule="exact"/>
        <w:ind w:firstLine="630" w:firstLineChars="300"/>
        <w:textAlignment w:val="auto"/>
        <w:rPr>
          <w:rFonts w:hint="eastAsia" w:ascii="宋体" w:hAnsi="宋体" w:eastAsia="宋体" w:cs="宋体"/>
          <w:color w:val="000000" w:themeColor="text1"/>
          <w:kern w:val="28"/>
          <w:szCs w:val="21"/>
          <w:highlight w:val="none"/>
          <w:lang w:eastAsia="zh-CN"/>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名    称：</w:t>
      </w:r>
      <w:r>
        <w:rPr>
          <w:rFonts w:hint="eastAsia" w:ascii="宋体" w:hAnsi="宋体" w:eastAsia="宋体" w:cs="宋体"/>
          <w:color w:val="000000" w:themeColor="text1"/>
          <w:kern w:val="28"/>
          <w:szCs w:val="21"/>
          <w:highlight w:val="none"/>
          <w:lang w:eastAsia="zh-CN"/>
          <w14:textFill>
            <w14:solidFill>
              <w14:schemeClr w14:val="tx1"/>
            </w14:solidFill>
          </w14:textFill>
        </w:rPr>
        <w:t>阳江市海陵岛经济开发试验区财政局</w:t>
      </w:r>
    </w:p>
    <w:p>
      <w:pPr>
        <w:keepNext w:val="0"/>
        <w:keepLines w:val="0"/>
        <w:pageBreakBefore w:val="0"/>
        <w:tabs>
          <w:tab w:val="left" w:pos="735"/>
          <w:tab w:val="left" w:pos="4680"/>
        </w:tabs>
        <w:kinsoku/>
        <w:wordWrap/>
        <w:overflowPunct/>
        <w:topLinePunct w:val="0"/>
        <w:autoSpaceDE/>
        <w:autoSpaceDN/>
        <w:bidi w:val="0"/>
        <w:adjustRightInd w:val="0"/>
        <w:snapToGrid w:val="0"/>
        <w:spacing w:line="400" w:lineRule="exact"/>
        <w:ind w:firstLine="630" w:firstLineChars="300"/>
        <w:textAlignment w:val="auto"/>
        <w:rPr>
          <w:rFonts w:hint="eastAsia" w:ascii="宋体" w:hAnsi="宋体" w:eastAsia="宋体" w:cs="宋体"/>
          <w:color w:val="000000" w:themeColor="text1"/>
          <w:kern w:val="28"/>
          <w:szCs w:val="21"/>
          <w:highlight w:val="none"/>
          <w:lang w:val="en-US" w:eastAsia="zh-CN"/>
          <w14:textFill>
            <w14:solidFill>
              <w14:schemeClr w14:val="tx1"/>
            </w14:solidFill>
          </w14:textFill>
        </w:rPr>
      </w:pPr>
      <w:r>
        <w:rPr>
          <w:rFonts w:hint="eastAsia" w:ascii="宋体" w:hAnsi="宋体" w:eastAsia="宋体" w:cs="宋体"/>
          <w:color w:val="000000" w:themeColor="text1"/>
          <w:kern w:val="28"/>
          <w:szCs w:val="21"/>
          <w:highlight w:val="none"/>
          <w:lang w:val="en-US"/>
          <w14:textFill>
            <w14:solidFill>
              <w14:schemeClr w14:val="tx1"/>
            </w14:solidFill>
          </w14:textFill>
        </w:rPr>
        <w:t>地    址：</w:t>
      </w:r>
      <w:r>
        <w:rPr>
          <w:rFonts w:hint="eastAsia" w:ascii="宋体" w:hAnsi="宋体" w:eastAsia="宋体" w:cs="宋体"/>
          <w:color w:val="000000" w:themeColor="text1"/>
          <w:kern w:val="28"/>
          <w:szCs w:val="21"/>
          <w:highlight w:val="none"/>
          <w14:textFill>
            <w14:solidFill>
              <w14:schemeClr w14:val="tx1"/>
            </w14:solidFill>
          </w14:textFill>
        </w:rPr>
        <w:t>阳江市闸坡镇旅游大道北N西-8号</w:t>
      </w:r>
    </w:p>
    <w:p>
      <w:pPr>
        <w:keepNext w:val="0"/>
        <w:keepLines w:val="0"/>
        <w:pageBreakBefore w:val="0"/>
        <w:tabs>
          <w:tab w:val="left" w:pos="735"/>
          <w:tab w:val="left" w:pos="4680"/>
        </w:tabs>
        <w:kinsoku/>
        <w:wordWrap/>
        <w:overflowPunct/>
        <w:topLinePunct w:val="0"/>
        <w:autoSpaceDE/>
        <w:autoSpaceDN/>
        <w:bidi w:val="0"/>
        <w:adjustRightInd w:val="0"/>
        <w:snapToGrid w:val="0"/>
        <w:spacing w:line="400" w:lineRule="exact"/>
        <w:ind w:firstLine="630" w:firstLineChars="300"/>
        <w:textAlignment w:val="auto"/>
        <w:rPr>
          <w:rFonts w:hint="eastAsia" w:ascii="宋体" w:hAnsi="宋体" w:eastAsia="宋体" w:cs="宋体"/>
          <w:color w:val="000000" w:themeColor="text1"/>
          <w:kern w:val="28"/>
          <w:szCs w:val="21"/>
          <w:highlight w:val="none"/>
          <w:lang w:val="en-US" w:eastAsia="zh-CN"/>
          <w14:textFill>
            <w14:solidFill>
              <w14:schemeClr w14:val="tx1"/>
            </w14:solidFill>
          </w14:textFill>
        </w:rPr>
      </w:pPr>
      <w:r>
        <w:rPr>
          <w:rFonts w:hint="eastAsia" w:ascii="宋体" w:hAnsi="宋体" w:eastAsia="宋体" w:cs="宋体"/>
          <w:color w:val="000000" w:themeColor="text1"/>
          <w:kern w:val="28"/>
          <w:szCs w:val="21"/>
          <w:highlight w:val="none"/>
          <w:lang w:val="en-US"/>
          <w14:textFill>
            <w14:solidFill>
              <w14:schemeClr w14:val="tx1"/>
            </w14:solidFill>
          </w14:textFill>
        </w:rPr>
        <w:t>联 系 人：</w:t>
      </w:r>
      <w:r>
        <w:rPr>
          <w:rFonts w:hint="eastAsia" w:ascii="宋体" w:hAnsi="宋体" w:eastAsia="宋体" w:cs="宋体"/>
          <w:color w:val="000000" w:themeColor="text1"/>
          <w:kern w:val="28"/>
          <w:szCs w:val="21"/>
          <w:highlight w:val="none"/>
          <w14:textFill>
            <w14:solidFill>
              <w14:schemeClr w14:val="tx1"/>
            </w14:solidFill>
          </w14:textFill>
        </w:rPr>
        <w:t>梁耀邦</w:t>
      </w:r>
    </w:p>
    <w:p>
      <w:pPr>
        <w:keepNext w:val="0"/>
        <w:keepLines w:val="0"/>
        <w:pageBreakBefore w:val="0"/>
        <w:tabs>
          <w:tab w:val="left" w:pos="735"/>
          <w:tab w:val="left" w:pos="4680"/>
        </w:tabs>
        <w:kinsoku/>
        <w:wordWrap/>
        <w:overflowPunct/>
        <w:topLinePunct w:val="0"/>
        <w:autoSpaceDE/>
        <w:autoSpaceDN/>
        <w:bidi w:val="0"/>
        <w:adjustRightInd w:val="0"/>
        <w:snapToGrid w:val="0"/>
        <w:spacing w:line="400" w:lineRule="exact"/>
        <w:ind w:firstLine="630" w:firstLineChars="300"/>
        <w:textAlignment w:val="auto"/>
        <w:rPr>
          <w:rFonts w:hint="eastAsia" w:ascii="宋体" w:hAnsi="宋体" w:eastAsia="宋体" w:cs="宋体"/>
          <w:color w:val="000000" w:themeColor="text1"/>
          <w:kern w:val="28"/>
          <w:szCs w:val="21"/>
          <w:highlight w:val="none"/>
          <w:lang w:val="en-US"/>
          <w14:textFill>
            <w14:solidFill>
              <w14:schemeClr w14:val="tx1"/>
            </w14:solidFill>
          </w14:textFill>
        </w:rPr>
      </w:pPr>
      <w:r>
        <w:rPr>
          <w:rFonts w:hint="eastAsia" w:ascii="宋体" w:hAnsi="宋体" w:eastAsia="宋体" w:cs="宋体"/>
          <w:color w:val="000000" w:themeColor="text1"/>
          <w:kern w:val="28"/>
          <w:szCs w:val="21"/>
          <w:highlight w:val="none"/>
          <w:lang w:val="en-US"/>
          <w14:textFill>
            <w14:solidFill>
              <w14:schemeClr w14:val="tx1"/>
            </w14:solidFill>
          </w14:textFill>
        </w:rPr>
        <w:t>联系电话：</w:t>
      </w:r>
      <w:r>
        <w:rPr>
          <w:rFonts w:hint="eastAsia" w:ascii="宋体" w:hAnsi="宋体" w:eastAsia="宋体" w:cs="宋体"/>
          <w:color w:val="000000" w:themeColor="text1"/>
          <w:kern w:val="28"/>
          <w:szCs w:val="21"/>
          <w:highlight w:val="none"/>
          <w:lang w:val="en-US" w:eastAsia="zh-CN"/>
          <w14:textFill>
            <w14:solidFill>
              <w14:schemeClr w14:val="tx1"/>
            </w14:solidFill>
          </w14:textFill>
        </w:rPr>
        <w:t>0662-3895996</w:t>
      </w:r>
    </w:p>
    <w:p>
      <w:pPr>
        <w:keepNext w:val="0"/>
        <w:keepLines w:val="0"/>
        <w:pageBreakBefore w:val="0"/>
        <w:tabs>
          <w:tab w:val="left" w:pos="735"/>
          <w:tab w:val="left" w:pos="4680"/>
        </w:tabs>
        <w:kinsoku/>
        <w:wordWrap/>
        <w:overflowPunct/>
        <w:topLinePunct w:val="0"/>
        <w:autoSpaceDE/>
        <w:autoSpaceDN/>
        <w:bidi w:val="0"/>
        <w:adjustRightInd w:val="0"/>
        <w:snapToGrid w:val="0"/>
        <w:spacing w:line="400" w:lineRule="exact"/>
        <w:ind w:firstLine="315" w:firstLineChars="150"/>
        <w:textAlignment w:val="auto"/>
        <w:rPr>
          <w:rFonts w:hint="eastAsia" w:ascii="宋体" w:hAnsi="宋体" w:eastAsia="宋体" w:cs="宋体"/>
          <w:color w:val="000000" w:themeColor="text1"/>
          <w:kern w:val="28"/>
          <w:szCs w:val="21"/>
          <w:highlight w:val="none"/>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2．</w:t>
      </w:r>
      <w:r>
        <w:rPr>
          <w:rFonts w:hint="eastAsia" w:ascii="宋体" w:hAnsi="宋体" w:eastAsia="宋体" w:cs="宋体"/>
          <w:color w:val="000000" w:themeColor="text1"/>
          <w:highlight w:val="none"/>
          <w14:textFill>
            <w14:solidFill>
              <w14:schemeClr w14:val="tx1"/>
            </w14:solidFill>
          </w14:textFill>
        </w:rPr>
        <w:t>代理采购机构联系方式：</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630" w:firstLineChars="300"/>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名    称：</w:t>
      </w:r>
      <w:r>
        <w:rPr>
          <w:rFonts w:hint="eastAsia" w:ascii="宋体" w:hAnsi="宋体" w:eastAsia="宋体" w:cs="宋体"/>
          <w:color w:val="000000" w:themeColor="text1"/>
          <w:highlight w:val="none"/>
          <w:lang w:eastAsia="zh-CN"/>
          <w14:textFill>
            <w14:solidFill>
              <w14:schemeClr w14:val="tx1"/>
            </w14:solidFill>
          </w14:textFill>
        </w:rPr>
        <w:t>广东业信招标有限公司</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630" w:firstLineChars="300"/>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地    址：</w:t>
      </w:r>
      <w:r>
        <w:rPr>
          <w:rFonts w:hint="eastAsia" w:ascii="宋体" w:hAnsi="宋体" w:eastAsia="宋体" w:cs="宋体"/>
          <w:color w:val="000000" w:themeColor="text1"/>
          <w:highlight w:val="none"/>
          <w:lang w:eastAsia="zh-CN"/>
          <w14:textFill>
            <w14:solidFill>
              <w14:schemeClr w14:val="tx1"/>
            </w14:solidFill>
          </w14:textFill>
        </w:rPr>
        <w:t>阳江市江城区猫山四街33号A座2楼</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630" w:firstLineChars="300"/>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联 系 人：</w:t>
      </w:r>
      <w:r>
        <w:rPr>
          <w:rFonts w:hint="eastAsia" w:ascii="宋体" w:hAnsi="宋体" w:eastAsia="宋体" w:cs="宋体"/>
          <w:color w:val="000000" w:themeColor="text1"/>
          <w:highlight w:val="none"/>
          <w:lang w:val="en-US" w:eastAsia="zh-CN"/>
          <w14:textFill>
            <w14:solidFill>
              <w14:schemeClr w14:val="tx1"/>
            </w14:solidFill>
          </w14:textFill>
        </w:rPr>
        <w:t>谢小姐</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630" w:firstLineChars="3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联系电话：0662-3167266</w:t>
      </w:r>
    </w:p>
    <w:p>
      <w:pPr>
        <w:keepNext w:val="0"/>
        <w:keepLines w:val="0"/>
        <w:pageBreakBefore w:val="0"/>
        <w:widowControl/>
        <w:tabs>
          <w:tab w:val="left" w:pos="735"/>
        </w:tabs>
        <w:kinsoku/>
        <w:wordWrap/>
        <w:overflowPunct/>
        <w:topLinePunct w:val="0"/>
        <w:autoSpaceDE/>
        <w:autoSpaceDN/>
        <w:bidi w:val="0"/>
        <w:adjustRightInd w:val="0"/>
        <w:snapToGrid w:val="0"/>
        <w:spacing w:line="400" w:lineRule="exact"/>
        <w:ind w:firstLine="630" w:firstLineChars="3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传    真：0662-2669666</w:t>
      </w:r>
    </w:p>
    <w:p>
      <w:pPr>
        <w:keepNext w:val="0"/>
        <w:keepLines w:val="0"/>
        <w:pageBreakBefore w:val="0"/>
        <w:tabs>
          <w:tab w:val="left" w:pos="4680"/>
        </w:tabs>
        <w:kinsoku/>
        <w:wordWrap/>
        <w:overflowPunct/>
        <w:topLinePunct w:val="0"/>
        <w:autoSpaceDE/>
        <w:autoSpaceDN/>
        <w:bidi w:val="0"/>
        <w:adjustRightInd w:val="0"/>
        <w:snapToGrid w:val="0"/>
        <w:spacing w:line="400" w:lineRule="exact"/>
        <w:ind w:firstLine="630" w:firstLineChars="3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网    址：</w:t>
      </w:r>
      <w:r>
        <w:rPr>
          <w:rFonts w:hint="eastAsia" w:ascii="宋体" w:hAnsi="宋体" w:eastAsia="宋体" w:cs="宋体"/>
          <w:bCs/>
          <w:color w:val="000000" w:themeColor="text1"/>
          <w:highlight w:val="none"/>
          <w14:textFill>
            <w14:solidFill>
              <w14:schemeClr w14:val="tx1"/>
            </w14:solidFill>
          </w14:textFill>
        </w:rPr>
        <w:t>http://www.yjcg.cc</w:t>
      </w:r>
    </w:p>
    <w:p>
      <w:pPr>
        <w:keepNext w:val="0"/>
        <w:keepLines w:val="0"/>
        <w:pageBreakBefore w:val="0"/>
        <w:widowControl/>
        <w:kinsoku/>
        <w:wordWrap/>
        <w:overflowPunct/>
        <w:topLinePunct w:val="0"/>
        <w:autoSpaceDE/>
        <w:autoSpaceDN/>
        <w:bidi w:val="0"/>
        <w:adjustRightInd w:val="0"/>
        <w:snapToGrid w:val="0"/>
        <w:spacing w:line="400" w:lineRule="exact"/>
        <w:textAlignment w:val="auto"/>
        <w:rPr>
          <w:rFonts w:hint="eastAsia" w:ascii="宋体" w:hAnsi="宋体" w:eastAsia="宋体" w:cs="宋体"/>
          <w:b/>
          <w:color w:val="000000" w:themeColor="text1"/>
          <w:spacing w:val="20"/>
          <w:szCs w:val="21"/>
          <w:highlight w:val="none"/>
          <w14:textFill>
            <w14:solidFill>
              <w14:schemeClr w14:val="tx1"/>
            </w14:solidFill>
          </w14:textFill>
        </w:rPr>
      </w:pPr>
    </w:p>
    <w:p>
      <w:pPr>
        <w:keepNext w:val="0"/>
        <w:keepLines w:val="0"/>
        <w:pageBreakBefore w:val="0"/>
        <w:widowControl/>
        <w:tabs>
          <w:tab w:val="left" w:pos="4769"/>
        </w:tabs>
        <w:kinsoku/>
        <w:wordWrap/>
        <w:overflowPunct/>
        <w:topLinePunct w:val="0"/>
        <w:autoSpaceDE/>
        <w:autoSpaceDN/>
        <w:bidi w:val="0"/>
        <w:adjustRightInd w:val="0"/>
        <w:snapToGrid w:val="0"/>
        <w:spacing w:line="400" w:lineRule="exact"/>
        <w:ind w:left="105" w:leftChars="50" w:firstLine="420" w:firstLineChars="200"/>
        <w:jc w:val="right"/>
        <w:textAlignment w:val="auto"/>
        <w:rPr>
          <w:rFonts w:hint="eastAsia" w:ascii="宋体" w:hAnsi="宋体" w:eastAsia="宋体" w:cs="宋体"/>
          <w:bCs/>
          <w:color w:val="000000" w:themeColor="text1"/>
          <w:highlight w:val="none"/>
          <w:lang w:eastAsia="zh-CN"/>
          <w14:textFill>
            <w14:solidFill>
              <w14:schemeClr w14:val="tx1"/>
            </w14:solidFill>
          </w14:textFill>
        </w:rPr>
      </w:pPr>
      <w:r>
        <w:rPr>
          <w:rFonts w:hint="eastAsia" w:ascii="宋体" w:hAnsi="宋体" w:eastAsia="宋体" w:cs="宋体"/>
          <w:bCs/>
          <w:color w:val="000000" w:themeColor="text1"/>
          <w:highlight w:val="none"/>
          <w:lang w:eastAsia="zh-CN"/>
          <w14:textFill>
            <w14:solidFill>
              <w14:schemeClr w14:val="tx1"/>
            </w14:solidFill>
          </w14:textFill>
        </w:rPr>
        <w:t>广东业信招标有限公司</w:t>
      </w:r>
    </w:p>
    <w:p>
      <w:pPr>
        <w:jc w:val="right"/>
        <w:rPr>
          <w:rFonts w:hint="eastAsia" w:ascii="宋体" w:hAnsi="宋体" w:eastAsia="宋体" w:cs="宋体"/>
          <w:color w:val="000000" w:themeColor="text1"/>
          <w:highlight w:val="none"/>
          <w14:textFill>
            <w14:solidFill>
              <w14:schemeClr w14:val="tx1"/>
            </w14:solidFill>
          </w14:textFill>
        </w:rPr>
      </w:pPr>
      <w:bookmarkStart w:id="37" w:name="_Toc366072458"/>
      <w:bookmarkStart w:id="38" w:name="_Toc365985109"/>
      <w:bookmarkStart w:id="39" w:name="_Toc339019955"/>
      <w:bookmarkStart w:id="40" w:name="_Toc337632316"/>
      <w:bookmarkStart w:id="41" w:name="_Toc339020049"/>
      <w:bookmarkStart w:id="42" w:name="_Toc365967003"/>
      <w:bookmarkStart w:id="43" w:name="_Toc339441045"/>
      <w:bookmarkStart w:id="44" w:name="_Toc330459946"/>
      <w:bookmarkStart w:id="45" w:name="_Toc340672831"/>
      <w:bookmarkStart w:id="46" w:name="_Toc336681538"/>
      <w:bookmarkStart w:id="47" w:name="_Toc349143547"/>
      <w:bookmarkStart w:id="48" w:name="_Toc342296709"/>
      <w:bookmarkStart w:id="49" w:name="_Toc350438703"/>
      <w:bookmarkStart w:id="50" w:name="_Toc345513763"/>
      <w:bookmarkStart w:id="51" w:name="_Toc332206658"/>
      <w:bookmarkStart w:id="52" w:name="_Toc341348292"/>
      <w:bookmarkStart w:id="53" w:name="_Toc336681893"/>
      <w:bookmarkStart w:id="54" w:name="_Toc339020187"/>
      <w:bookmarkStart w:id="55" w:name="_Toc339019829"/>
      <w:bookmarkStart w:id="56" w:name="_Toc339362258"/>
      <w:bookmarkStart w:id="57" w:name="_Toc333935620"/>
      <w:bookmarkStart w:id="58" w:name="_Toc331512857"/>
      <w:bookmarkStart w:id="59" w:name="_Toc331683995"/>
      <w:bookmarkStart w:id="60" w:name="_Toc332270306"/>
      <w:bookmarkStart w:id="61" w:name="_Toc349127584"/>
      <w:bookmarkStart w:id="62" w:name="_Toc350756404"/>
      <w:bookmarkStart w:id="63" w:name="_Toc333237613"/>
      <w:bookmarkStart w:id="64" w:name="_Toc333237724"/>
      <w:bookmarkStart w:id="65" w:name="_Toc340507404"/>
      <w:bookmarkStart w:id="66" w:name="_Toc342060323"/>
      <w:bookmarkStart w:id="67" w:name="_Toc333935279"/>
      <w:bookmarkStart w:id="68" w:name="_Toc333238572"/>
      <w:bookmarkStart w:id="69" w:name="_Toc340677032"/>
      <w:r>
        <w:rPr>
          <w:rFonts w:hint="eastAsia" w:ascii="宋体" w:hAnsi="宋体" w:eastAsia="宋体" w:cs="宋体"/>
          <w:color w:val="000000" w:themeColor="text1"/>
          <w:highlight w:val="none"/>
          <w14:textFill>
            <w14:solidFill>
              <w14:schemeClr w14:val="tx1"/>
            </w14:solidFill>
          </w14:textFill>
        </w:rPr>
        <w:t>2024年</w:t>
      </w:r>
      <w:r>
        <w:rPr>
          <w:rFonts w:hint="eastAsia" w:ascii="宋体" w:hAnsi="宋体" w:eastAsia="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14:textFill>
            <w14:solidFill>
              <w14:schemeClr w14:val="tx1"/>
            </w14:solidFill>
          </w14:textFill>
        </w:rPr>
        <w:t>月</w:t>
      </w:r>
      <w:r>
        <w:rPr>
          <w:rFonts w:hint="eastAsia" w:ascii="宋体" w:hAnsi="宋体" w:eastAsia="宋体" w:cs="宋体"/>
          <w:color w:val="000000" w:themeColor="text1"/>
          <w:highlight w:val="none"/>
          <w:lang w:val="en-US" w:eastAsia="zh-CN"/>
          <w14:textFill>
            <w14:solidFill>
              <w14:schemeClr w14:val="tx1"/>
            </w14:solidFill>
          </w14:textFill>
        </w:rPr>
        <w:t>19</w:t>
      </w:r>
      <w:r>
        <w:rPr>
          <w:rFonts w:hint="eastAsia" w:ascii="宋体" w:hAnsi="宋体" w:eastAsia="宋体" w:cs="宋体"/>
          <w:color w:val="000000" w:themeColor="text1"/>
          <w:highlight w:val="none"/>
          <w14:textFill>
            <w14:solidFill>
              <w14:schemeClr w14:val="tx1"/>
            </w14:solidFill>
          </w14:textFill>
        </w:rPr>
        <w:t>日</w:t>
      </w:r>
    </w:p>
    <w:p>
      <w:pPr>
        <w:pStyle w:val="4"/>
        <w:numPr>
          <w:ilvl w:val="0"/>
          <w:numId w:val="0"/>
        </w:numPr>
        <w:spacing w:beforeLines="0" w:afterLines="50" w:line="390" w:lineRule="exact"/>
        <w:ind w:left="105" w:leftChars="50" w:firstLine="480" w:firstLineChars="200"/>
        <w:rPr>
          <w:color w:val="000000" w:themeColor="text1"/>
          <w:highlight w:val="none"/>
          <w14:textFill>
            <w14:solidFill>
              <w14:schemeClr w14:val="tx1"/>
            </w14:solidFill>
          </w14:textFill>
        </w:rPr>
      </w:pPr>
      <w:bookmarkStart w:id="70" w:name="_Toc24424"/>
      <w:r>
        <w:rPr>
          <w:rFonts w:hint="eastAsia"/>
          <w:color w:val="000000" w:themeColor="text1"/>
          <w:highlight w:val="none"/>
          <w14:textFill>
            <w14:solidFill>
              <w14:schemeClr w14:val="tx1"/>
            </w14:solidFill>
          </w14:textFill>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3238573"/>
      <w:bookmarkStart w:id="73" w:name="_Toc75570886"/>
      <w:bookmarkStart w:id="74" w:name="_Toc330459949"/>
      <w:bookmarkStart w:id="75" w:name="_Toc333237725"/>
      <w:bookmarkStart w:id="76" w:name="_Toc333935280"/>
      <w:bookmarkStart w:id="77" w:name="_Toc333935621"/>
      <w:bookmarkStart w:id="78" w:name="_Toc333237614"/>
      <w:r>
        <w:rPr>
          <w:rFonts w:hint="eastAsia"/>
          <w:color w:val="000000" w:themeColor="text1"/>
          <w:highlight w:val="none"/>
          <w14:textFill>
            <w14:solidFill>
              <w14:schemeClr w14:val="tx1"/>
            </w14:solidFill>
          </w14:textFill>
        </w:rPr>
        <w:t>采购项目内容</w:t>
      </w:r>
      <w:bookmarkEnd w:id="70"/>
    </w:p>
    <w:bookmarkEnd w:id="72"/>
    <w:bookmarkEnd w:id="73"/>
    <w:bookmarkEnd w:id="74"/>
    <w:bookmarkEnd w:id="75"/>
    <w:bookmarkEnd w:id="76"/>
    <w:bookmarkEnd w:id="77"/>
    <w:bookmarkEnd w:id="78"/>
    <w:p>
      <w:pPr>
        <w:pStyle w:val="5"/>
        <w:numPr>
          <w:ilvl w:val="0"/>
          <w:numId w:val="0"/>
        </w:numPr>
        <w:spacing w:beforeLines="150" w:after="0" w:line="360" w:lineRule="auto"/>
        <w:rPr>
          <w:color w:val="000000" w:themeColor="text1"/>
          <w:kern w:val="0"/>
          <w:sz w:val="24"/>
          <w:highlight w:val="none"/>
          <w14:textFill>
            <w14:solidFill>
              <w14:schemeClr w14:val="tx1"/>
            </w14:solidFill>
          </w14:textFill>
        </w:rPr>
      </w:pPr>
      <w:bookmarkStart w:id="79" w:name="_Toc20467"/>
      <w:bookmarkStart w:id="80" w:name="_Toc333935313"/>
      <w:bookmarkStart w:id="81" w:name="_Toc342296727"/>
      <w:bookmarkStart w:id="82" w:name="_Toc365985146"/>
      <w:bookmarkStart w:id="83" w:name="_Toc341348305"/>
      <w:bookmarkStart w:id="84" w:name="_Toc336681547"/>
      <w:bookmarkStart w:id="85" w:name="_Toc340672836"/>
      <w:bookmarkStart w:id="86" w:name="_Toc339020200"/>
      <w:bookmarkStart w:id="87" w:name="_Toc339019856"/>
      <w:bookmarkStart w:id="88" w:name="_Toc365967040"/>
      <w:bookmarkStart w:id="89" w:name="_Toc337632325"/>
      <w:bookmarkStart w:id="90" w:name="_Toc333237644"/>
      <w:bookmarkStart w:id="91" w:name="_Toc336681902"/>
      <w:bookmarkStart w:id="92" w:name="_Toc339020062"/>
      <w:bookmarkStart w:id="93" w:name="_Toc350756417"/>
      <w:bookmarkStart w:id="94" w:name="_Toc331512865"/>
      <w:bookmarkStart w:id="95" w:name="_Toc331684005"/>
      <w:bookmarkStart w:id="96" w:name="_Toc333935654"/>
      <w:bookmarkStart w:id="97" w:name="_Toc339441054"/>
      <w:bookmarkStart w:id="98" w:name="_Toc345513834"/>
      <w:bookmarkStart w:id="99" w:name="_Toc333238600"/>
      <w:bookmarkStart w:id="100" w:name="_Toc340507409"/>
      <w:bookmarkStart w:id="101" w:name="_Toc342060341"/>
      <w:bookmarkStart w:id="102" w:name="_Toc339362267"/>
      <w:bookmarkStart w:id="103" w:name="_Toc332206675"/>
      <w:bookmarkStart w:id="104" w:name="_Toc350438716"/>
      <w:bookmarkStart w:id="105" w:name="_Toc366072495"/>
      <w:bookmarkStart w:id="106" w:name="_Toc340677037"/>
      <w:bookmarkStart w:id="107" w:name="_Toc349127593"/>
      <w:bookmarkStart w:id="108" w:name="_Toc330459952"/>
      <w:bookmarkStart w:id="109" w:name="_Toc339019982"/>
      <w:bookmarkStart w:id="110" w:name="_Toc349143556"/>
      <w:bookmarkStart w:id="111" w:name="_Toc333237755"/>
      <w:bookmarkStart w:id="112" w:name="_Toc332270313"/>
      <w:r>
        <w:rPr>
          <w:color w:val="000000" w:themeColor="text1"/>
          <w:kern w:val="0"/>
          <w:sz w:val="24"/>
          <w:highlight w:val="none"/>
          <w14:textFill>
            <w14:solidFill>
              <w14:schemeClr w14:val="tx1"/>
            </w14:solidFill>
          </w14:textFill>
        </w:rPr>
        <w:t xml:space="preserve">A  </w:t>
      </w:r>
      <w:r>
        <w:rPr>
          <w:rFonts w:hint="eastAsia"/>
          <w:color w:val="000000" w:themeColor="text1"/>
          <w:kern w:val="0"/>
          <w:sz w:val="24"/>
          <w:highlight w:val="none"/>
          <w14:textFill>
            <w14:solidFill>
              <w14:schemeClr w14:val="tx1"/>
            </w14:solidFill>
          </w14:textFill>
        </w:rPr>
        <w:t>商务要求</w:t>
      </w:r>
      <w:bookmarkEnd w:id="79"/>
    </w:p>
    <w:tbl>
      <w:tblPr>
        <w:tblStyle w:val="46"/>
        <w:tblW w:w="10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w:t>
            </w:r>
          </w:p>
        </w:tc>
        <w:tc>
          <w:tcPr>
            <w:tcW w:w="680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投标人投标资格要求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详见第一</w:t>
            </w:r>
            <w:r>
              <w:rPr>
                <w:rFonts w:hint="eastAsia"/>
                <w:color w:val="000000" w:themeColor="text1"/>
                <w:highlight w:val="none"/>
                <w:lang w:eastAsia="zh-CN"/>
                <w14:textFill>
                  <w14:solidFill>
                    <w14:schemeClr w14:val="tx1"/>
                  </w14:solidFill>
                </w14:textFill>
              </w:rPr>
              <w:t>部分</w:t>
            </w:r>
            <w:r>
              <w:rPr>
                <w:rFonts w:hint="eastAsia"/>
                <w:color w:val="000000" w:themeColor="text1"/>
                <w:highlight w:val="none"/>
                <w14:textFill>
                  <w14:solidFill>
                    <w14:schemeClr w14:val="tx1"/>
                  </w14:solidFill>
                </w14:textFill>
              </w:rPr>
              <w:t>《投标邀请函》。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服务期</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合同签订要求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采购合同由中标供应商</w:t>
            </w:r>
            <w:r>
              <w:rPr>
                <w:rFonts w:hint="eastAsia"/>
                <w:color w:val="000000" w:themeColor="text1"/>
                <w:highlight w:val="none"/>
                <w:lang w:val="en-US" w:eastAsia="zh-CN"/>
                <w14:textFill>
                  <w14:solidFill>
                    <w14:schemeClr w14:val="tx1"/>
                  </w14:solidFill>
                </w14:textFill>
              </w:rPr>
              <w:t>凭《</w:t>
            </w:r>
            <w:r>
              <w:rPr>
                <w:rFonts w:hint="eastAsia"/>
                <w:color w:val="000000" w:themeColor="text1"/>
                <w:highlight w:val="none"/>
                <w14:textFill>
                  <w14:solidFill>
                    <w14:schemeClr w14:val="tx1"/>
                  </w14:solidFill>
                </w14:textFill>
              </w:rPr>
              <w:t>中标通知书</w:t>
            </w:r>
            <w:r>
              <w:rPr>
                <w:rFonts w:hint="eastAsia"/>
                <w:color w:val="000000" w:themeColor="text1"/>
                <w:highlight w:val="none"/>
                <w:lang w:val="en-US" w:eastAsia="zh-CN"/>
                <w14:textFill>
                  <w14:solidFill>
                    <w14:schemeClr w14:val="tx1"/>
                  </w14:solidFill>
                </w14:textFill>
              </w:rPr>
              <w:t>》</w:t>
            </w:r>
            <w:r>
              <w:rPr>
                <w:rFonts w:hint="eastAsia"/>
                <w:color w:val="000000" w:themeColor="text1"/>
                <w:highlight w:val="none"/>
                <w14:textFill>
                  <w14:solidFill>
                    <w14:schemeClr w14:val="tx1"/>
                  </w14:solidFill>
                </w14:textFill>
              </w:rPr>
              <w:t>与采购人双方签订，签订时间为《中标通知书》发出后30日内。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4</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b/>
                <w:color w:val="000000" w:themeColor="text1"/>
                <w:highlight w:val="none"/>
                <w14:textFill>
                  <w14:solidFill>
                    <w14:schemeClr w14:val="tx1"/>
                  </w14:solidFill>
                </w14:textFill>
              </w:rPr>
            </w:pPr>
            <w:r>
              <w:rPr>
                <w:rFonts w:hint="eastAsia"/>
                <w:b/>
                <w:color w:val="000000" w:themeColor="text1"/>
                <w:highlight w:val="none"/>
                <w:lang w:val="en-US" w:eastAsia="zh-CN"/>
                <w14:textFill>
                  <w14:solidFill>
                    <w14:schemeClr w14:val="tx1"/>
                  </w14:solidFill>
                </w14:textFill>
              </w:rPr>
              <w:t>服务</w:t>
            </w:r>
            <w:r>
              <w:rPr>
                <w:rFonts w:hint="eastAsia"/>
                <w:b/>
                <w:color w:val="000000" w:themeColor="text1"/>
                <w:highlight w:val="none"/>
                <w14:textFill>
                  <w14:solidFill>
                    <w14:schemeClr w14:val="tx1"/>
                  </w14:solidFill>
                </w14:textFill>
              </w:rPr>
              <w:t>地点</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5</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商务要求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r>
              <w:rPr>
                <w:rFonts w:hint="eastAsia"/>
                <w:color w:val="000000" w:themeColor="text1"/>
                <w:highlight w:val="none"/>
                <w14:textFill>
                  <w14:solidFill>
                    <w14:schemeClr w14:val="tx1"/>
                  </w14:solidFill>
                </w14:textFill>
              </w:rPr>
              <w:t>投标人所提交的服务应符合或优于国家现行相关标准。没有国家标准的，执行现行的行业标准。</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14:textFill>
                  <w14:solidFill>
                    <w14:schemeClr w14:val="tx1"/>
                  </w14:solidFill>
                </w14:textFill>
              </w:rPr>
              <w:t>投标人必须具备良好的资产质量状况、良好的偿付能力、良好的运营能力和严格的内部控制制度,保证账户资金安全。</w:t>
            </w:r>
          </w:p>
          <w:p>
            <w:pPr>
              <w:keepNext w:val="0"/>
              <w:keepLines w:val="0"/>
              <w:pageBreakBefore w:val="0"/>
              <w:kinsoku/>
              <w:wordWrap/>
              <w:overflowPunct/>
              <w:topLinePunct w:val="0"/>
              <w:autoSpaceDE/>
              <w:autoSpaceDN/>
              <w:bidi w:val="0"/>
              <w:adjustRightInd/>
              <w:spacing w:line="360" w:lineRule="exact"/>
              <w:textAlignment w:val="auto"/>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3.</w:t>
            </w:r>
            <w:r>
              <w:rPr>
                <w:rFonts w:hint="eastAsia"/>
                <w:color w:val="000000" w:themeColor="text1"/>
                <w:highlight w:val="none"/>
                <w14:textFill>
                  <w14:solidFill>
                    <w14:schemeClr w14:val="tx1"/>
                  </w14:solidFill>
                </w14:textFill>
              </w:rPr>
              <w:t>投标人应对我</w:t>
            </w:r>
            <w:r>
              <w:rPr>
                <w:rFonts w:hint="eastAsia"/>
                <w:color w:val="000000" w:themeColor="text1"/>
                <w:highlight w:val="none"/>
                <w:lang w:eastAsia="zh-CN"/>
                <w14:textFill>
                  <w14:solidFill>
                    <w14:schemeClr w14:val="tx1"/>
                  </w14:solidFill>
                </w14:textFill>
              </w:rPr>
              <w:t>区</w:t>
            </w:r>
            <w:r>
              <w:rPr>
                <w:rFonts w:hint="eastAsia"/>
                <w:color w:val="000000" w:themeColor="text1"/>
                <w:highlight w:val="none"/>
                <w14:textFill>
                  <w14:solidFill>
                    <w14:schemeClr w14:val="tx1"/>
                  </w14:solidFill>
                </w14:textFill>
              </w:rPr>
              <w:t>经济发展做出贡献</w:t>
            </w:r>
            <w:r>
              <w:rPr>
                <w:rFonts w:hint="eastAsia"/>
                <w:color w:val="000000" w:themeColor="text1"/>
                <w:highlight w:val="none"/>
                <w:lang w:eastAsia="zh-CN"/>
                <w14:textFill>
                  <w14:solidFill>
                    <w14:schemeClr w14:val="tx1"/>
                  </w14:solidFill>
                </w14:textFill>
              </w:rPr>
              <w:t>，积极支持我区财政各项工作开展。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6</w:t>
            </w:r>
          </w:p>
        </w:tc>
        <w:tc>
          <w:tcPr>
            <w:tcW w:w="25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其他要求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投标人的投标方案应包括但不限于以下内容：</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（1）业务的组织（包括业务组织架构，参与业务的人员配备和素质、管理体系等）。内部规章制度、</w:t>
            </w:r>
            <w:r>
              <w:rPr>
                <w:rFonts w:hint="eastAsia"/>
                <w:color w:val="000000" w:themeColor="text1"/>
                <w:highlight w:val="none"/>
                <w:lang w:eastAsia="zh-CN"/>
                <w14:textFill>
                  <w14:solidFill>
                    <w14:schemeClr w14:val="tx1"/>
                  </w14:solidFill>
                </w14:textFill>
              </w:rPr>
              <w:t>中国人民银行阳江市中心支行</w:t>
            </w:r>
            <w:r>
              <w:rPr>
                <w:rFonts w:hint="eastAsia"/>
                <w:color w:val="000000" w:themeColor="text1"/>
                <w:highlight w:val="none"/>
                <w14:textFill>
                  <w14:solidFill>
                    <w14:schemeClr w14:val="tx1"/>
                  </w14:solidFill>
                </w14:textFill>
              </w:rPr>
              <w:t>或阳江银监局核准的数据材料；</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（2）投标人需提供正在实施的利率文件或业务协议或业务操作规程等材料；</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（3）业务处理流程；</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（4）保证资金及时、安全、准确汇划的措施；</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（5）划拨资金、汇总、报表处理措施；</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（6）信息反馈的措施、手段；</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（7）紧急业务处理程序和时间限定；</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（8）保密措施；</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（9）对财政部门的其他服务承诺和优惠措施</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（10）纠错处理措施；</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（11）廉政承诺书；</w:t>
            </w:r>
          </w:p>
          <w:p>
            <w:pPr>
              <w:keepNext w:val="0"/>
              <w:keepLines w:val="0"/>
              <w:pageBreakBefore w:val="0"/>
              <w:kinsoku/>
              <w:wordWrap/>
              <w:overflowPunct/>
              <w:topLinePunct w:val="0"/>
              <w:autoSpaceDE/>
              <w:autoSpaceDN/>
              <w:bidi w:val="0"/>
              <w:adjustRightInd/>
              <w:spacing w:line="360" w:lineRule="exact"/>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（12）其他需要说明的问题。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7</w:t>
            </w:r>
          </w:p>
        </w:tc>
        <w:tc>
          <w:tcPr>
            <w:tcW w:w="2552"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投标保证金</w:t>
            </w:r>
          </w:p>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（应当以支票、汇票、本票或者金融机构、担保机构出具的保函等非现金</w:t>
            </w:r>
          </w:p>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形式提交）。</w:t>
            </w:r>
          </w:p>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提交主体：应以投标人名义交纳，如由上级行或其他上级金融机构代交的，须出具《情况说明书》，并说明理由。</w:t>
            </w:r>
            <w:r>
              <w:rPr>
                <w:rFonts w:hint="eastAsia" w:ascii="宋体" w:hAnsi="宋体" w:eastAsia="宋体" w:cs="宋体"/>
                <w:color w:val="000000" w:themeColor="text1"/>
                <w:sz w:val="21"/>
                <w:szCs w:val="21"/>
                <w:highlight w:val="none"/>
                <w14:textFill>
                  <w14:solidFill>
                    <w14:schemeClr w14:val="tx1"/>
                  </w14:solidFill>
                </w14:textFill>
              </w:rPr>
              <w:t>应注明“</w:t>
            </w:r>
            <w:r>
              <w:rPr>
                <w:rFonts w:hint="eastAsia" w:ascii="宋体" w:hAnsi="宋体" w:eastAsia="宋体" w:cs="宋体"/>
                <w:b/>
                <w:color w:val="000000" w:themeColor="text1"/>
                <w:sz w:val="21"/>
                <w:szCs w:val="21"/>
                <w:highlight w:val="none"/>
                <w14:textFill>
                  <w14:solidFill>
                    <w14:schemeClr w14:val="tx1"/>
                  </w14:solidFill>
                </w14:textFill>
              </w:rPr>
              <w:t>（项目编号）投标保证金</w:t>
            </w:r>
            <w:r>
              <w:rPr>
                <w:rFonts w:hint="eastAsia" w:ascii="宋体" w:hAnsi="宋体" w:eastAsia="宋体" w:cs="宋体"/>
                <w:color w:val="000000" w:themeColor="text1"/>
                <w:sz w:val="21"/>
                <w:szCs w:val="21"/>
                <w:highlight w:val="none"/>
                <w14:textFill>
                  <w14:solidFill>
                    <w14:schemeClr w14:val="tx1"/>
                  </w14:solidFill>
                </w14:textFill>
              </w:rPr>
              <w:t>”。</w:t>
            </w: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6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保证金数额</w:t>
            </w:r>
          </w:p>
        </w:tc>
        <w:tc>
          <w:tcPr>
            <w:tcW w:w="49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60" w:lineRule="exact"/>
              <w:ind w:left="316" w:hanging="316" w:hangingChars="150"/>
              <w:jc w:val="left"/>
              <w:textAlignment w:val="auto"/>
              <w:rPr>
                <w:rFonts w:ascii="宋体" w:hAnsi="宋体"/>
                <w:b/>
                <w:color w:val="000000" w:themeColor="text1"/>
                <w:szCs w:val="21"/>
                <w:highlight w:val="none"/>
                <w14:textFill>
                  <w14:solidFill>
                    <w14:schemeClr w14:val="tx1"/>
                  </w14:solidFill>
                </w14:textFill>
              </w:rPr>
            </w:pPr>
            <w:r>
              <w:rPr>
                <w:rFonts w:hint="eastAsia" w:ascii="宋体" w:hAnsi="宋体" w:cs="宋体"/>
                <w:b/>
                <w:color w:val="000000" w:themeColor="text1"/>
                <w:sz w:val="21"/>
                <w:szCs w:val="21"/>
                <w:highlight w:val="none"/>
                <w:lang w:val="en-US" w:eastAsia="zh-CN"/>
                <w14:textFill>
                  <w14:solidFill>
                    <w14:schemeClr w14:val="tx1"/>
                  </w14:solidFill>
                </w14:textFill>
              </w:rPr>
              <w:t>人</w:t>
            </w:r>
            <w:r>
              <w:rPr>
                <w:rFonts w:hint="eastAsia" w:ascii="宋体" w:hAnsi="宋体" w:eastAsia="宋体" w:cs="宋体"/>
                <w:b/>
                <w:color w:val="000000" w:themeColor="text1"/>
                <w:sz w:val="21"/>
                <w:szCs w:val="21"/>
                <w:highlight w:val="none"/>
                <w14:textFill>
                  <w14:solidFill>
                    <w14:schemeClr w14:val="tx1"/>
                  </w14:solidFill>
                </w14:textFill>
              </w:rPr>
              <w:t>民币</w:t>
            </w:r>
            <w:r>
              <w:rPr>
                <w:rFonts w:hint="eastAsia" w:ascii="宋体" w:hAnsi="宋体" w:eastAsia="宋体" w:cs="宋体"/>
                <w:b/>
                <w:color w:val="000000" w:themeColor="text1"/>
                <w:sz w:val="21"/>
                <w:szCs w:val="21"/>
                <w:highlight w:val="none"/>
                <w:lang w:eastAsia="zh-CN"/>
                <w14:textFill>
                  <w14:solidFill>
                    <w14:schemeClr w14:val="tx1"/>
                  </w14:solidFill>
                </w14:textFill>
              </w:rPr>
              <w:t>伍万</w:t>
            </w:r>
            <w:r>
              <w:rPr>
                <w:rFonts w:hint="eastAsia" w:ascii="宋体" w:hAnsi="宋体" w:eastAsia="宋体" w:cs="宋体"/>
                <w:b/>
                <w:color w:val="000000" w:themeColor="text1"/>
                <w:sz w:val="21"/>
                <w:szCs w:val="21"/>
                <w:highlight w:val="none"/>
                <w14:textFill>
                  <w14:solidFill>
                    <w14:schemeClr w14:val="tx1"/>
                  </w14:solidFill>
                </w14:textFill>
              </w:rPr>
              <w:t>元整（￥</w:t>
            </w:r>
            <w:r>
              <w:rPr>
                <w:rFonts w:hint="eastAsia" w:ascii="宋体" w:hAnsi="宋体" w:eastAsia="宋体" w:cs="宋体"/>
                <w:b/>
                <w:color w:val="000000" w:themeColor="text1"/>
                <w:sz w:val="21"/>
                <w:szCs w:val="21"/>
                <w:highlight w:val="none"/>
                <w:lang w:val="en-US" w:eastAsia="zh-CN"/>
                <w14:textFill>
                  <w14:solidFill>
                    <w14:schemeClr w14:val="tx1"/>
                  </w14:solidFill>
                </w14:textFill>
              </w:rPr>
              <w:t>50000</w:t>
            </w:r>
            <w:r>
              <w:rPr>
                <w:rFonts w:hint="eastAsia" w:ascii="宋体" w:hAnsi="宋体" w:eastAsia="宋体" w:cs="宋体"/>
                <w:b/>
                <w:color w:val="000000" w:themeColor="text1"/>
                <w:sz w:val="21"/>
                <w:szCs w:val="21"/>
                <w:highlight w:val="none"/>
                <w14:textFill>
                  <w14:solidFill>
                    <w14:schemeClr w14:val="tx1"/>
                  </w14:solidFill>
                </w14:textFill>
              </w:rPr>
              <w:t>.00元）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b/>
                <w:bCs/>
                <w:color w:val="000000" w:themeColor="text1"/>
                <w:szCs w:val="21"/>
                <w:highlight w:val="none"/>
                <w:lang w:eastAsia="zh-CN"/>
                <w14:textFill>
                  <w14:solidFill>
                    <w14:schemeClr w14:val="tx1"/>
                  </w14:solidFill>
                </w14:textFill>
              </w:rPr>
            </w:pPr>
            <w:r>
              <w:rPr>
                <w:rFonts w:hint="eastAsia" w:ascii="宋体" w:hAnsi="宋体"/>
                <w:b/>
                <w:bCs/>
                <w:color w:val="000000" w:themeColor="text1"/>
                <w:szCs w:val="21"/>
                <w:highlight w:val="none"/>
                <w:lang w:eastAsia="zh-CN"/>
                <w14:textFill>
                  <w14:solidFill>
                    <w14:schemeClr w14:val="tx1"/>
                  </w14:solidFill>
                </w14:textFill>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eastAsia="宋体"/>
                <w:b/>
                <w:bCs/>
                <w:color w:val="000000" w:themeColor="text1"/>
                <w:szCs w:val="21"/>
                <w:highlight w:val="none"/>
                <w:lang w:eastAsia="zh-CN"/>
                <w14:textFill>
                  <w14:solidFill>
                    <w14:schemeClr w14:val="tx1"/>
                  </w14:solidFill>
                </w14:textFill>
              </w:rPr>
            </w:pPr>
            <w:r>
              <w:rPr>
                <w:rFonts w:hint="eastAsia" w:ascii="宋体" w:hAnsi="宋体" w:eastAsia="宋体"/>
                <w:b/>
                <w:bCs/>
                <w:color w:val="000000" w:themeColor="text1"/>
                <w:szCs w:val="21"/>
                <w:highlight w:val="none"/>
                <w:lang w:eastAsia="zh-CN"/>
                <w14:textFill>
                  <w14:solidFill>
                    <w14:schemeClr w14:val="tx1"/>
                  </w14:solidFill>
                </w14:textFill>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b/>
                <w:bCs/>
                <w:color w:val="000000" w:themeColor="text1"/>
                <w:szCs w:val="21"/>
                <w:highlight w:val="none"/>
                <w:lang w:eastAsia="zh-CN"/>
                <w14:textFill>
                  <w14:solidFill>
                    <w14:schemeClr w14:val="tx1"/>
                  </w14:solidFill>
                </w14:textFill>
              </w:rPr>
            </w:pPr>
            <w:r>
              <w:rPr>
                <w:rFonts w:hint="eastAsia" w:ascii="宋体" w:hAnsi="宋体" w:eastAsia="宋体"/>
                <w:b/>
                <w:bCs/>
                <w:color w:val="000000" w:themeColor="text1"/>
                <w:szCs w:val="21"/>
                <w:highlight w:val="none"/>
                <w:lang w:eastAsia="zh-CN"/>
                <w14:textFill>
                  <w14:solidFill>
                    <w14:schemeClr w14:val="tx1"/>
                  </w14:solidFill>
                </w14:textFill>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p>
        </w:tc>
        <w:tc>
          <w:tcPr>
            <w:tcW w:w="2552"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6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交纳时间</w:t>
            </w:r>
          </w:p>
        </w:tc>
        <w:tc>
          <w:tcPr>
            <w:tcW w:w="49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360" w:lineRule="exact"/>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8</w:t>
            </w:r>
          </w:p>
        </w:tc>
        <w:tc>
          <w:tcPr>
            <w:tcW w:w="2552"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中标服务费</w:t>
            </w:r>
          </w:p>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收费标准：</w:t>
            </w:r>
          </w:p>
        </w:tc>
        <w:tc>
          <w:tcPr>
            <w:tcW w:w="49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ascii="宋体" w:hAnsi="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根据发改价格[2015]299号文的规定</w:t>
            </w:r>
            <w:r>
              <w:rPr>
                <w:rFonts w:hint="eastAsia" w:ascii="宋体" w:hAnsi="宋体" w:eastAsia="宋体" w:cs="宋体"/>
                <w:color w:val="000000" w:themeColor="text1"/>
                <w:sz w:val="21"/>
                <w:szCs w:val="21"/>
                <w:highlight w:val="none"/>
                <w14:textFill>
                  <w14:solidFill>
                    <w14:schemeClr w14:val="tx1"/>
                  </w14:solidFill>
                </w14:textFill>
              </w:rPr>
              <w:t>，招标代理服务费实行市场调节价。</w:t>
            </w:r>
            <w:r>
              <w:rPr>
                <w:rFonts w:hint="eastAsia" w:ascii="宋体" w:hAnsi="宋体" w:eastAsia="宋体" w:cs="宋体"/>
                <w:bCs/>
                <w:color w:val="000000" w:themeColor="text1"/>
                <w:sz w:val="21"/>
                <w:szCs w:val="21"/>
                <w:highlight w:val="none"/>
                <w14:textFill>
                  <w14:solidFill>
                    <w14:schemeClr w14:val="tx1"/>
                  </w14:solidFill>
                </w14:textFill>
              </w:rPr>
              <w:t>中标供应商</w:t>
            </w:r>
            <w:r>
              <w:rPr>
                <w:rFonts w:hint="eastAsia" w:ascii="宋体" w:hAnsi="宋体" w:cs="宋体"/>
                <w:bCs/>
                <w:color w:val="000000" w:themeColor="text1"/>
                <w:sz w:val="21"/>
                <w:szCs w:val="21"/>
                <w:highlight w:val="none"/>
                <w:lang w:val="en-US" w:eastAsia="zh-CN"/>
                <w14:textFill>
                  <w14:solidFill>
                    <w14:schemeClr w14:val="tx1"/>
                  </w14:solidFill>
                </w14:textFill>
              </w:rPr>
              <w:t>分别</w:t>
            </w:r>
            <w:r>
              <w:rPr>
                <w:rFonts w:hint="eastAsia" w:ascii="宋体" w:hAnsi="宋体" w:eastAsia="宋体" w:cs="宋体"/>
                <w:bCs/>
                <w:color w:val="000000" w:themeColor="text1"/>
                <w:sz w:val="21"/>
                <w:szCs w:val="21"/>
                <w:highlight w:val="none"/>
                <w14:textFill>
                  <w14:solidFill>
                    <w14:schemeClr w14:val="tx1"/>
                  </w14:solidFill>
                </w14:textFill>
              </w:rPr>
              <w:t>在领取《中标通知书》之前应一次性交纳招标代理服务费</w:t>
            </w:r>
            <w:r>
              <w:rPr>
                <w:rFonts w:hint="eastAsia" w:ascii="宋体" w:hAnsi="宋体" w:eastAsia="宋体" w:cs="宋体"/>
                <w:color w:val="000000" w:themeColor="text1"/>
                <w:sz w:val="21"/>
                <w:szCs w:val="21"/>
                <w:highlight w:val="none"/>
                <w:lang w:eastAsia="zh-CN"/>
                <w14:textFill>
                  <w14:solidFill>
                    <w14:schemeClr w14:val="tx1"/>
                  </w14:solidFill>
                </w14:textFill>
              </w:rPr>
              <w:t>伍</w:t>
            </w:r>
            <w:r>
              <w:rPr>
                <w:rFonts w:hint="eastAsia" w:ascii="宋体" w:hAnsi="宋体" w:eastAsia="宋体" w:cs="宋体"/>
                <w:color w:val="000000" w:themeColor="text1"/>
                <w:sz w:val="21"/>
                <w:szCs w:val="21"/>
                <w:highlight w:val="none"/>
                <w14:textFill>
                  <w14:solidFill>
                    <w14:schemeClr w14:val="tx1"/>
                  </w14:solidFill>
                </w14:textFill>
              </w:rPr>
              <w:t>万元整（￥</w:t>
            </w:r>
            <w:r>
              <w:rPr>
                <w:rFonts w:hint="eastAsia" w:ascii="宋体" w:hAnsi="宋体" w:eastAsia="宋体" w:cs="宋体"/>
                <w:color w:val="000000" w:themeColor="text1"/>
                <w:sz w:val="21"/>
                <w:szCs w:val="21"/>
                <w:highlight w:val="none"/>
                <w:lang w:val="en-US" w:eastAsia="zh-CN"/>
                <w14:textFill>
                  <w14:solidFill>
                    <w14:schemeClr w14:val="tx1"/>
                  </w14:solidFill>
                </w14:textFill>
              </w:rPr>
              <w:t>5</w:t>
            </w:r>
            <w:r>
              <w:rPr>
                <w:rFonts w:hint="eastAsia" w:ascii="宋体" w:hAnsi="宋体" w:eastAsia="宋体" w:cs="宋体"/>
                <w:color w:val="000000" w:themeColor="text1"/>
                <w:sz w:val="21"/>
                <w:szCs w:val="21"/>
                <w:highlight w:val="none"/>
                <w14:textFill>
                  <w14:solidFill>
                    <w14:schemeClr w14:val="tx1"/>
                  </w14:solidFill>
                </w14:textFill>
              </w:rPr>
              <w:t>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bCs/>
                <w:color w:val="000000" w:themeColor="text1"/>
                <w:szCs w:val="21"/>
                <w:highlight w:val="none"/>
                <w:lang w:eastAsia="zh-CN"/>
                <w14:textFill>
                  <w14:solidFill>
                    <w14:schemeClr w14:val="tx1"/>
                  </w14:solidFill>
                </w14:textFill>
              </w:rPr>
            </w:pPr>
            <w:r>
              <w:rPr>
                <w:rFonts w:hint="eastAsia" w:ascii="宋体" w:hAnsi="宋体"/>
                <w:b/>
                <w:bCs/>
                <w:color w:val="000000" w:themeColor="text1"/>
                <w:szCs w:val="21"/>
                <w:highlight w:val="none"/>
                <w:lang w:eastAsia="zh-CN"/>
                <w14:textFill>
                  <w14:solidFill>
                    <w14:schemeClr w14:val="tx1"/>
                  </w14:solidFill>
                </w14:textFill>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bCs/>
                <w:color w:val="000000" w:themeColor="text1"/>
                <w:szCs w:val="21"/>
                <w:highlight w:val="none"/>
                <w:lang w:eastAsia="zh-CN"/>
                <w14:textFill>
                  <w14:solidFill>
                    <w14:schemeClr w14:val="tx1"/>
                  </w14:solidFill>
                </w14:textFill>
              </w:rPr>
            </w:pPr>
            <w:r>
              <w:rPr>
                <w:rFonts w:hint="eastAsia" w:ascii="宋体" w:hAnsi="宋体"/>
                <w:b/>
                <w:bCs/>
                <w:color w:val="000000" w:themeColor="text1"/>
                <w:szCs w:val="21"/>
                <w:highlight w:val="none"/>
                <w:lang w:eastAsia="zh-CN"/>
                <w14:textFill>
                  <w14:solidFill>
                    <w14:schemeClr w14:val="tx1"/>
                  </w14:solidFill>
                </w14:textFill>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color w:val="000000" w:themeColor="text1"/>
                <w:highlight w:val="none"/>
                <w14:textFill>
                  <w14:solidFill>
                    <w14:schemeClr w14:val="tx1"/>
                  </w14:solidFill>
                </w14:textFill>
              </w:rPr>
            </w:pPr>
          </w:p>
        </w:tc>
        <w:tc>
          <w:tcPr>
            <w:tcW w:w="2552"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pacing w:line="360" w:lineRule="exact"/>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hint="eastAsia" w:ascii="宋体" w:hAnsi="宋体" w:eastAsia="宋体"/>
                <w:bCs/>
                <w:color w:val="000000" w:themeColor="text1"/>
                <w:szCs w:val="21"/>
                <w:highlight w:val="none"/>
                <w:lang w:eastAsia="zh-CN"/>
                <w14:textFill>
                  <w14:solidFill>
                    <w14:schemeClr w14:val="tx1"/>
                  </w14:solidFill>
                </w14:textFill>
              </w:rPr>
            </w:pPr>
            <w:r>
              <w:rPr>
                <w:rFonts w:hint="eastAsia" w:ascii="宋体" w:hAnsi="宋体"/>
                <w:b/>
                <w:bCs/>
                <w:color w:val="000000" w:themeColor="text1"/>
                <w:szCs w:val="21"/>
                <w:highlight w:val="none"/>
                <w:lang w:eastAsia="zh-CN"/>
                <w14:textFill>
                  <w14:solidFill>
                    <w14:schemeClr w14:val="tx1"/>
                  </w14:solidFill>
                </w14:textFill>
              </w:rPr>
              <w:t>中国农业银行股份有限公司阳江江城支行</w:t>
            </w:r>
          </w:p>
        </w:tc>
      </w:tr>
    </w:tbl>
    <w:p>
      <w:pPr>
        <w:adjustRightInd w:val="0"/>
        <w:snapToGrid w:val="0"/>
        <w:spacing w:line="360" w:lineRule="auto"/>
        <w:rPr>
          <w:b/>
          <w:color w:val="000000" w:themeColor="text1"/>
          <w:szCs w:val="21"/>
          <w:highlight w:val="none"/>
          <w14:textFill>
            <w14:solidFill>
              <w14:schemeClr w14:val="tx1"/>
            </w14:solidFill>
          </w14:textFill>
        </w:rPr>
      </w:pPr>
    </w:p>
    <w:p>
      <w:pPr>
        <w:rPr>
          <w:rFonts w:hint="eastAsia"/>
          <w:color w:val="000000" w:themeColor="text1"/>
          <w:kern w:val="0"/>
          <w:sz w:val="24"/>
          <w:highlight w:val="none"/>
          <w14:textFill>
            <w14:solidFill>
              <w14:schemeClr w14:val="tx1"/>
            </w14:solidFill>
          </w14:textFill>
        </w:rPr>
      </w:pPr>
      <w:r>
        <w:rPr>
          <w:rFonts w:hint="eastAsia"/>
          <w:color w:val="000000" w:themeColor="text1"/>
          <w:kern w:val="0"/>
          <w:sz w:val="24"/>
          <w:highlight w:val="none"/>
          <w14:textFill>
            <w14:solidFill>
              <w14:schemeClr w14:val="tx1"/>
            </w14:solidFill>
          </w14:textFill>
        </w:rPr>
        <w:br w:type="page"/>
      </w:r>
    </w:p>
    <w:p>
      <w:pPr>
        <w:pStyle w:val="5"/>
        <w:numPr>
          <w:ilvl w:val="0"/>
          <w:numId w:val="0"/>
        </w:numPr>
        <w:spacing w:beforeLines="150" w:after="0" w:line="360" w:lineRule="auto"/>
        <w:rPr>
          <w:color w:val="000000" w:themeColor="text1"/>
          <w:kern w:val="0"/>
          <w:sz w:val="24"/>
          <w:highlight w:val="none"/>
          <w14:textFill>
            <w14:solidFill>
              <w14:schemeClr w14:val="tx1"/>
            </w14:solidFill>
          </w14:textFill>
        </w:rPr>
      </w:pPr>
      <w:bookmarkStart w:id="113" w:name="_Toc25258"/>
      <w:r>
        <w:rPr>
          <w:rFonts w:hint="eastAsia"/>
          <w:color w:val="000000" w:themeColor="text1"/>
          <w:kern w:val="0"/>
          <w:sz w:val="24"/>
          <w:highlight w:val="none"/>
          <w14:textFill>
            <w14:solidFill>
              <w14:schemeClr w14:val="tx1"/>
            </w14:solidFill>
          </w14:textFill>
        </w:rPr>
        <w:t>B  技术要求</w:t>
      </w:r>
      <w:bookmarkEnd w:id="113"/>
    </w:p>
    <w:p>
      <w:pPr>
        <w:adjustRightInd w:val="0"/>
        <w:snapToGrid w:val="0"/>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服务要求：</w:t>
      </w:r>
    </w:p>
    <w:p>
      <w:pPr>
        <w:adjustRightInd w:val="0"/>
        <w:snapToGrid w:val="0"/>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1、★代理银行需拥有健全的统发工资业务系统公共平台（如目前没有统发工资业务系统公共平台，可提供承诺中标后完善），免费提供给</w:t>
      </w:r>
      <w:r>
        <w:rPr>
          <w:rFonts w:hint="eastAsia" w:ascii="宋体" w:hAnsi="宋体" w:eastAsia="宋体" w:cs="宋体"/>
          <w:color w:val="000000" w:themeColor="text1"/>
          <w:sz w:val="21"/>
          <w:szCs w:val="21"/>
          <w:highlight w:val="none"/>
          <w:lang w:eastAsia="zh-CN"/>
          <w14:textFill>
            <w14:solidFill>
              <w14:schemeClr w14:val="tx1"/>
            </w14:solidFill>
          </w14:textFill>
        </w:rPr>
        <w:t>区</w:t>
      </w:r>
      <w:r>
        <w:rPr>
          <w:rFonts w:hint="eastAsia" w:ascii="宋体" w:hAnsi="宋体" w:eastAsia="宋体" w:cs="宋体"/>
          <w:color w:val="000000" w:themeColor="text1"/>
          <w:sz w:val="21"/>
          <w:szCs w:val="21"/>
          <w:highlight w:val="none"/>
          <w14:textFill>
            <w14:solidFill>
              <w14:schemeClr w14:val="tx1"/>
            </w14:solidFill>
          </w14:textFill>
        </w:rPr>
        <w:t>组织、人社、财政等部门使用，实现对相关部门统发工资管理业务的实时连接、传输和统发工资数据管理及共享，满足代扣社会保险费、住房公积金和个人所得税等项目的业务管理需求。阳江市海陵岛经济开发试验区财政局使用的系统所需硬件配置由代理银行免费提供。同时，代理银行还须免费提供统发工资业务系统公共平台的日常运行维护、修理、升级和业务培训等服务。在签订代理服务合同后60个自然日内，代理银行要保证统发工资业务系统公共平台正常运行。统发工资业务系统公共平台具体功能要求：</w:t>
      </w:r>
    </w:p>
    <w:p>
      <w:pPr>
        <w:spacing w:line="360" w:lineRule="auto"/>
        <w:ind w:firstLine="54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①具备对纳入统一发放工资范围的所有人员的个人信息数据库管理模块，支持纳入统发人员工资、津补贴计算，包括支持对补发工资、社保缴费、住房公积金、个人所得税等计算，并按税务部门的要求生成报税明细和汇总表；</w:t>
      </w:r>
    </w:p>
    <w:p>
      <w:pPr>
        <w:spacing w:line="360" w:lineRule="auto"/>
        <w:ind w:firstLine="54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②支持节日补助、年终一次性奖金计算发放等软件模块、并支持一个月多次发放工资、津贴补贴的要求；</w:t>
      </w:r>
    </w:p>
    <w:p>
      <w:pPr>
        <w:spacing w:line="360" w:lineRule="auto"/>
        <w:ind w:firstLine="54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③按政府收支分类科目反映支出总数和明细表、人员经费变动情况等；</w:t>
      </w:r>
    </w:p>
    <w:p>
      <w:pPr>
        <w:spacing w:line="360" w:lineRule="auto"/>
        <w:ind w:firstLine="54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④必须具备根据相关部门和预算单位的数据进行审核、查询、检索、分析统计和会计报表等自动生成功能；</w:t>
      </w:r>
    </w:p>
    <w:p>
      <w:pPr>
        <w:spacing w:line="360" w:lineRule="auto"/>
        <w:ind w:firstLine="54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⑤能满足多个科室同时在线数据审核和查询；</w:t>
      </w:r>
    </w:p>
    <w:p>
      <w:pPr>
        <w:spacing w:line="360" w:lineRule="auto"/>
        <w:ind w:firstLine="54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⑥具有自动纠错比对功能，能自动识别身份证号码、姓名等错误，及时发现统发工资数据中的疑点，支持历史数据的查询比较，按分类要求检索审核有关支出情况；</w:t>
      </w:r>
    </w:p>
    <w:p>
      <w:pPr>
        <w:spacing w:line="360" w:lineRule="auto"/>
        <w:ind w:firstLine="54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⑦按用户要求代扣住房公积金，社会保险费、个人所得税等税费项目，并按规定统一划入指定的相应帐户；</w:t>
      </w:r>
    </w:p>
    <w:p>
      <w:pPr>
        <w:spacing w:line="360" w:lineRule="auto"/>
        <w:ind w:firstLine="54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⑧支持数据接口的灵活定义功能，按用户要求实现与国库集中支付系统和社会保险费、住房公积金、个人所得税缴交系统的网络系统连接。</w:t>
      </w:r>
    </w:p>
    <w:p>
      <w:pPr>
        <w:adjustRightInd w:val="0"/>
        <w:snapToGrid w:val="0"/>
        <w:spacing w:line="360" w:lineRule="auto"/>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代理合同期满后，如原中标代理银行未能取得下一期代理资格，但上述政府部门提出仍需继续使用该统发工资业务系统公共平台或其中的某些模块，代理银行需承诺继续向上述部门无偿提供系统使用权及必要的系统维护服务，因系统维护服务产生的需向第三方支付的合理费用可以协商解决， 原则上由使用部门承担。</w:t>
      </w:r>
    </w:p>
    <w:p>
      <w:pPr>
        <w:adjustRightInd w:val="0"/>
        <w:snapToGrid w:val="0"/>
        <w:spacing w:line="360" w:lineRule="auto"/>
        <w:ind w:firstLine="552"/>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3、代理银行必须设置统发工资过渡户，开设统发工资卡。由财政国库每月将资金划拨到银行统发工资过渡户，再由过渡户进行统一发放至机关行政事业单位人员统发工资卡。</w:t>
      </w:r>
    </w:p>
    <w:p>
      <w:pPr>
        <w:adjustRightInd w:val="0"/>
        <w:snapToGrid w:val="0"/>
        <w:spacing w:line="360" w:lineRule="auto"/>
        <w:ind w:firstLine="552"/>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统发工资需于每月5日前（含国家法定节假日）发放至个人。代理银行应每月及时向阳江市海陵岛经济开发试验区财政局反馈所代理的统发工资业务的资金支付信息，需在工资发放后五个工作日内将数据回盘至财政部门，并做好每月与住房公积金、社保费和个人所得税等代扣代缴业务的衔接和数据核查，在协商日期内分种类进行数据返盘。代理银行应按时向阳江市海陵岛经济开发试验区财政局和预算单位报送报表和会计单据。</w:t>
      </w:r>
    </w:p>
    <w:p>
      <w:pPr>
        <w:adjustRightInd w:val="0"/>
        <w:snapToGrid w:val="0"/>
        <w:spacing w:line="360" w:lineRule="auto"/>
        <w:ind w:firstLine="552"/>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5、代理银行必须提供个人银行卡优质服务，对个人统发工资卡给予免补卡换卡费用、免年费、免信息服务费等优惠服务。在阳江市海陵岛经济开发试验区范围内设置金融网点，基本满足阳江市海陵岛经济开发试验区金融需求，网上银行、手机银行、电话银行、微信银行等虚拟渠道完善，以方便客户支取存款。</w:t>
      </w:r>
    </w:p>
    <w:p>
      <w:pPr>
        <w:adjustRightInd w:val="0"/>
        <w:snapToGrid w:val="0"/>
        <w:spacing w:line="360" w:lineRule="auto"/>
        <w:ind w:firstLine="552"/>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6、统发业务必须由代理银行的支行以上机构主办，主办机构必须配备专人负责统发工资业务，其中包括配备专人负责财政统发工资系统运作和维护。</w:t>
      </w:r>
    </w:p>
    <w:p>
      <w:pPr>
        <w:adjustRightInd w:val="0"/>
        <w:snapToGrid w:val="0"/>
        <w:spacing w:line="360" w:lineRule="auto"/>
        <w:ind w:firstLine="552"/>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7、代理银行接受阳江市海陵岛经济开发试验区财政局和中国人民银行阳江市中心支行对所代理业务管理监督，随时对出现的问题进行改进，提高服务水平。</w:t>
      </w:r>
    </w:p>
    <w:p>
      <w:pPr>
        <w:pStyle w:val="42"/>
        <w:spacing w:line="360" w:lineRule="auto"/>
        <w:ind w:firstLine="480" w:firstLineChars="200"/>
        <w:rPr>
          <w:rFonts w:hint="eastAsia"/>
          <w:color w:val="000000" w:themeColor="text1"/>
          <w:highlight w:val="none"/>
          <w14:textFill>
            <w14:solidFill>
              <w14:schemeClr w14:val="tx1"/>
            </w14:solidFill>
          </w14:textFill>
        </w:rPr>
      </w:pPr>
    </w:p>
    <w:p>
      <w:pPr>
        <w:pStyle w:val="24"/>
        <w:spacing w:line="360" w:lineRule="auto"/>
        <w:rPr>
          <w:rFonts w:hint="eastAsia" w:hAnsi="宋体"/>
          <w:color w:val="000000" w:themeColor="text1"/>
          <w:sz w:val="24"/>
          <w:szCs w:val="24"/>
          <w:highlight w:val="none"/>
          <w14:textFill>
            <w14:solidFill>
              <w14:schemeClr w14:val="tx1"/>
            </w14:solidFill>
          </w14:textFill>
        </w:rPr>
      </w:pPr>
    </w:p>
    <w:p>
      <w:pPr>
        <w:pStyle w:val="24"/>
        <w:spacing w:line="360" w:lineRule="auto"/>
        <w:rPr>
          <w:rFonts w:hint="eastAsia" w:hAnsi="宋体"/>
          <w:color w:val="000000" w:themeColor="text1"/>
          <w:sz w:val="24"/>
          <w:szCs w:val="24"/>
          <w:highlight w:val="none"/>
          <w14:textFill>
            <w14:solidFill>
              <w14:schemeClr w14:val="tx1"/>
            </w14:solidFill>
          </w14:textFill>
        </w:rPr>
      </w:pPr>
    </w:p>
    <w:p>
      <w:pPr>
        <w:pStyle w:val="24"/>
        <w:spacing w:line="360" w:lineRule="auto"/>
        <w:rPr>
          <w:rFonts w:hint="eastAsia" w:hAnsi="宋体"/>
          <w:color w:val="000000" w:themeColor="text1"/>
          <w:sz w:val="24"/>
          <w:szCs w:val="24"/>
          <w:highlight w:val="none"/>
          <w14:textFill>
            <w14:solidFill>
              <w14:schemeClr w14:val="tx1"/>
            </w14:solidFill>
          </w14:textFill>
        </w:rPr>
      </w:pPr>
    </w:p>
    <w:p>
      <w:pPr>
        <w:pStyle w:val="24"/>
        <w:spacing w:line="360" w:lineRule="auto"/>
        <w:rPr>
          <w:rFonts w:hint="eastAsia" w:hAnsi="宋体"/>
          <w:color w:val="000000" w:themeColor="text1"/>
          <w:sz w:val="24"/>
          <w:szCs w:val="24"/>
          <w:highlight w:val="none"/>
          <w14:textFill>
            <w14:solidFill>
              <w14:schemeClr w14:val="tx1"/>
            </w14:solidFill>
          </w14:textFill>
        </w:rPr>
      </w:pPr>
    </w:p>
    <w:p>
      <w:pPr>
        <w:pStyle w:val="24"/>
        <w:spacing w:line="360" w:lineRule="auto"/>
        <w:rPr>
          <w:rFonts w:hint="eastAsia" w:hAnsi="宋体"/>
          <w:color w:val="000000" w:themeColor="text1"/>
          <w:sz w:val="24"/>
          <w:szCs w:val="24"/>
          <w:highlight w:val="none"/>
          <w14:textFill>
            <w14:solidFill>
              <w14:schemeClr w14:val="tx1"/>
            </w14:solidFill>
          </w14:textFill>
        </w:rPr>
      </w:pPr>
    </w:p>
    <w:p>
      <w:pPr>
        <w:pStyle w:val="24"/>
        <w:spacing w:line="360" w:lineRule="auto"/>
        <w:rPr>
          <w:rFonts w:hint="eastAsia" w:hAnsi="宋体"/>
          <w:color w:val="000000" w:themeColor="text1"/>
          <w:sz w:val="24"/>
          <w:szCs w:val="24"/>
          <w:highlight w:val="none"/>
          <w14:textFill>
            <w14:solidFill>
              <w14:schemeClr w14:val="tx1"/>
            </w14:solidFill>
          </w14:textFill>
        </w:rPr>
      </w:pPr>
    </w:p>
    <w:p>
      <w:pPr>
        <w:pStyle w:val="24"/>
        <w:spacing w:line="360" w:lineRule="auto"/>
        <w:rPr>
          <w:rFonts w:hint="eastAsia" w:hAnsi="宋体"/>
          <w:color w:val="000000" w:themeColor="text1"/>
          <w:sz w:val="24"/>
          <w:szCs w:val="24"/>
          <w:highlight w:val="none"/>
          <w14:textFill>
            <w14:solidFill>
              <w14:schemeClr w14:val="tx1"/>
            </w14:solidFill>
          </w14:textFill>
        </w:rPr>
      </w:pPr>
    </w:p>
    <w:p>
      <w:pPr>
        <w:pStyle w:val="24"/>
        <w:spacing w:line="360" w:lineRule="auto"/>
        <w:rPr>
          <w:rFonts w:hint="eastAsia" w:hAnsi="宋体"/>
          <w:color w:val="000000" w:themeColor="text1"/>
          <w:sz w:val="24"/>
          <w:szCs w:val="24"/>
          <w:highlight w:val="none"/>
          <w14:textFill>
            <w14:solidFill>
              <w14:schemeClr w14:val="tx1"/>
            </w14:solidFill>
          </w14:textFill>
        </w:rPr>
      </w:pPr>
    </w:p>
    <w:p>
      <w:pPr>
        <w:pStyle w:val="24"/>
        <w:spacing w:line="360" w:lineRule="auto"/>
        <w:rPr>
          <w:rFonts w:hint="eastAsia" w:hAnsi="宋体"/>
          <w:color w:val="000000" w:themeColor="text1"/>
          <w:sz w:val="24"/>
          <w:szCs w:val="24"/>
          <w:highlight w:val="none"/>
          <w14:textFill>
            <w14:solidFill>
              <w14:schemeClr w14:val="tx1"/>
            </w14:solidFill>
          </w14:textFill>
        </w:rPr>
      </w:pPr>
    </w:p>
    <w:p>
      <w:pPr>
        <w:rPr>
          <w:rFonts w:hint="eastAsia" w:hAnsi="宋体"/>
          <w:color w:val="000000" w:themeColor="text1"/>
          <w:sz w:val="28"/>
          <w:szCs w:val="28"/>
          <w:highlight w:val="none"/>
          <w14:textFill>
            <w14:solidFill>
              <w14:schemeClr w14:val="tx1"/>
            </w14:solidFill>
          </w14:textFill>
        </w:rPr>
      </w:pPr>
      <w:r>
        <w:rPr>
          <w:rFonts w:hint="eastAsia" w:hAnsi="宋体"/>
          <w:color w:val="000000" w:themeColor="text1"/>
          <w:sz w:val="28"/>
          <w:szCs w:val="28"/>
          <w:highlight w:val="none"/>
          <w14:textFill>
            <w14:solidFill>
              <w14:schemeClr w14:val="tx1"/>
            </w14:solidFill>
          </w14:textFill>
        </w:rPr>
        <w:br w:type="page"/>
      </w:r>
    </w:p>
    <w:p>
      <w:pPr>
        <w:pStyle w:val="24"/>
        <w:spacing w:line="480" w:lineRule="exact"/>
        <w:rPr>
          <w:rFonts w:hAnsi="宋体"/>
          <w:color w:val="000000" w:themeColor="text1"/>
          <w:sz w:val="28"/>
          <w:szCs w:val="28"/>
          <w:highlight w:val="none"/>
          <w14:textFill>
            <w14:solidFill>
              <w14:schemeClr w14:val="tx1"/>
            </w14:solidFill>
          </w14:textFill>
        </w:rPr>
      </w:pPr>
      <w:r>
        <w:rPr>
          <w:rFonts w:hint="eastAsia" w:hAnsi="宋体"/>
          <w:color w:val="000000" w:themeColor="text1"/>
          <w:sz w:val="28"/>
          <w:szCs w:val="28"/>
          <w:highlight w:val="none"/>
          <w14:textFill>
            <w14:solidFill>
              <w14:schemeClr w14:val="tx1"/>
            </w14:solidFill>
          </w14:textFill>
        </w:rPr>
        <w:t>附表：</w:t>
      </w:r>
    </w:p>
    <w:tbl>
      <w:tblPr>
        <w:tblStyle w:val="46"/>
        <w:tblW w:w="8860" w:type="dxa"/>
        <w:jc w:val="center"/>
        <w:tblLayout w:type="fixed"/>
        <w:tblCellMar>
          <w:top w:w="0" w:type="dxa"/>
          <w:left w:w="108" w:type="dxa"/>
          <w:bottom w:w="0" w:type="dxa"/>
          <w:right w:w="108" w:type="dxa"/>
        </w:tblCellMar>
      </w:tblPr>
      <w:tblGrid>
        <w:gridCol w:w="1080"/>
        <w:gridCol w:w="5080"/>
        <w:gridCol w:w="2700"/>
      </w:tblGrid>
      <w:tr>
        <w:tblPrEx>
          <w:tblCellMar>
            <w:top w:w="0" w:type="dxa"/>
            <w:left w:w="108" w:type="dxa"/>
            <w:bottom w:w="0" w:type="dxa"/>
            <w:right w:w="108" w:type="dxa"/>
          </w:tblCellMar>
        </w:tblPrEx>
        <w:trPr>
          <w:trHeight w:val="599" w:hRule="atLeast"/>
          <w:jc w:val="center"/>
        </w:trPr>
        <w:tc>
          <w:tcPr>
            <w:tcW w:w="8860" w:type="dxa"/>
            <w:gridSpan w:val="3"/>
            <w:tcBorders>
              <w:top w:val="nil"/>
              <w:left w:val="nil"/>
              <w:bottom w:val="nil"/>
              <w:right w:val="nil"/>
            </w:tcBorders>
            <w:vAlign w:val="center"/>
          </w:tcPr>
          <w:p>
            <w:pPr>
              <w:widowControl/>
              <w:jc w:val="center"/>
              <w:rPr>
                <w:rFonts w:ascii="宋体" w:hAnsi="宋体" w:cs="宋体"/>
                <w:b/>
                <w:bCs/>
                <w:color w:val="000000" w:themeColor="text1"/>
                <w:kern w:val="0"/>
                <w:sz w:val="32"/>
                <w:szCs w:val="32"/>
                <w:highlight w:val="none"/>
                <w14:textFill>
                  <w14:solidFill>
                    <w14:schemeClr w14:val="tx1"/>
                  </w14:solidFill>
                </w14:textFill>
              </w:rPr>
            </w:pPr>
            <w:r>
              <w:rPr>
                <w:rFonts w:hint="eastAsia" w:ascii="宋体" w:hAnsi="宋体" w:cs="宋体"/>
                <w:b/>
                <w:bCs/>
                <w:color w:val="000000" w:themeColor="text1"/>
                <w:kern w:val="0"/>
                <w:sz w:val="32"/>
                <w:szCs w:val="32"/>
                <w:highlight w:val="none"/>
                <w:lang w:val="en-US" w:eastAsia="zh-CN"/>
                <w14:textFill>
                  <w14:solidFill>
                    <w14:schemeClr w14:val="tx1"/>
                  </w14:solidFill>
                </w14:textFill>
              </w:rPr>
              <w:t>2022年</w:t>
            </w:r>
            <w:r>
              <w:rPr>
                <w:rFonts w:hint="eastAsia" w:ascii="宋体" w:hAnsi="宋体" w:cs="宋体"/>
                <w:b/>
                <w:bCs/>
                <w:color w:val="000000" w:themeColor="text1"/>
                <w:kern w:val="0"/>
                <w:sz w:val="32"/>
                <w:szCs w:val="32"/>
                <w:highlight w:val="none"/>
                <w14:textFill>
                  <w14:solidFill>
                    <w14:schemeClr w14:val="tx1"/>
                  </w14:solidFill>
                </w14:textFill>
              </w:rPr>
              <w:t>投标人经营指标情况表</w:t>
            </w:r>
          </w:p>
        </w:tc>
      </w:tr>
      <w:tr>
        <w:tblPrEx>
          <w:tblCellMar>
            <w:top w:w="0" w:type="dxa"/>
            <w:left w:w="108" w:type="dxa"/>
            <w:bottom w:w="0" w:type="dxa"/>
            <w:right w:w="108" w:type="dxa"/>
          </w:tblCellMar>
        </w:tblPrEx>
        <w:trPr>
          <w:trHeight w:val="480" w:hRule="atLeast"/>
          <w:jc w:val="center"/>
        </w:trPr>
        <w:tc>
          <w:tcPr>
            <w:tcW w:w="6160" w:type="dxa"/>
            <w:gridSpan w:val="2"/>
            <w:tcBorders>
              <w:top w:val="nil"/>
              <w:left w:val="nil"/>
              <w:bottom w:val="nil"/>
              <w:right w:val="nil"/>
            </w:tcBorders>
            <w:vAlign w:val="center"/>
          </w:tcPr>
          <w:p>
            <w:pPr>
              <w:widowControl/>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编制单位：</w:t>
            </w:r>
          </w:p>
        </w:tc>
        <w:tc>
          <w:tcPr>
            <w:tcW w:w="2700" w:type="dxa"/>
            <w:tcBorders>
              <w:top w:val="nil"/>
              <w:left w:val="nil"/>
              <w:bottom w:val="nil"/>
              <w:right w:val="nil"/>
            </w:tcBorders>
            <w:vAlign w:val="center"/>
          </w:tcPr>
          <w:p>
            <w:pPr>
              <w:widowControl/>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单位：万元（本外币）</w:t>
            </w:r>
          </w:p>
        </w:tc>
      </w:tr>
      <w:tr>
        <w:tblPrEx>
          <w:tblCellMar>
            <w:top w:w="0" w:type="dxa"/>
            <w:left w:w="108" w:type="dxa"/>
            <w:bottom w:w="0" w:type="dxa"/>
            <w:right w:w="108" w:type="dxa"/>
          </w:tblCellMar>
        </w:tblPrEx>
        <w:trPr>
          <w:trHeight w:val="1035" w:hRule="atLeast"/>
          <w:jc w:val="center"/>
        </w:trPr>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themeColor="text1"/>
                <w:kern w:val="0"/>
                <w:sz w:val="24"/>
                <w:highlight w:val="none"/>
                <w14:textFill>
                  <w14:solidFill>
                    <w14:schemeClr w14:val="tx1"/>
                  </w14:solidFill>
                </w14:textFill>
              </w:rPr>
            </w:pPr>
            <w:r>
              <w:rPr>
                <w:rFonts w:hint="eastAsia" w:ascii="宋体" w:hAnsi="宋体" w:cs="宋体"/>
                <w:b/>
                <w:bCs/>
                <w:color w:val="000000" w:themeColor="text1"/>
                <w:kern w:val="0"/>
                <w:sz w:val="24"/>
                <w:highlight w:val="none"/>
                <w14:textFill>
                  <w14:solidFill>
                    <w14:schemeClr w14:val="tx1"/>
                  </w14:solidFill>
                </w14:textFill>
              </w:rPr>
              <w:t xml:space="preserve"> 序号 </w:t>
            </w:r>
          </w:p>
        </w:tc>
        <w:tc>
          <w:tcPr>
            <w:tcW w:w="50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themeColor="text1"/>
                <w:kern w:val="0"/>
                <w:sz w:val="24"/>
                <w:highlight w:val="none"/>
                <w14:textFill>
                  <w14:solidFill>
                    <w14:schemeClr w14:val="tx1"/>
                  </w14:solidFill>
                </w14:textFill>
              </w:rPr>
            </w:pPr>
            <w:r>
              <w:rPr>
                <w:rFonts w:hint="eastAsia" w:ascii="宋体" w:hAnsi="宋体" w:cs="宋体"/>
                <w:b/>
                <w:bCs/>
                <w:color w:val="000000" w:themeColor="text1"/>
                <w:kern w:val="0"/>
                <w:sz w:val="24"/>
                <w:highlight w:val="none"/>
                <w14:textFill>
                  <w14:solidFill>
                    <w14:schemeClr w14:val="tx1"/>
                  </w14:solidFill>
                </w14:textFill>
              </w:rPr>
              <w:t>项目</w:t>
            </w:r>
          </w:p>
        </w:tc>
        <w:tc>
          <w:tcPr>
            <w:tcW w:w="270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color w:val="000000" w:themeColor="text1"/>
                <w:kern w:val="0"/>
                <w:sz w:val="24"/>
                <w:highlight w:val="none"/>
                <w14:textFill>
                  <w14:solidFill>
                    <w14:schemeClr w14:val="tx1"/>
                  </w14:solidFill>
                </w14:textFill>
              </w:rPr>
            </w:pPr>
            <w:r>
              <w:rPr>
                <w:rFonts w:hint="eastAsia" w:ascii="宋体" w:hAnsi="宋体" w:cs="宋体"/>
                <w:b/>
                <w:bCs/>
                <w:color w:val="000000" w:themeColor="text1"/>
                <w:kern w:val="0"/>
                <w:sz w:val="24"/>
                <w:highlight w:val="none"/>
                <w14:textFill>
                  <w14:solidFill>
                    <w14:schemeClr w14:val="tx1"/>
                  </w14:solidFill>
                </w14:textFill>
              </w:rPr>
              <w:t xml:space="preserve"> 金额 </w:t>
            </w:r>
          </w:p>
        </w:tc>
      </w:tr>
      <w:tr>
        <w:tblPrEx>
          <w:tblCellMar>
            <w:top w:w="0" w:type="dxa"/>
            <w:left w:w="108" w:type="dxa"/>
            <w:bottom w:w="0" w:type="dxa"/>
            <w:right w:w="108" w:type="dxa"/>
          </w:tblCellMar>
        </w:tblPrEx>
        <w:trPr>
          <w:trHeight w:val="795" w:hRule="atLeast"/>
          <w:jc w:val="center"/>
        </w:trPr>
        <w:tc>
          <w:tcPr>
            <w:tcW w:w="1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t>1</w:t>
            </w:r>
          </w:p>
        </w:tc>
        <w:tc>
          <w:tcPr>
            <w:tcW w:w="5080" w:type="dxa"/>
            <w:tcBorders>
              <w:top w:val="nil"/>
              <w:left w:val="nil"/>
              <w:bottom w:val="single" w:color="auto" w:sz="4" w:space="0"/>
              <w:right w:val="single" w:color="auto" w:sz="4" w:space="0"/>
            </w:tcBorders>
            <w:vAlign w:val="center"/>
          </w:tcPr>
          <w:p>
            <w:pPr>
              <w:widowControl/>
              <w:jc w:val="left"/>
              <w:rPr>
                <w:rFonts w:ascii="宋体" w:hAnsi="宋体" w:cs="宋体"/>
                <w:b/>
                <w:bCs/>
                <w:color w:val="000000" w:themeColor="text1"/>
                <w:kern w:val="0"/>
                <w:sz w:val="20"/>
                <w:highlight w:val="none"/>
                <w14:textFill>
                  <w14:solidFill>
                    <w14:schemeClr w14:val="tx1"/>
                  </w14:solidFill>
                </w14:textFill>
              </w:rPr>
            </w:pPr>
            <w:r>
              <w:rPr>
                <w:rFonts w:hint="eastAsia" w:ascii="宋体" w:hAnsi="宋体" w:cs="宋体"/>
                <w:b/>
                <w:bCs/>
                <w:color w:val="000000" w:themeColor="text1"/>
                <w:kern w:val="0"/>
                <w:sz w:val="20"/>
                <w:highlight w:val="none"/>
                <w14:textFill>
                  <w14:solidFill>
                    <w14:schemeClr w14:val="tx1"/>
                  </w14:solidFill>
                </w14:textFill>
              </w:rPr>
              <w:t xml:space="preserve"> 资产总额 </w:t>
            </w:r>
          </w:p>
        </w:tc>
        <w:tc>
          <w:tcPr>
            <w:tcW w:w="2700" w:type="dxa"/>
            <w:tcBorders>
              <w:top w:val="nil"/>
              <w:left w:val="nil"/>
              <w:bottom w:val="single" w:color="auto" w:sz="4" w:space="0"/>
              <w:right w:val="single" w:color="auto" w:sz="4" w:space="0"/>
            </w:tcBorders>
            <w:vAlign w:val="bottom"/>
          </w:tcPr>
          <w:p>
            <w:pPr>
              <w:widowControl/>
              <w:jc w:val="center"/>
              <w:rPr>
                <w:rFonts w:ascii="宋体" w:hAnsi="宋体" w:cs="宋体"/>
                <w:color w:val="000000" w:themeColor="text1"/>
                <w:kern w:val="0"/>
                <w:sz w:val="20"/>
                <w:highlight w:val="none"/>
                <w14:textFill>
                  <w14:solidFill>
                    <w14:schemeClr w14:val="tx1"/>
                  </w14:solidFill>
                </w14:textFill>
              </w:rPr>
            </w:pPr>
            <w:r>
              <w:rPr>
                <w:rFonts w:hint="eastAsia" w:ascii="宋体" w:hAnsi="宋体" w:cs="宋体"/>
                <w:color w:val="000000" w:themeColor="text1"/>
                <w:kern w:val="0"/>
                <w:sz w:val="20"/>
                <w:highlight w:val="none"/>
                <w14:textFill>
                  <w14:solidFill>
                    <w14:schemeClr w14:val="tx1"/>
                  </w14:solidFill>
                </w14:textFill>
              </w:rPr>
              <w:t>　</w:t>
            </w:r>
          </w:p>
        </w:tc>
      </w:tr>
      <w:tr>
        <w:tblPrEx>
          <w:tblCellMar>
            <w:top w:w="0" w:type="dxa"/>
            <w:left w:w="108" w:type="dxa"/>
            <w:bottom w:w="0" w:type="dxa"/>
            <w:right w:w="108" w:type="dxa"/>
          </w:tblCellMar>
        </w:tblPrEx>
        <w:trPr>
          <w:trHeight w:val="780" w:hRule="atLeast"/>
          <w:jc w:val="center"/>
        </w:trPr>
        <w:tc>
          <w:tcPr>
            <w:tcW w:w="1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t>2</w:t>
            </w:r>
          </w:p>
        </w:tc>
        <w:tc>
          <w:tcPr>
            <w:tcW w:w="5080" w:type="dxa"/>
            <w:tcBorders>
              <w:top w:val="nil"/>
              <w:left w:val="nil"/>
              <w:bottom w:val="single" w:color="auto" w:sz="4" w:space="0"/>
              <w:right w:val="single" w:color="auto" w:sz="4" w:space="0"/>
            </w:tcBorders>
            <w:vAlign w:val="center"/>
          </w:tcPr>
          <w:p>
            <w:pPr>
              <w:widowControl/>
              <w:jc w:val="left"/>
              <w:rPr>
                <w:rFonts w:ascii="宋体" w:hAnsi="宋体" w:cs="宋体"/>
                <w:b/>
                <w:bCs/>
                <w:color w:val="000000" w:themeColor="text1"/>
                <w:kern w:val="0"/>
                <w:sz w:val="20"/>
                <w:highlight w:val="none"/>
                <w14:textFill>
                  <w14:solidFill>
                    <w14:schemeClr w14:val="tx1"/>
                  </w14:solidFill>
                </w14:textFill>
              </w:rPr>
            </w:pPr>
            <w:r>
              <w:rPr>
                <w:rFonts w:hint="eastAsia" w:ascii="宋体" w:hAnsi="宋体" w:cs="宋体"/>
                <w:b/>
                <w:bCs/>
                <w:color w:val="000000" w:themeColor="text1"/>
                <w:kern w:val="0"/>
                <w:sz w:val="20"/>
                <w:highlight w:val="none"/>
                <w14:textFill>
                  <w14:solidFill>
                    <w14:schemeClr w14:val="tx1"/>
                  </w14:solidFill>
                </w14:textFill>
              </w:rPr>
              <w:t xml:space="preserve"> 贷款总规模（贷款余额） </w:t>
            </w:r>
          </w:p>
        </w:tc>
        <w:tc>
          <w:tcPr>
            <w:tcW w:w="2700" w:type="dxa"/>
            <w:tcBorders>
              <w:top w:val="nil"/>
              <w:left w:val="nil"/>
              <w:bottom w:val="single" w:color="auto" w:sz="4" w:space="0"/>
              <w:right w:val="single" w:color="auto" w:sz="4" w:space="0"/>
            </w:tcBorders>
            <w:vAlign w:val="bottom"/>
          </w:tcPr>
          <w:p>
            <w:pPr>
              <w:widowControl/>
              <w:jc w:val="center"/>
              <w:rPr>
                <w:rFonts w:ascii="宋体" w:hAnsi="宋体" w:cs="宋体"/>
                <w:color w:val="000000" w:themeColor="text1"/>
                <w:kern w:val="0"/>
                <w:sz w:val="20"/>
                <w:highlight w:val="none"/>
                <w14:textFill>
                  <w14:solidFill>
                    <w14:schemeClr w14:val="tx1"/>
                  </w14:solidFill>
                </w14:textFill>
              </w:rPr>
            </w:pPr>
            <w:r>
              <w:rPr>
                <w:rFonts w:hint="eastAsia" w:ascii="宋体" w:hAnsi="宋体" w:cs="宋体"/>
                <w:color w:val="000000" w:themeColor="text1"/>
                <w:kern w:val="0"/>
                <w:sz w:val="20"/>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jc w:val="center"/>
        </w:trPr>
        <w:tc>
          <w:tcPr>
            <w:tcW w:w="1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t>3</w:t>
            </w:r>
          </w:p>
        </w:tc>
        <w:tc>
          <w:tcPr>
            <w:tcW w:w="5080" w:type="dxa"/>
            <w:tcBorders>
              <w:top w:val="nil"/>
              <w:left w:val="nil"/>
              <w:bottom w:val="single" w:color="auto" w:sz="4" w:space="0"/>
              <w:right w:val="single" w:color="auto" w:sz="4" w:space="0"/>
            </w:tcBorders>
            <w:vAlign w:val="center"/>
          </w:tcPr>
          <w:p>
            <w:pPr>
              <w:widowControl/>
              <w:jc w:val="left"/>
              <w:rPr>
                <w:rFonts w:ascii="宋体" w:hAnsi="宋体" w:cs="宋体"/>
                <w:b/>
                <w:bCs/>
                <w:color w:val="000000" w:themeColor="text1"/>
                <w:kern w:val="0"/>
                <w:sz w:val="20"/>
                <w:highlight w:val="none"/>
                <w14:textFill>
                  <w14:solidFill>
                    <w14:schemeClr w14:val="tx1"/>
                  </w14:solidFill>
                </w14:textFill>
              </w:rPr>
            </w:pPr>
            <w:r>
              <w:rPr>
                <w:rFonts w:hint="eastAsia" w:ascii="宋体" w:hAnsi="宋体" w:cs="宋体"/>
                <w:b/>
                <w:bCs/>
                <w:color w:val="000000" w:themeColor="text1"/>
                <w:kern w:val="0"/>
                <w:sz w:val="20"/>
                <w:highlight w:val="none"/>
                <w14:textFill>
                  <w14:solidFill>
                    <w14:schemeClr w14:val="tx1"/>
                  </w14:solidFill>
                </w14:textFill>
              </w:rPr>
              <w:t xml:space="preserve"> 存款总规模（存款余额） </w:t>
            </w:r>
          </w:p>
        </w:tc>
        <w:tc>
          <w:tcPr>
            <w:tcW w:w="2700" w:type="dxa"/>
            <w:tcBorders>
              <w:top w:val="nil"/>
              <w:left w:val="nil"/>
              <w:bottom w:val="single" w:color="auto" w:sz="4" w:space="0"/>
              <w:right w:val="single" w:color="auto" w:sz="4" w:space="0"/>
            </w:tcBorders>
            <w:vAlign w:val="bottom"/>
          </w:tcPr>
          <w:p>
            <w:pPr>
              <w:widowControl/>
              <w:jc w:val="center"/>
              <w:rPr>
                <w:rFonts w:ascii="宋体" w:hAnsi="宋体" w:cs="宋体"/>
                <w:color w:val="000000" w:themeColor="text1"/>
                <w:kern w:val="0"/>
                <w:sz w:val="20"/>
                <w:highlight w:val="none"/>
                <w14:textFill>
                  <w14:solidFill>
                    <w14:schemeClr w14:val="tx1"/>
                  </w14:solidFill>
                </w14:textFill>
              </w:rPr>
            </w:pPr>
            <w:r>
              <w:rPr>
                <w:rFonts w:hint="eastAsia" w:ascii="宋体" w:hAnsi="宋体" w:cs="宋体"/>
                <w:color w:val="000000" w:themeColor="text1"/>
                <w:kern w:val="0"/>
                <w:sz w:val="20"/>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jc w:val="center"/>
        </w:trPr>
        <w:tc>
          <w:tcPr>
            <w:tcW w:w="1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t>4</w:t>
            </w:r>
          </w:p>
        </w:tc>
        <w:tc>
          <w:tcPr>
            <w:tcW w:w="5080" w:type="dxa"/>
            <w:tcBorders>
              <w:top w:val="nil"/>
              <w:left w:val="nil"/>
              <w:bottom w:val="single" w:color="auto" w:sz="4" w:space="0"/>
              <w:right w:val="single" w:color="auto" w:sz="4" w:space="0"/>
            </w:tcBorders>
            <w:vAlign w:val="center"/>
          </w:tcPr>
          <w:p>
            <w:pPr>
              <w:widowControl/>
              <w:jc w:val="left"/>
              <w:rPr>
                <w:rFonts w:ascii="宋体" w:hAnsi="宋体" w:cs="宋体"/>
                <w:b/>
                <w:bCs/>
                <w:color w:val="000000" w:themeColor="text1"/>
                <w:kern w:val="0"/>
                <w:sz w:val="20"/>
                <w:highlight w:val="none"/>
                <w14:textFill>
                  <w14:solidFill>
                    <w14:schemeClr w14:val="tx1"/>
                  </w14:solidFill>
                </w14:textFill>
              </w:rPr>
            </w:pPr>
            <w:r>
              <w:rPr>
                <w:rFonts w:hint="eastAsia" w:ascii="宋体" w:hAnsi="宋体" w:cs="宋体"/>
                <w:b/>
                <w:bCs/>
                <w:color w:val="000000" w:themeColor="text1"/>
                <w:kern w:val="0"/>
                <w:sz w:val="20"/>
                <w:highlight w:val="none"/>
                <w14:textFill>
                  <w14:solidFill>
                    <w14:schemeClr w14:val="tx1"/>
                  </w14:solidFill>
                </w14:textFill>
              </w:rPr>
              <w:t xml:space="preserve"> 贷款增量</w:t>
            </w:r>
          </w:p>
        </w:tc>
        <w:tc>
          <w:tcPr>
            <w:tcW w:w="2700" w:type="dxa"/>
            <w:tcBorders>
              <w:top w:val="nil"/>
              <w:left w:val="nil"/>
              <w:bottom w:val="single" w:color="auto" w:sz="4" w:space="0"/>
              <w:right w:val="single" w:color="auto" w:sz="4" w:space="0"/>
            </w:tcBorders>
            <w:vAlign w:val="bottom"/>
          </w:tcPr>
          <w:p>
            <w:pPr>
              <w:widowControl/>
              <w:jc w:val="center"/>
              <w:rPr>
                <w:rFonts w:ascii="宋体" w:hAnsi="宋体" w:cs="宋体"/>
                <w:color w:val="000000" w:themeColor="text1"/>
                <w:kern w:val="0"/>
                <w:sz w:val="20"/>
                <w:highlight w:val="none"/>
                <w14:textFill>
                  <w14:solidFill>
                    <w14:schemeClr w14:val="tx1"/>
                  </w14:solidFill>
                </w14:textFill>
              </w:rPr>
            </w:pPr>
            <w:r>
              <w:rPr>
                <w:rFonts w:hint="eastAsia" w:ascii="宋体" w:hAnsi="宋体" w:cs="宋体"/>
                <w:color w:val="000000" w:themeColor="text1"/>
                <w:kern w:val="0"/>
                <w:sz w:val="20"/>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jc w:val="center"/>
        </w:trPr>
        <w:tc>
          <w:tcPr>
            <w:tcW w:w="1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t>5</w:t>
            </w:r>
          </w:p>
        </w:tc>
        <w:tc>
          <w:tcPr>
            <w:tcW w:w="5080" w:type="dxa"/>
            <w:tcBorders>
              <w:top w:val="nil"/>
              <w:left w:val="nil"/>
              <w:bottom w:val="single" w:color="auto" w:sz="4" w:space="0"/>
              <w:right w:val="single" w:color="auto" w:sz="4" w:space="0"/>
            </w:tcBorders>
            <w:vAlign w:val="center"/>
          </w:tcPr>
          <w:p>
            <w:pPr>
              <w:widowControl/>
              <w:jc w:val="left"/>
              <w:rPr>
                <w:rFonts w:ascii="宋体" w:hAnsi="宋体" w:cs="宋体"/>
                <w:b/>
                <w:bCs/>
                <w:color w:val="000000" w:themeColor="text1"/>
                <w:kern w:val="0"/>
                <w:sz w:val="20"/>
                <w:highlight w:val="none"/>
                <w14:textFill>
                  <w14:solidFill>
                    <w14:schemeClr w14:val="tx1"/>
                  </w14:solidFill>
                </w14:textFill>
              </w:rPr>
            </w:pPr>
            <w:r>
              <w:rPr>
                <w:rFonts w:hint="eastAsia" w:ascii="宋体" w:hAnsi="宋体" w:cs="宋体"/>
                <w:b/>
                <w:bCs/>
                <w:color w:val="000000" w:themeColor="text1"/>
                <w:kern w:val="0"/>
                <w:sz w:val="20"/>
                <w:highlight w:val="none"/>
                <w14:textFill>
                  <w14:solidFill>
                    <w14:schemeClr w14:val="tx1"/>
                  </w14:solidFill>
                </w14:textFill>
              </w:rPr>
              <w:t xml:space="preserve"> 不良贷款余额 </w:t>
            </w:r>
          </w:p>
        </w:tc>
        <w:tc>
          <w:tcPr>
            <w:tcW w:w="2700" w:type="dxa"/>
            <w:tcBorders>
              <w:top w:val="nil"/>
              <w:left w:val="nil"/>
              <w:bottom w:val="single" w:color="auto" w:sz="4" w:space="0"/>
              <w:right w:val="single" w:color="auto" w:sz="4" w:space="0"/>
            </w:tcBorders>
            <w:vAlign w:val="center"/>
          </w:tcPr>
          <w:p>
            <w:pPr>
              <w:widowControl/>
              <w:jc w:val="left"/>
              <w:rPr>
                <w:rFonts w:ascii="宋体" w:hAnsi="宋体" w:cs="宋体"/>
                <w:color w:val="000000" w:themeColor="text1"/>
                <w:kern w:val="0"/>
                <w:sz w:val="20"/>
                <w:highlight w:val="none"/>
                <w14:textFill>
                  <w14:solidFill>
                    <w14:schemeClr w14:val="tx1"/>
                  </w14:solidFill>
                </w14:textFill>
              </w:rPr>
            </w:pPr>
            <w:r>
              <w:rPr>
                <w:rFonts w:hint="eastAsia" w:ascii="宋体" w:hAnsi="宋体" w:cs="宋体"/>
                <w:color w:val="000000" w:themeColor="text1"/>
                <w:kern w:val="0"/>
                <w:sz w:val="20"/>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jc w:val="center"/>
        </w:trPr>
        <w:tc>
          <w:tcPr>
            <w:tcW w:w="1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t>6</w:t>
            </w:r>
          </w:p>
        </w:tc>
        <w:tc>
          <w:tcPr>
            <w:tcW w:w="5080" w:type="dxa"/>
            <w:tcBorders>
              <w:top w:val="nil"/>
              <w:left w:val="nil"/>
              <w:bottom w:val="single" w:color="auto" w:sz="4" w:space="0"/>
              <w:right w:val="single" w:color="auto" w:sz="4" w:space="0"/>
            </w:tcBorders>
            <w:vAlign w:val="center"/>
          </w:tcPr>
          <w:p>
            <w:pPr>
              <w:widowControl/>
              <w:jc w:val="left"/>
              <w:rPr>
                <w:rFonts w:ascii="宋体" w:hAnsi="宋体" w:cs="宋体"/>
                <w:b/>
                <w:bCs/>
                <w:color w:val="000000" w:themeColor="text1"/>
                <w:kern w:val="0"/>
                <w:sz w:val="20"/>
                <w:highlight w:val="none"/>
                <w14:textFill>
                  <w14:solidFill>
                    <w14:schemeClr w14:val="tx1"/>
                  </w14:solidFill>
                </w14:textFill>
              </w:rPr>
            </w:pPr>
            <w:r>
              <w:rPr>
                <w:rFonts w:hint="eastAsia" w:ascii="宋体" w:hAnsi="宋体" w:cs="宋体"/>
                <w:b/>
                <w:bCs/>
                <w:color w:val="000000" w:themeColor="text1"/>
                <w:kern w:val="0"/>
                <w:sz w:val="20"/>
                <w:highlight w:val="none"/>
                <w14:textFill>
                  <w14:solidFill>
                    <w14:schemeClr w14:val="tx1"/>
                  </w14:solidFill>
                </w14:textFill>
              </w:rPr>
              <w:t xml:space="preserve"> 不良贷款率（不良贷款余额/各项贷款余额）（%） </w:t>
            </w:r>
          </w:p>
        </w:tc>
        <w:tc>
          <w:tcPr>
            <w:tcW w:w="2700" w:type="dxa"/>
            <w:tcBorders>
              <w:top w:val="nil"/>
              <w:left w:val="nil"/>
              <w:bottom w:val="single" w:color="auto" w:sz="4" w:space="0"/>
              <w:right w:val="single" w:color="auto" w:sz="4" w:space="0"/>
            </w:tcBorders>
            <w:vAlign w:val="center"/>
          </w:tcPr>
          <w:p>
            <w:pPr>
              <w:widowControl/>
              <w:jc w:val="left"/>
              <w:rPr>
                <w:rFonts w:ascii="宋体" w:hAnsi="宋体" w:cs="宋体"/>
                <w:color w:val="000000" w:themeColor="text1"/>
                <w:kern w:val="0"/>
                <w:sz w:val="20"/>
                <w:highlight w:val="none"/>
                <w14:textFill>
                  <w14:solidFill>
                    <w14:schemeClr w14:val="tx1"/>
                  </w14:solidFill>
                </w14:textFill>
              </w:rPr>
            </w:pPr>
            <w:r>
              <w:rPr>
                <w:rFonts w:hint="eastAsia" w:ascii="宋体" w:hAnsi="宋体" w:cs="宋体"/>
                <w:color w:val="000000" w:themeColor="text1"/>
                <w:kern w:val="0"/>
                <w:sz w:val="20"/>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jc w:val="center"/>
        </w:trPr>
        <w:tc>
          <w:tcPr>
            <w:tcW w:w="1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t>7</w:t>
            </w:r>
          </w:p>
        </w:tc>
        <w:tc>
          <w:tcPr>
            <w:tcW w:w="5080" w:type="dxa"/>
            <w:tcBorders>
              <w:top w:val="nil"/>
              <w:left w:val="nil"/>
              <w:bottom w:val="single" w:color="auto" w:sz="4" w:space="0"/>
              <w:right w:val="single" w:color="auto" w:sz="4" w:space="0"/>
            </w:tcBorders>
            <w:vAlign w:val="center"/>
          </w:tcPr>
          <w:p>
            <w:pPr>
              <w:widowControl/>
              <w:jc w:val="left"/>
              <w:rPr>
                <w:rFonts w:ascii="宋体" w:hAnsi="宋体" w:cs="宋体"/>
                <w:b/>
                <w:bCs/>
                <w:color w:val="000000" w:themeColor="text1"/>
                <w:kern w:val="0"/>
                <w:sz w:val="20"/>
                <w:highlight w:val="none"/>
                <w14:textFill>
                  <w14:solidFill>
                    <w14:schemeClr w14:val="tx1"/>
                  </w14:solidFill>
                </w14:textFill>
              </w:rPr>
            </w:pPr>
            <w:r>
              <w:rPr>
                <w:rFonts w:hint="eastAsia" w:ascii="宋体" w:hAnsi="宋体" w:cs="宋体"/>
                <w:b/>
                <w:bCs/>
                <w:color w:val="000000" w:themeColor="text1"/>
                <w:kern w:val="0"/>
                <w:sz w:val="20"/>
                <w:highlight w:val="none"/>
                <w14:textFill>
                  <w14:solidFill>
                    <w14:schemeClr w14:val="tx1"/>
                  </w14:solidFill>
                </w14:textFill>
              </w:rPr>
              <w:t xml:space="preserve"> 营业收入 </w:t>
            </w:r>
          </w:p>
        </w:tc>
        <w:tc>
          <w:tcPr>
            <w:tcW w:w="2700" w:type="dxa"/>
            <w:tcBorders>
              <w:top w:val="nil"/>
              <w:left w:val="nil"/>
              <w:bottom w:val="single" w:color="auto" w:sz="4" w:space="0"/>
              <w:right w:val="single" w:color="auto" w:sz="4" w:space="0"/>
            </w:tcBorders>
            <w:vAlign w:val="center"/>
          </w:tcPr>
          <w:p>
            <w:pPr>
              <w:widowControl/>
              <w:jc w:val="left"/>
              <w:rPr>
                <w:rFonts w:ascii="宋体" w:hAnsi="宋体" w:cs="宋体"/>
                <w:color w:val="000000" w:themeColor="text1"/>
                <w:kern w:val="0"/>
                <w:sz w:val="20"/>
                <w:highlight w:val="none"/>
                <w14:textFill>
                  <w14:solidFill>
                    <w14:schemeClr w14:val="tx1"/>
                  </w14:solidFill>
                </w14:textFill>
              </w:rPr>
            </w:pPr>
            <w:r>
              <w:rPr>
                <w:rFonts w:hint="eastAsia" w:ascii="宋体" w:hAnsi="宋体" w:cs="宋体"/>
                <w:color w:val="000000" w:themeColor="text1"/>
                <w:kern w:val="0"/>
                <w:sz w:val="20"/>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jc w:val="center"/>
        </w:trPr>
        <w:tc>
          <w:tcPr>
            <w:tcW w:w="1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t>8</w:t>
            </w:r>
          </w:p>
        </w:tc>
        <w:tc>
          <w:tcPr>
            <w:tcW w:w="5080" w:type="dxa"/>
            <w:tcBorders>
              <w:top w:val="nil"/>
              <w:left w:val="nil"/>
              <w:bottom w:val="single" w:color="auto" w:sz="4" w:space="0"/>
              <w:right w:val="single" w:color="auto" w:sz="4" w:space="0"/>
            </w:tcBorders>
            <w:vAlign w:val="center"/>
          </w:tcPr>
          <w:p>
            <w:pPr>
              <w:widowControl/>
              <w:jc w:val="left"/>
              <w:rPr>
                <w:rFonts w:ascii="宋体" w:hAnsi="宋体" w:cs="宋体"/>
                <w:b/>
                <w:bCs/>
                <w:color w:val="000000" w:themeColor="text1"/>
                <w:kern w:val="0"/>
                <w:sz w:val="20"/>
                <w:highlight w:val="none"/>
                <w14:textFill>
                  <w14:solidFill>
                    <w14:schemeClr w14:val="tx1"/>
                  </w14:solidFill>
                </w14:textFill>
              </w:rPr>
            </w:pPr>
            <w:r>
              <w:rPr>
                <w:rFonts w:hint="eastAsia" w:ascii="宋体" w:hAnsi="宋体" w:cs="宋体"/>
                <w:b/>
                <w:bCs/>
                <w:color w:val="000000" w:themeColor="text1"/>
                <w:kern w:val="0"/>
                <w:sz w:val="20"/>
                <w:highlight w:val="none"/>
                <w14:textFill>
                  <w14:solidFill>
                    <w14:schemeClr w14:val="tx1"/>
                  </w14:solidFill>
                </w14:textFill>
              </w:rPr>
              <w:t xml:space="preserve"> 税前利润总额 </w:t>
            </w:r>
          </w:p>
        </w:tc>
        <w:tc>
          <w:tcPr>
            <w:tcW w:w="2700" w:type="dxa"/>
            <w:tcBorders>
              <w:top w:val="nil"/>
              <w:left w:val="nil"/>
              <w:bottom w:val="single" w:color="auto" w:sz="4" w:space="0"/>
              <w:right w:val="single" w:color="auto" w:sz="4" w:space="0"/>
            </w:tcBorders>
            <w:vAlign w:val="bottom"/>
          </w:tcPr>
          <w:p>
            <w:pPr>
              <w:widowControl/>
              <w:jc w:val="center"/>
              <w:rPr>
                <w:rFonts w:ascii="宋体" w:hAnsi="宋体" w:cs="宋体"/>
                <w:color w:val="000000" w:themeColor="text1"/>
                <w:kern w:val="0"/>
                <w:sz w:val="20"/>
                <w:highlight w:val="none"/>
                <w14:textFill>
                  <w14:solidFill>
                    <w14:schemeClr w14:val="tx1"/>
                  </w14:solidFill>
                </w14:textFill>
              </w:rPr>
            </w:pPr>
            <w:r>
              <w:rPr>
                <w:rFonts w:hint="eastAsia" w:ascii="宋体" w:hAnsi="宋体" w:cs="宋体"/>
                <w:color w:val="000000" w:themeColor="text1"/>
                <w:kern w:val="0"/>
                <w:sz w:val="20"/>
                <w:highlight w:val="none"/>
                <w14:textFill>
                  <w14:solidFill>
                    <w14:schemeClr w14:val="tx1"/>
                  </w14:solidFill>
                </w14:textFill>
              </w:rPr>
              <w:t>　</w:t>
            </w:r>
          </w:p>
        </w:tc>
      </w:tr>
      <w:tr>
        <w:tblPrEx>
          <w:tblCellMar>
            <w:top w:w="0" w:type="dxa"/>
            <w:left w:w="108" w:type="dxa"/>
            <w:bottom w:w="0" w:type="dxa"/>
            <w:right w:w="108" w:type="dxa"/>
          </w:tblCellMar>
        </w:tblPrEx>
        <w:trPr>
          <w:trHeight w:val="795" w:hRule="atLeast"/>
          <w:jc w:val="center"/>
        </w:trPr>
        <w:tc>
          <w:tcPr>
            <w:tcW w:w="108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color w:val="000000" w:themeColor="text1"/>
                <w:kern w:val="0"/>
                <w:sz w:val="24"/>
                <w:highlight w:val="none"/>
                <w:lang w:val="en-US" w:eastAsia="zh-CN"/>
                <w14:textFill>
                  <w14:solidFill>
                    <w14:schemeClr w14:val="tx1"/>
                  </w14:solidFill>
                </w14:textFill>
              </w:rPr>
            </w:pPr>
            <w:r>
              <w:rPr>
                <w:rFonts w:hint="eastAsia" w:ascii="宋体" w:hAnsi="宋体" w:cs="宋体"/>
                <w:b/>
                <w:color w:val="000000" w:themeColor="text1"/>
                <w:kern w:val="0"/>
                <w:sz w:val="24"/>
                <w:highlight w:val="none"/>
                <w:lang w:val="en-US" w:eastAsia="zh-CN"/>
                <w14:textFill>
                  <w14:solidFill>
                    <w14:schemeClr w14:val="tx1"/>
                  </w14:solidFill>
                </w14:textFill>
              </w:rPr>
              <w:t>9</w:t>
            </w:r>
          </w:p>
        </w:tc>
        <w:tc>
          <w:tcPr>
            <w:tcW w:w="5080" w:type="dxa"/>
            <w:tcBorders>
              <w:top w:val="nil"/>
              <w:left w:val="nil"/>
              <w:bottom w:val="single" w:color="auto" w:sz="4" w:space="0"/>
              <w:right w:val="single" w:color="auto" w:sz="4" w:space="0"/>
            </w:tcBorders>
            <w:vAlign w:val="center"/>
          </w:tcPr>
          <w:p>
            <w:pPr>
              <w:widowControl/>
              <w:jc w:val="left"/>
              <w:rPr>
                <w:rFonts w:hint="eastAsia" w:ascii="宋体" w:hAnsi="宋体" w:cs="宋体"/>
                <w:b/>
                <w:bCs/>
                <w:color w:val="000000" w:themeColor="text1"/>
                <w:kern w:val="0"/>
                <w:sz w:val="20"/>
                <w:highlight w:val="none"/>
                <w14:textFill>
                  <w14:solidFill>
                    <w14:schemeClr w14:val="tx1"/>
                  </w14:solidFill>
                </w14:textFill>
              </w:rPr>
            </w:pPr>
            <w:r>
              <w:rPr>
                <w:rFonts w:hint="eastAsia" w:ascii="宋体" w:hAnsi="宋体" w:cs="宋体"/>
                <w:b/>
                <w:bCs/>
                <w:color w:val="000000" w:themeColor="text1"/>
                <w:kern w:val="0"/>
                <w:sz w:val="20"/>
                <w:highlight w:val="none"/>
                <w:lang w:val="en-US" w:eastAsia="zh-CN"/>
                <w14:textFill>
                  <w14:solidFill>
                    <w14:schemeClr w14:val="tx1"/>
                  </w14:solidFill>
                </w14:textFill>
              </w:rPr>
              <w:t>小微企业贷款</w:t>
            </w:r>
          </w:p>
        </w:tc>
        <w:tc>
          <w:tcPr>
            <w:tcW w:w="2700" w:type="dxa"/>
            <w:tcBorders>
              <w:top w:val="nil"/>
              <w:left w:val="nil"/>
              <w:bottom w:val="single" w:color="auto" w:sz="4" w:space="0"/>
              <w:right w:val="single" w:color="auto" w:sz="4" w:space="0"/>
            </w:tcBorders>
            <w:vAlign w:val="bottom"/>
          </w:tcPr>
          <w:p>
            <w:pPr>
              <w:widowControl/>
              <w:jc w:val="center"/>
              <w:rPr>
                <w:rFonts w:hint="eastAsia" w:ascii="宋体" w:hAnsi="宋体" w:cs="宋体"/>
                <w:color w:val="000000" w:themeColor="text1"/>
                <w:kern w:val="0"/>
                <w:sz w:val="20"/>
                <w:highlight w:val="none"/>
                <w14:textFill>
                  <w14:solidFill>
                    <w14:schemeClr w14:val="tx1"/>
                  </w14:solidFill>
                </w14:textFill>
              </w:rPr>
            </w:pPr>
          </w:p>
        </w:tc>
      </w:tr>
      <w:tr>
        <w:tblPrEx>
          <w:tblCellMar>
            <w:top w:w="0" w:type="dxa"/>
            <w:left w:w="108" w:type="dxa"/>
            <w:bottom w:w="0" w:type="dxa"/>
            <w:right w:w="108" w:type="dxa"/>
          </w:tblCellMar>
        </w:tblPrEx>
        <w:trPr>
          <w:trHeight w:val="795" w:hRule="atLeast"/>
          <w:jc w:val="center"/>
        </w:trPr>
        <w:tc>
          <w:tcPr>
            <w:tcW w:w="1080" w:type="dxa"/>
            <w:tcBorders>
              <w:top w:val="nil"/>
              <w:left w:val="single" w:color="auto" w:sz="4" w:space="0"/>
              <w:bottom w:val="single" w:color="auto" w:sz="4" w:space="0"/>
              <w:right w:val="single" w:color="auto" w:sz="4" w:space="0"/>
            </w:tcBorders>
            <w:vAlign w:val="center"/>
          </w:tcPr>
          <w:p>
            <w:pPr>
              <w:widowControl/>
              <w:jc w:val="center"/>
              <w:rPr>
                <w:rFonts w:hint="default" w:ascii="宋体" w:hAnsi="宋体" w:eastAsia="宋体" w:cs="宋体"/>
                <w:b/>
                <w:color w:val="000000" w:themeColor="text1"/>
                <w:kern w:val="0"/>
                <w:sz w:val="24"/>
                <w:highlight w:val="none"/>
                <w:lang w:val="en-US" w:eastAsia="zh-CN"/>
                <w14:textFill>
                  <w14:solidFill>
                    <w14:schemeClr w14:val="tx1"/>
                  </w14:solidFill>
                </w14:textFill>
              </w:rPr>
            </w:pPr>
            <w:r>
              <w:rPr>
                <w:rFonts w:hint="eastAsia" w:ascii="宋体" w:hAnsi="宋体" w:cs="宋体"/>
                <w:b/>
                <w:color w:val="000000" w:themeColor="text1"/>
                <w:kern w:val="0"/>
                <w:sz w:val="24"/>
                <w:highlight w:val="none"/>
                <w:lang w:val="en-US" w:eastAsia="zh-CN"/>
                <w14:textFill>
                  <w14:solidFill>
                    <w14:schemeClr w14:val="tx1"/>
                  </w14:solidFill>
                </w14:textFill>
              </w:rPr>
              <w:t>10</w:t>
            </w:r>
          </w:p>
        </w:tc>
        <w:tc>
          <w:tcPr>
            <w:tcW w:w="5080" w:type="dxa"/>
            <w:tcBorders>
              <w:top w:val="nil"/>
              <w:left w:val="nil"/>
              <w:bottom w:val="single" w:color="auto" w:sz="4" w:space="0"/>
              <w:right w:val="single" w:color="auto" w:sz="4" w:space="0"/>
            </w:tcBorders>
            <w:vAlign w:val="center"/>
          </w:tcPr>
          <w:p>
            <w:pPr>
              <w:widowControl/>
              <w:jc w:val="left"/>
              <w:rPr>
                <w:rFonts w:hint="eastAsia" w:ascii="宋体" w:hAnsi="宋体" w:cs="宋体"/>
                <w:b/>
                <w:bCs/>
                <w:color w:val="000000" w:themeColor="text1"/>
                <w:kern w:val="0"/>
                <w:sz w:val="20"/>
                <w:highlight w:val="none"/>
                <w14:textFill>
                  <w14:solidFill>
                    <w14:schemeClr w14:val="tx1"/>
                  </w14:solidFill>
                </w14:textFill>
              </w:rPr>
            </w:pPr>
            <w:r>
              <w:rPr>
                <w:rFonts w:hint="eastAsia" w:ascii="宋体" w:hAnsi="宋体" w:cs="宋体"/>
                <w:b/>
                <w:bCs/>
                <w:color w:val="000000" w:themeColor="text1"/>
                <w:kern w:val="0"/>
                <w:sz w:val="20"/>
                <w:highlight w:val="none"/>
                <w:lang w:val="en-US" w:eastAsia="zh-CN"/>
                <w14:textFill>
                  <w14:solidFill>
                    <w14:schemeClr w14:val="tx1"/>
                  </w14:solidFill>
                </w14:textFill>
              </w:rPr>
              <w:t>扶贫小额贷款</w:t>
            </w:r>
          </w:p>
        </w:tc>
        <w:tc>
          <w:tcPr>
            <w:tcW w:w="2700" w:type="dxa"/>
            <w:tcBorders>
              <w:top w:val="nil"/>
              <w:left w:val="nil"/>
              <w:bottom w:val="single" w:color="auto" w:sz="4" w:space="0"/>
              <w:right w:val="single" w:color="auto" w:sz="4" w:space="0"/>
            </w:tcBorders>
            <w:vAlign w:val="bottom"/>
          </w:tcPr>
          <w:p>
            <w:pPr>
              <w:widowControl/>
              <w:jc w:val="center"/>
              <w:rPr>
                <w:rFonts w:hint="eastAsia" w:ascii="宋体" w:hAnsi="宋体" w:cs="宋体"/>
                <w:color w:val="000000" w:themeColor="text1"/>
                <w:kern w:val="0"/>
                <w:sz w:val="20"/>
                <w:highlight w:val="none"/>
                <w14:textFill>
                  <w14:solidFill>
                    <w14:schemeClr w14:val="tx1"/>
                  </w14:solidFill>
                </w14:textFill>
              </w:rPr>
            </w:pPr>
          </w:p>
        </w:tc>
      </w:tr>
      <w:tr>
        <w:tblPrEx>
          <w:tblCellMar>
            <w:top w:w="0" w:type="dxa"/>
            <w:left w:w="108" w:type="dxa"/>
            <w:bottom w:w="0" w:type="dxa"/>
            <w:right w:w="108" w:type="dxa"/>
          </w:tblCellMar>
        </w:tblPrEx>
        <w:trPr>
          <w:trHeight w:val="285" w:hRule="atLeast"/>
          <w:jc w:val="center"/>
        </w:trPr>
        <w:tc>
          <w:tcPr>
            <w:tcW w:w="8860" w:type="dxa"/>
            <w:gridSpan w:val="3"/>
            <w:tcBorders>
              <w:top w:val="nil"/>
              <w:left w:val="nil"/>
              <w:bottom w:val="nil"/>
              <w:right w:val="nil"/>
            </w:tcBorders>
            <w:vAlign w:val="center"/>
          </w:tcPr>
          <w:p>
            <w:pPr>
              <w:widowControl/>
              <w:jc w:val="left"/>
              <w:rPr>
                <w:rFonts w:ascii="宋体" w:hAnsi="宋体" w:cs="宋体"/>
                <w:b/>
                <w:bCs/>
                <w:color w:val="000000" w:themeColor="text1"/>
                <w:kern w:val="0"/>
                <w:sz w:val="24"/>
                <w:highlight w:val="none"/>
                <w14:textFill>
                  <w14:solidFill>
                    <w14:schemeClr w14:val="tx1"/>
                  </w14:solidFill>
                </w14:textFill>
              </w:rPr>
            </w:pPr>
            <w:r>
              <w:rPr>
                <w:rFonts w:ascii="宋体" w:hAnsi="宋体"/>
                <w:b/>
                <w:color w:val="000000" w:themeColor="text1"/>
                <w:sz w:val="21"/>
                <w:szCs w:val="21"/>
                <w:highlight w:val="none"/>
                <w14:textFill>
                  <w14:solidFill>
                    <w14:schemeClr w14:val="tx1"/>
                  </w14:solidFill>
                </w14:textFill>
              </w:rPr>
              <w:t>★</w:t>
            </w:r>
            <w:r>
              <w:rPr>
                <w:rFonts w:hint="eastAsia" w:ascii="宋体" w:hAnsi="宋体"/>
                <w:b/>
                <w:color w:val="000000" w:themeColor="text1"/>
                <w:sz w:val="21"/>
                <w:szCs w:val="21"/>
                <w:highlight w:val="none"/>
                <w14:textFill>
                  <w14:solidFill>
                    <w14:schemeClr w14:val="tx1"/>
                  </w14:solidFill>
                </w14:textFill>
              </w:rPr>
              <w:t>注：本表数据为</w:t>
            </w:r>
            <w:r>
              <w:rPr>
                <w:rFonts w:hint="eastAsia" w:ascii="宋体" w:hAnsi="宋体"/>
                <w:b/>
                <w:color w:val="000000" w:themeColor="text1"/>
                <w:sz w:val="21"/>
                <w:szCs w:val="21"/>
                <w:highlight w:val="none"/>
                <w:lang w:val="en-US" w:eastAsia="zh-CN"/>
                <w14:textFill>
                  <w14:solidFill>
                    <w14:schemeClr w14:val="tx1"/>
                  </w14:solidFill>
                </w14:textFill>
              </w:rPr>
              <w:t>截至</w:t>
            </w:r>
            <w:r>
              <w:rPr>
                <w:rFonts w:hint="eastAsia" w:ascii="宋体" w:hAnsi="宋体"/>
                <w:b/>
                <w:color w:val="000000" w:themeColor="text1"/>
                <w:sz w:val="21"/>
                <w:szCs w:val="21"/>
                <w:highlight w:val="none"/>
                <w14:textFill>
                  <w14:solidFill>
                    <w14:schemeClr w14:val="tx1"/>
                  </w14:solidFill>
                </w14:textFill>
              </w:rPr>
              <w:t>20</w:t>
            </w:r>
            <w:r>
              <w:rPr>
                <w:rFonts w:hint="eastAsia" w:ascii="宋体" w:hAnsi="宋体"/>
                <w:b/>
                <w:color w:val="000000" w:themeColor="text1"/>
                <w:sz w:val="21"/>
                <w:szCs w:val="21"/>
                <w:highlight w:val="none"/>
                <w:lang w:val="en-US" w:eastAsia="zh-CN"/>
                <w14:textFill>
                  <w14:solidFill>
                    <w14:schemeClr w14:val="tx1"/>
                  </w14:solidFill>
                </w14:textFill>
              </w:rPr>
              <w:t>22</w:t>
            </w:r>
            <w:r>
              <w:rPr>
                <w:rFonts w:hint="eastAsia" w:ascii="宋体" w:hAnsi="宋体"/>
                <w:b/>
                <w:color w:val="000000" w:themeColor="text1"/>
                <w:sz w:val="21"/>
                <w:szCs w:val="21"/>
                <w:highlight w:val="none"/>
                <w14:textFill>
                  <w14:solidFill>
                    <w14:schemeClr w14:val="tx1"/>
                  </w14:solidFill>
                </w14:textFill>
              </w:rPr>
              <w:t>年12月31日的时点数，</w:t>
            </w:r>
            <w:r>
              <w:rPr>
                <w:rFonts w:hint="eastAsia" w:ascii="宋体" w:hAnsi="宋体" w:cs="宋体"/>
                <w:b/>
                <w:bCs/>
                <w:color w:val="000000" w:themeColor="text1"/>
                <w:kern w:val="0"/>
                <w:sz w:val="21"/>
                <w:szCs w:val="21"/>
                <w:highlight w:val="none"/>
                <w14:textFill>
                  <w14:solidFill>
                    <w14:schemeClr w14:val="tx1"/>
                  </w14:solidFill>
                </w14:textFill>
              </w:rPr>
              <w:t>以投标人上报银监局的非现场监管系统数据为准，如有不一致的，则</w:t>
            </w:r>
            <w:r>
              <w:rPr>
                <w:rFonts w:hint="eastAsia" w:ascii="宋体" w:hAnsi="宋体"/>
                <w:b/>
                <w:bCs/>
                <w:color w:val="000000" w:themeColor="text1"/>
                <w:sz w:val="21"/>
                <w:szCs w:val="21"/>
                <w:highlight w:val="none"/>
                <w14:textFill>
                  <w14:solidFill>
                    <w14:schemeClr w14:val="tx1"/>
                  </w14:solidFill>
                </w14:textFill>
              </w:rPr>
              <w:t>作为无效投标处理</w:t>
            </w:r>
            <w:r>
              <w:rPr>
                <w:rFonts w:hint="eastAsia" w:ascii="宋体" w:hAnsi="宋体" w:cs="宋体"/>
                <w:b/>
                <w:bCs/>
                <w:color w:val="000000" w:themeColor="text1"/>
                <w:kern w:val="0"/>
                <w:sz w:val="21"/>
                <w:szCs w:val="21"/>
                <w:highlight w:val="none"/>
                <w14:textFill>
                  <w14:solidFill>
                    <w14:schemeClr w14:val="tx1"/>
                  </w14:solidFill>
                </w14:textFill>
              </w:rPr>
              <w:t>。</w:t>
            </w:r>
            <w:r>
              <w:rPr>
                <w:rFonts w:hint="eastAsia" w:ascii="宋体" w:hAnsi="宋体"/>
                <w:b/>
                <w:color w:val="000000" w:themeColor="text1"/>
                <w:sz w:val="21"/>
                <w:szCs w:val="21"/>
                <w:highlight w:val="none"/>
                <w14:textFill>
                  <w14:solidFill>
                    <w14:schemeClr w14:val="tx1"/>
                  </w14:solidFill>
                </w14:textFill>
              </w:rPr>
              <w:t>（本表数据允许四舍五入造成的数据误差）</w:t>
            </w:r>
          </w:p>
        </w:tc>
      </w:tr>
    </w:tbl>
    <w:p>
      <w:pPr>
        <w:pStyle w:val="24"/>
        <w:spacing w:line="360" w:lineRule="auto"/>
        <w:rPr>
          <w:rFonts w:hint="eastAsia" w:ascii="宋体" w:hAnsi="宋体"/>
          <w:color w:val="000000" w:themeColor="text1"/>
          <w:highlight w:val="none"/>
          <w14:textFill>
            <w14:solidFill>
              <w14:schemeClr w14:val="tx1"/>
            </w14:solidFill>
          </w14:textFill>
        </w:rPr>
      </w:pPr>
    </w:p>
    <w:p>
      <w:pPr>
        <w:widowControl w:val="0"/>
        <w:snapToGrid w:val="0"/>
        <w:spacing w:line="360" w:lineRule="auto"/>
        <w:ind w:right="420" w:rightChars="200"/>
        <w:jc w:val="both"/>
        <w:rPr>
          <w:rFonts w:hint="eastAsia" w:ascii="宋体" w:hAnsi="宋体"/>
          <w:color w:val="000000" w:themeColor="text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br w:type="page"/>
      </w:r>
    </w:p>
    <w:p>
      <w:pPr>
        <w:pStyle w:val="4"/>
        <w:numPr>
          <w:ilvl w:val="0"/>
          <w:numId w:val="0"/>
        </w:numPr>
        <w:spacing w:beforeLines="0" w:line="240" w:lineRule="auto"/>
        <w:rPr>
          <w:color w:val="000000" w:themeColor="text1"/>
          <w:highlight w:val="none"/>
          <w14:textFill>
            <w14:solidFill>
              <w14:schemeClr w14:val="tx1"/>
            </w14:solidFill>
          </w14:textFill>
        </w:rPr>
      </w:pPr>
      <w:bookmarkStart w:id="114" w:name="_Toc28593"/>
      <w:r>
        <w:rPr>
          <w:rFonts w:hint="eastAsia"/>
          <w:color w:val="000000" w:themeColor="text1"/>
          <w:highlight w:val="none"/>
          <w14:textFill>
            <w14:solidFill>
              <w14:schemeClr w14:val="tx1"/>
            </w14:solidFill>
          </w14:textFill>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4"/>
    </w:p>
    <w:p>
      <w:pPr>
        <w:pStyle w:val="5"/>
        <w:numPr>
          <w:ilvl w:val="0"/>
          <w:numId w:val="0"/>
        </w:numPr>
        <w:rPr>
          <w:rFonts w:hint="eastAsia"/>
          <w:color w:val="000000" w:themeColor="text1"/>
          <w:szCs w:val="21"/>
          <w:highlight w:val="none"/>
          <w14:textFill>
            <w14:solidFill>
              <w14:schemeClr w14:val="tx1"/>
            </w14:solidFill>
          </w14:textFill>
        </w:rPr>
      </w:pPr>
      <w:bookmarkStart w:id="115" w:name="_Toc434832495"/>
      <w:bookmarkStart w:id="116" w:name="_Toc456272919"/>
      <w:bookmarkStart w:id="117" w:name="_Toc456648358"/>
      <w:bookmarkStart w:id="118" w:name="_Toc25224"/>
      <w:r>
        <w:rPr>
          <w:rFonts w:hint="eastAsia"/>
          <w:color w:val="000000" w:themeColor="text1"/>
          <w:szCs w:val="21"/>
          <w:highlight w:val="none"/>
          <w14:textFill>
            <w14:solidFill>
              <w14:schemeClr w14:val="tx1"/>
            </w14:solidFill>
          </w14:textFill>
        </w:rPr>
        <w:t>投标人须知前附表</w:t>
      </w:r>
      <w:bookmarkEnd w:id="115"/>
      <w:bookmarkEnd w:id="116"/>
      <w:bookmarkEnd w:id="117"/>
      <w:bookmarkEnd w:id="118"/>
    </w:p>
    <w:tbl>
      <w:tblPr>
        <w:tblStyle w:val="46"/>
        <w:tblW w:w="9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ascii="宋体" w:hAnsi="宋体"/>
                <w:color w:val="000000" w:themeColor="text1"/>
                <w:szCs w:val="21"/>
                <w:highlight w:val="none"/>
                <w:lang w:val="en-GB"/>
                <w14:textFill>
                  <w14:solidFill>
                    <w14:schemeClr w14:val="tx1"/>
                  </w14:solidFill>
                </w14:textFill>
              </w:rPr>
            </w:pPr>
            <w:r>
              <w:rPr>
                <w:rFonts w:hint="eastAsia"/>
                <w:color w:val="000000" w:themeColor="text1"/>
                <w:highlight w:val="none"/>
                <w14:textFill>
                  <w14:solidFill>
                    <w14:schemeClr w14:val="tx1"/>
                  </w14:solidFill>
                </w14:textFill>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评标委员会</w:t>
            </w:r>
            <w:r>
              <w:rPr>
                <w:rFonts w:hint="eastAsia" w:ascii="宋体"/>
                <w:bCs/>
                <w:color w:val="000000" w:themeColor="text1"/>
                <w:highlight w:val="none"/>
                <w:lang w:val="en-US" w:eastAsia="zh-CN"/>
                <w14:textFill>
                  <w14:solidFill>
                    <w14:schemeClr w14:val="tx1"/>
                  </w14:solidFill>
                </w14:textFill>
              </w:rPr>
              <w:t>根据政府采购相关法律法规组成</w:t>
            </w:r>
            <w:r>
              <w:rPr>
                <w:rFonts w:hint="eastAsia" w:ascii="宋体"/>
                <w:bCs/>
                <w:color w:val="000000" w:themeColor="text1"/>
                <w:highlight w:val="none"/>
                <w14:textFill>
                  <w14:solidFill>
                    <w14:schemeClr w14:val="tx1"/>
                  </w14:solidFill>
                </w14:textFill>
              </w:rPr>
              <w:t>，评审专家根据相关法律法规及法律程序</w:t>
            </w:r>
            <w:r>
              <w:rPr>
                <w:rFonts w:hint="eastAsia" w:ascii="宋体"/>
                <w:bCs/>
                <w:color w:val="000000" w:themeColor="text1"/>
                <w:highlight w:val="none"/>
                <w:lang w:eastAsia="zh-CN"/>
                <w14:textFill>
                  <w14:solidFill>
                    <w14:schemeClr w14:val="tx1"/>
                  </w14:solidFill>
                </w14:textFill>
              </w:rPr>
              <w:t>，</w:t>
            </w:r>
            <w:r>
              <w:rPr>
                <w:rFonts w:hint="eastAsia" w:ascii="宋体"/>
                <w:bCs/>
                <w:color w:val="000000" w:themeColor="text1"/>
                <w:highlight w:val="none"/>
                <w14:textFill>
                  <w14:solidFill>
                    <w14:schemeClr w14:val="tx1"/>
                  </w14:solidFill>
                </w14:textFill>
              </w:rPr>
              <w:t>依据本次采购活动的特点和需要在政府指定的专家库中随机抽取产生,</w:t>
            </w:r>
            <w:r>
              <w:rPr>
                <w:rFonts w:hint="eastAsia" w:ascii="宋体"/>
                <w:b/>
                <w:bCs/>
                <w:color w:val="000000" w:themeColor="text1"/>
                <w:highlight w:val="none"/>
                <w14:textFill>
                  <w14:solidFill>
                    <w14:schemeClr w14:val="tx1"/>
                  </w14:solidFill>
                </w14:textFill>
              </w:rPr>
              <w:t>专家数量共</w:t>
            </w:r>
            <w:r>
              <w:rPr>
                <w:rFonts w:hint="eastAsia" w:ascii="宋体"/>
                <w:b/>
                <w:bCs/>
                <w:color w:val="000000" w:themeColor="text1"/>
                <w:highlight w:val="none"/>
                <w:u w:val="single"/>
                <w14:textFill>
                  <w14:solidFill>
                    <w14:schemeClr w14:val="tx1"/>
                  </w14:solidFill>
                </w14:textFill>
              </w:rPr>
              <w:t xml:space="preserve"> 5</w:t>
            </w:r>
            <w:r>
              <w:rPr>
                <w:rFonts w:ascii="宋体"/>
                <w:b/>
                <w:bCs/>
                <w:color w:val="000000" w:themeColor="text1"/>
                <w:highlight w:val="none"/>
                <w:u w:val="single"/>
                <w14:textFill>
                  <w14:solidFill>
                    <w14:schemeClr w14:val="tx1"/>
                  </w14:solidFill>
                </w14:textFill>
              </w:rPr>
              <w:t xml:space="preserve"> </w:t>
            </w:r>
            <w:r>
              <w:rPr>
                <w:rFonts w:hint="eastAsia" w:ascii="宋体"/>
                <w:b/>
                <w:bCs/>
                <w:color w:val="000000" w:themeColor="text1"/>
                <w:highlight w:val="none"/>
                <w14:textFill>
                  <w14:solidFill>
                    <w14:schemeClr w14:val="tx1"/>
                  </w14:solidFill>
                </w14:textFill>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default" w:ascii="宋体" w:hAnsi="宋体" w:eastAsia="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投标资料数量和封装</w:t>
            </w:r>
            <w:r>
              <w:rPr>
                <w:rFonts w:hint="eastAsia" w:ascii="宋体" w:hAnsi="宋体"/>
                <w:color w:val="000000" w:themeColor="text1"/>
                <w:szCs w:val="21"/>
                <w:highlight w:val="none"/>
                <w:lang w:val="en-US" w:eastAsia="zh-CN"/>
                <w14:textFill>
                  <w14:solidFill>
                    <w14:schemeClr w14:val="tx1"/>
                  </w14:solidFill>
                </w14:textFill>
              </w:rPr>
              <w:t>要求</w:t>
            </w:r>
          </w:p>
        </w:tc>
        <w:tc>
          <w:tcPr>
            <w:tcW w:w="1587"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both"/>
              <w:rPr>
                <w:rFonts w:hint="eastAsia" w:ascii="宋体" w:hAnsi="宋体"/>
                <w:b/>
                <w:bCs/>
                <w:color w:val="000000" w:themeColor="text1"/>
                <w:szCs w:val="21"/>
                <w:highlight w:val="none"/>
                <w:lang w:val="en-US"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共提供4份</w:t>
            </w:r>
            <w:r>
              <w:rPr>
                <w:rFonts w:hint="eastAsia" w:ascii="宋体" w:hAnsi="宋体"/>
                <w:b/>
                <w:bCs/>
                <w:color w:val="000000" w:themeColor="text1"/>
                <w:szCs w:val="21"/>
                <w:highlight w:val="none"/>
                <w14:textFill>
                  <w14:solidFill>
                    <w14:schemeClr w14:val="tx1"/>
                  </w14:solidFill>
                </w14:textFill>
              </w:rPr>
              <w:t>投标</w:t>
            </w:r>
            <w:r>
              <w:rPr>
                <w:rFonts w:hint="eastAsia" w:ascii="宋体" w:hAnsi="宋体"/>
                <w:b/>
                <w:bCs/>
                <w:color w:val="000000" w:themeColor="text1"/>
                <w:szCs w:val="21"/>
                <w:highlight w:val="none"/>
                <w:lang w:val="en-US" w:eastAsia="zh-CN"/>
                <w14:textFill>
                  <w14:solidFill>
                    <w14:schemeClr w14:val="tx1"/>
                  </w14:solidFill>
                </w14:textFill>
              </w:rPr>
              <w:t>资料，分别封装：</w:t>
            </w:r>
          </w:p>
          <w:p>
            <w:pPr>
              <w:pStyle w:val="3"/>
              <w:rPr>
                <w:rFonts w:hint="eastAsia"/>
                <w:color w:val="000000" w:themeColor="text1"/>
                <w:highlight w:val="none"/>
                <w:lang w:eastAsia="zh-CN"/>
                <w14:textFill>
                  <w14:solidFill>
                    <w14:schemeClr w14:val="tx1"/>
                  </w14:solidFill>
                </w14:textFill>
              </w:rPr>
            </w:pPr>
          </w:p>
          <w:p>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ascii="宋体" w:hAnsi="宋体"/>
                <w:b/>
                <w:color w:val="000000" w:themeColor="text1"/>
                <w:szCs w:val="21"/>
                <w:highlight w:val="none"/>
                <w:shd w:val="pct10" w:color="auto" w:fill="FFFFFF"/>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1、</w:t>
            </w:r>
            <w:r>
              <w:rPr>
                <w:rFonts w:hint="eastAsia" w:ascii="宋体" w:hAnsi="宋体"/>
                <w:b/>
                <w:bCs/>
                <w:color w:val="000000" w:themeColor="text1"/>
                <w:szCs w:val="21"/>
                <w:highlight w:val="none"/>
                <w14:textFill>
                  <w14:solidFill>
                    <w14:schemeClr w14:val="tx1"/>
                  </w14:solidFill>
                </w14:textFill>
              </w:rPr>
              <w:t>资格审查文件</w:t>
            </w:r>
            <w:r>
              <w:rPr>
                <w:rFonts w:hint="eastAsia" w:ascii="宋体" w:hAnsi="宋体"/>
                <w:b/>
                <w:bCs/>
                <w:color w:val="000000" w:themeColor="text1"/>
                <w:szCs w:val="21"/>
                <w:highlight w:val="none"/>
                <w:lang w:eastAsia="zh-CN"/>
                <w14:textFill>
                  <w14:solidFill>
                    <w14:schemeClr w14:val="tx1"/>
                  </w14:solidFill>
                </w14:textFill>
              </w:rPr>
              <w:t>。</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w:t>
            </w:r>
            <w:r>
              <w:rPr>
                <w:rFonts w:hint="eastAsia"/>
                <w:color w:val="000000" w:themeColor="text1"/>
                <w:highlight w:val="none"/>
                <w:u w:val="single"/>
                <w:lang w:val="en-US" w:eastAsia="zh-CN"/>
                <w14:textFill>
                  <w14:solidFill>
                    <w14:schemeClr w14:val="tx1"/>
                  </w14:solidFill>
                </w14:textFill>
              </w:rPr>
              <w:t xml:space="preserve"> 1 </w:t>
            </w:r>
            <w:r>
              <w:rPr>
                <w:rFonts w:hint="eastAsia"/>
                <w:color w:val="000000" w:themeColor="text1"/>
                <w:highlight w:val="none"/>
                <w:lang w:val="en-US" w:eastAsia="zh-CN"/>
                <w14:textFill>
                  <w14:solidFill>
                    <w14:schemeClr w14:val="tx1"/>
                  </w14:solidFill>
                </w14:textFill>
              </w:rPr>
              <w:t>正</w:t>
            </w:r>
            <w:r>
              <w:rPr>
                <w:rFonts w:hint="eastAsia"/>
                <w:color w:val="000000" w:themeColor="text1"/>
                <w:highlight w:val="none"/>
                <w:u w:val="single"/>
                <w:lang w:val="en-US" w:eastAsia="zh-CN"/>
                <w14:textFill>
                  <w14:solidFill>
                    <w14:schemeClr w14:val="tx1"/>
                  </w14:solidFill>
                </w14:textFill>
              </w:rPr>
              <w:t xml:space="preserve"> 4 </w:t>
            </w:r>
            <w:r>
              <w:rPr>
                <w:rFonts w:hint="eastAsia"/>
                <w:color w:val="000000" w:themeColor="text1"/>
                <w:highlight w:val="none"/>
                <w:lang w:val="en-US" w:eastAsia="zh-CN"/>
                <w14:textFill>
                  <w14:solidFill>
                    <w14:schemeClr w14:val="tx1"/>
                  </w14:solidFill>
                </w14:textFill>
              </w:rPr>
              <w:t>副，</w:t>
            </w:r>
            <w:r>
              <w:rPr>
                <w:rFonts w:hint="eastAsia" w:ascii="宋体" w:hAnsi="宋体"/>
                <w:bCs/>
                <w:color w:val="000000" w:themeColor="text1"/>
                <w:szCs w:val="21"/>
                <w:highlight w:val="none"/>
                <w14:textFill>
                  <w14:solidFill>
                    <w14:schemeClr w14:val="tx1"/>
                  </w14:solidFill>
                </w14:textFill>
              </w:rPr>
              <w:t>独立装订成册</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2、</w:t>
            </w:r>
            <w:r>
              <w:rPr>
                <w:rFonts w:hint="eastAsia" w:ascii="宋体" w:hAnsi="宋体"/>
                <w:b/>
                <w:bCs/>
                <w:color w:val="000000" w:themeColor="text1"/>
                <w:szCs w:val="21"/>
                <w:highlight w:val="none"/>
                <w14:textFill>
                  <w14:solidFill>
                    <w14:schemeClr w14:val="tx1"/>
                  </w14:solidFill>
                </w14:textFill>
              </w:rPr>
              <w:t>商务及技术文件</w:t>
            </w:r>
            <w:r>
              <w:rPr>
                <w:rFonts w:hint="eastAsia" w:ascii="宋体" w:hAnsi="宋体"/>
                <w:b/>
                <w:bCs/>
                <w:color w:val="000000" w:themeColor="text1"/>
                <w:szCs w:val="2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w:t>
            </w:r>
            <w:r>
              <w:rPr>
                <w:rFonts w:hint="eastAsia"/>
                <w:color w:val="000000" w:themeColor="text1"/>
                <w:highlight w:val="none"/>
                <w:u w:val="single"/>
                <w:lang w:val="en-US" w:eastAsia="zh-CN"/>
                <w14:textFill>
                  <w14:solidFill>
                    <w14:schemeClr w14:val="tx1"/>
                  </w14:solidFill>
                </w14:textFill>
              </w:rPr>
              <w:t xml:space="preserve"> 1 </w:t>
            </w:r>
            <w:r>
              <w:rPr>
                <w:rFonts w:hint="eastAsia"/>
                <w:color w:val="000000" w:themeColor="text1"/>
                <w:highlight w:val="none"/>
                <w:lang w:val="en-US" w:eastAsia="zh-CN"/>
                <w14:textFill>
                  <w14:solidFill>
                    <w14:schemeClr w14:val="tx1"/>
                  </w14:solidFill>
                </w14:textFill>
              </w:rPr>
              <w:t>正</w:t>
            </w:r>
            <w:r>
              <w:rPr>
                <w:rFonts w:hint="eastAsia"/>
                <w:color w:val="000000" w:themeColor="text1"/>
                <w:highlight w:val="none"/>
                <w:u w:val="single"/>
                <w:lang w:val="en-US" w:eastAsia="zh-CN"/>
                <w14:textFill>
                  <w14:solidFill>
                    <w14:schemeClr w14:val="tx1"/>
                  </w14:solidFill>
                </w14:textFill>
              </w:rPr>
              <w:t xml:space="preserve"> 4 </w:t>
            </w:r>
            <w:r>
              <w:rPr>
                <w:rFonts w:hint="eastAsia"/>
                <w:color w:val="000000" w:themeColor="text1"/>
                <w:highlight w:val="none"/>
                <w:lang w:val="en-US" w:eastAsia="zh-CN"/>
                <w14:textFill>
                  <w14:solidFill>
                    <w14:schemeClr w14:val="tx1"/>
                  </w14:solidFill>
                </w14:textFill>
              </w:rPr>
              <w:t>副，</w:t>
            </w:r>
            <w:r>
              <w:rPr>
                <w:rFonts w:hint="eastAsia" w:ascii="宋体" w:hAnsi="宋体"/>
                <w:bCs/>
                <w:color w:val="000000" w:themeColor="text1"/>
                <w:szCs w:val="21"/>
                <w:highlight w:val="none"/>
                <w14:textFill>
                  <w14:solidFill>
                    <w14:schemeClr w14:val="tx1"/>
                  </w14:solidFill>
                </w14:textFill>
              </w:rPr>
              <w:t>独立装订成册</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24"/>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14:textFill>
                  <w14:solidFill>
                    <w14:schemeClr w14:val="tx1"/>
                  </w14:solidFill>
                </w14:textFill>
              </w:rPr>
              <w:t>开标信封</w:t>
            </w:r>
            <w:r>
              <w:rPr>
                <w:rFonts w:hint="eastAsia"/>
                <w:b/>
                <w:bCs/>
                <w:color w:val="000000" w:themeColor="text1"/>
                <w:szCs w:val="2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（内含“开标一览表”、“投标保证金”、“保证金退付书”、“法定代表人（负责人）证明书”和“法定代表人（负责人）授权书”</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lang w:val="en-US" w:eastAsia="zh-CN"/>
                <w14:textFill>
                  <w14:solidFill>
                    <w14:schemeClr w14:val="tx1"/>
                  </w14:solidFill>
                </w14:textFill>
              </w:rPr>
              <w:t>4、</w:t>
            </w:r>
            <w:r>
              <w:rPr>
                <w:rFonts w:hint="eastAsia"/>
                <w:b/>
                <w:bCs/>
                <w:color w:val="000000" w:themeColor="text1"/>
                <w:highlight w:val="none"/>
                <w:lang w:val="en-US" w:eastAsia="zh-CN"/>
                <w14:textFill>
                  <w14:solidFill>
                    <w14:schemeClr w14:val="tx1"/>
                  </w14:solidFill>
                </w14:textFill>
              </w:rPr>
              <w:t>投标文件电子版。</w:t>
            </w:r>
            <w:r>
              <w:rPr>
                <w:rFonts w:hint="eastAsia"/>
                <w:color w:val="000000" w:themeColor="text1"/>
                <w:highlight w:val="none"/>
                <w:lang w:val="en-US" w:eastAsia="zh-CN"/>
                <w14:textFill>
                  <w14:solidFill>
                    <w14:schemeClr w14:val="tx1"/>
                  </w14:solidFill>
                </w14:textFill>
              </w:rPr>
              <w:t>（以光盘或U盘提供，内含PDF及可编辑的投标文件电子版1份，</w:t>
            </w:r>
            <w:r>
              <w:rPr>
                <w:rFonts w:hint="eastAsia"/>
                <w:color w:val="000000" w:themeColor="text1"/>
                <w:szCs w:val="21"/>
                <w:highlight w:val="none"/>
                <w14:textFill>
                  <w14:solidFill>
                    <w14:schemeClr w14:val="tx1"/>
                  </w14:solidFill>
                </w14:textFill>
              </w:rPr>
              <w:t>在封面上注明“</w:t>
            </w:r>
            <w:r>
              <w:rPr>
                <w:rFonts w:hint="eastAsia"/>
                <w:color w:val="000000" w:themeColor="text1"/>
                <w:szCs w:val="21"/>
                <w:highlight w:val="none"/>
                <w:lang w:val="en-US" w:eastAsia="zh-CN"/>
                <w14:textFill>
                  <w14:solidFill>
                    <w14:schemeClr w14:val="tx1"/>
                  </w14:solidFill>
                </w14:textFill>
              </w:rPr>
              <w:t>公司名称-</w:t>
            </w:r>
            <w:r>
              <w:rPr>
                <w:rFonts w:hint="eastAsia"/>
                <w:color w:val="000000" w:themeColor="text1"/>
                <w:highlight w:val="none"/>
                <w:lang w:val="en-US" w:eastAsia="zh-CN"/>
                <w14:textFill>
                  <w14:solidFill>
                    <w14:schemeClr w14:val="tx1"/>
                  </w14:solidFill>
                </w14:textFill>
              </w:rPr>
              <w:t>投标文件电子版</w:t>
            </w:r>
            <w:r>
              <w:rPr>
                <w:rFonts w:hint="eastAsia"/>
                <w:color w:val="000000" w:themeColor="text1"/>
                <w:szCs w:val="21"/>
                <w:highlight w:val="none"/>
                <w14:textFill>
                  <w14:solidFill>
                    <w14:schemeClr w14:val="tx1"/>
                  </w14:solidFill>
                </w14:textFill>
              </w:rPr>
              <w:t>”</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14:textFill>
                  <w14:solidFill>
                    <w14:schemeClr w14:val="tx1"/>
                  </w14:solidFill>
                </w14:textFill>
              </w:rPr>
            </w:pPr>
            <w:r>
              <w:rPr>
                <w:rFonts w:hint="eastAsia" w:ascii="宋体" w:hAnsi="宋体"/>
                <w:b/>
                <w:bCs w:val="0"/>
                <w:color w:val="000000" w:themeColor="text1"/>
                <w:szCs w:val="21"/>
                <w:highlight w:val="none"/>
                <w:lang w:val="en-US" w:eastAsia="zh-CN"/>
                <w14:textFill>
                  <w14:solidFill>
                    <w14:schemeClr w14:val="tx1"/>
                  </w14:solidFill>
                </w14:textFill>
              </w:rPr>
              <w:t>所有投标资料</w:t>
            </w:r>
            <w:r>
              <w:rPr>
                <w:rFonts w:hint="eastAsia" w:ascii="宋体"/>
                <w:bCs/>
                <w:color w:val="000000" w:themeColor="text1"/>
                <w:szCs w:val="21"/>
                <w:highlight w:val="none"/>
                <w14:textFill>
                  <w14:solidFill>
                    <w14:schemeClr w14:val="tx1"/>
                  </w14:solidFill>
                </w14:textFill>
              </w:rPr>
              <w:t>分别</w:t>
            </w:r>
            <w:r>
              <w:rPr>
                <w:rFonts w:hint="eastAsia" w:ascii="宋体" w:hAnsi="宋体"/>
                <w:bCs/>
                <w:color w:val="000000" w:themeColor="text1"/>
                <w:szCs w:val="21"/>
                <w:highlight w:val="none"/>
                <w14:textFill>
                  <w14:solidFill>
                    <w14:schemeClr w14:val="tx1"/>
                  </w14:solidFill>
                </w14:textFill>
              </w:rPr>
              <w:t>密封在不透明的外层封装中，</w:t>
            </w:r>
            <w:r>
              <w:rPr>
                <w:rFonts w:hint="eastAsia"/>
                <w:color w:val="000000" w:themeColor="text1"/>
                <w:szCs w:val="21"/>
                <w:highlight w:val="none"/>
                <w14:textFill>
                  <w14:solidFill>
                    <w14:schemeClr w14:val="tx1"/>
                  </w14:solidFill>
                </w14:textFill>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每一密封封</w:t>
            </w:r>
            <w:r>
              <w:rPr>
                <w:rFonts w:hint="eastAsia" w:ascii="宋体"/>
                <w:bCs/>
                <w:color w:val="000000" w:themeColor="text1"/>
                <w:highlight w:val="none"/>
                <w:lang w:val="en-US" w:eastAsia="zh-CN"/>
                <w14:textFill>
                  <w14:solidFill>
                    <w14:schemeClr w14:val="tx1"/>
                  </w14:solidFill>
                </w14:textFill>
              </w:rPr>
              <w:t>装</w:t>
            </w:r>
            <w:r>
              <w:rPr>
                <w:rFonts w:hint="eastAsia" w:ascii="宋体"/>
                <w:bCs/>
                <w:color w:val="000000" w:themeColor="text1"/>
                <w:highlight w:val="none"/>
                <w14:textFill>
                  <w14:solidFill>
                    <w14:schemeClr w14:val="tx1"/>
                  </w14:solidFill>
                </w14:textFill>
              </w:rPr>
              <w:t>上均注明“于</w:t>
            </w:r>
            <w:r>
              <w:rPr>
                <w:rFonts w:hint="eastAsia" w:ascii="宋体"/>
                <w:bCs/>
                <w:color w:val="000000" w:themeColor="text1"/>
                <w:highlight w:val="none"/>
                <w:u w:val="single"/>
                <w14:textFill>
                  <w14:solidFill>
                    <w14:schemeClr w14:val="tx1"/>
                  </w14:solidFill>
                </w14:textFill>
              </w:rPr>
              <w:t xml:space="preserve">     （投标截止时间）   </w:t>
            </w:r>
            <w:r>
              <w:rPr>
                <w:rFonts w:hint="eastAsia" w:ascii="宋体"/>
                <w:bCs/>
                <w:color w:val="000000" w:themeColor="text1"/>
                <w:highlight w:val="none"/>
                <w14:textFill>
                  <w14:solidFill>
                    <w14:schemeClr w14:val="tx1"/>
                  </w14:solidFill>
                </w14:textFill>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投标人未按上述规定对投标文件进行密封和加写标记，</w:t>
            </w:r>
            <w:r>
              <w:rPr>
                <w:rFonts w:hint="eastAsia" w:ascii="宋体" w:hAnsi="宋体"/>
                <w:color w:val="000000" w:themeColor="text1"/>
                <w:highlight w:val="none"/>
                <w14:textFill>
                  <w14:solidFill>
                    <w14:schemeClr w14:val="tx1"/>
                  </w14:solidFill>
                </w14:textFill>
              </w:rPr>
              <w:t>代理采购机构有权予以拒收，并退回给投标人。电报、电话、传真</w:t>
            </w:r>
            <w:r>
              <w:rPr>
                <w:rFonts w:hint="eastAsia" w:ascii="宋体"/>
                <w:bCs/>
                <w:color w:val="000000" w:themeColor="text1"/>
                <w:highlight w:val="none"/>
                <w14:textFill>
                  <w14:solidFill>
                    <w14:schemeClr w14:val="tx1"/>
                  </w14:solidFill>
                </w14:textFill>
              </w:rPr>
              <w:t>等非纸质形式</w:t>
            </w:r>
            <w:r>
              <w:rPr>
                <w:rFonts w:hint="eastAsia" w:ascii="宋体" w:hAnsi="宋体"/>
                <w:color w:val="000000" w:themeColor="text1"/>
                <w:highlight w:val="none"/>
                <w14:textFill>
                  <w14:solidFill>
                    <w14:schemeClr w14:val="tx1"/>
                  </w14:solidFill>
                </w14:textFill>
              </w:rPr>
              <w:t>的投标概不接受</w:t>
            </w:r>
            <w:r>
              <w:rPr>
                <w:rFonts w:hint="eastAsia" w:ascii="宋体"/>
                <w:bCs/>
                <w:color w:val="000000" w:themeColor="text1"/>
                <w:highlight w:val="none"/>
                <w14:textFill>
                  <w14:solidFill>
                    <w14:schemeClr w14:val="tx1"/>
                  </w14:solidFill>
                </w14:textFill>
              </w:rPr>
              <w:t>。</w:t>
            </w:r>
            <w:r>
              <w:rPr>
                <w:b/>
                <w:bCs/>
                <w:color w:val="000000" w:themeColor="text1"/>
                <w:szCs w:val="21"/>
                <w:highlight w:val="none"/>
                <w14:textFill>
                  <w14:solidFill>
                    <w14:schemeClr w14:val="tx1"/>
                  </w14:solidFill>
                </w14:textFill>
              </w:rPr>
              <w:t>所有投标文件密封袋的封口处应加盖投标人</w:t>
            </w:r>
            <w:r>
              <w:rPr>
                <w:rFonts w:hint="eastAsia"/>
                <w:b/>
                <w:bCs/>
                <w:color w:val="000000" w:themeColor="text1"/>
                <w:szCs w:val="21"/>
                <w:highlight w:val="none"/>
                <w14:textFill>
                  <w14:solidFill>
                    <w14:schemeClr w14:val="tx1"/>
                  </w14:solidFill>
                </w14:textFill>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招标文件中打“★”号条款必须实质性响应，负偏离（不满足要求）将导致投标无效。</w:t>
            </w:r>
          </w:p>
          <w:p>
            <w:pPr>
              <w:pStyle w:val="6"/>
              <w:keepNext w:val="0"/>
              <w:keepLines w:val="0"/>
              <w:pageBreakBefore w:val="0"/>
              <w:numPr>
                <w:ilvl w:val="0"/>
                <w:numId w:val="0"/>
              </w:numPr>
              <w:tabs>
                <w:tab w:val="left" w:pos="26"/>
              </w:tabs>
              <w:kinsoku/>
              <w:wordWrap/>
              <w:overflowPunct/>
              <w:topLinePunct w:val="0"/>
              <w:bidi w:val="0"/>
              <w:snapToGrid/>
              <w:spacing w:line="400" w:lineRule="exact"/>
              <w:ind w:left="26" w:leftChars="0"/>
              <w:jc w:val="both"/>
              <w:rPr>
                <w:bCs/>
                <w:color w:val="000000" w:themeColor="text1"/>
                <w:highlight w:val="none"/>
                <w14:textFill>
                  <w14:solidFill>
                    <w14:schemeClr w14:val="tx1"/>
                  </w14:solidFill>
                </w14:textFill>
              </w:rPr>
            </w:pPr>
            <w:r>
              <w:rPr>
                <w:rFonts w:hint="eastAsia"/>
                <w:b/>
                <w:color w:val="000000" w:themeColor="text1"/>
                <w:sz w:val="21"/>
                <w:szCs w:val="21"/>
                <w:highlight w:val="none"/>
                <w:lang w:val="en-US" w:eastAsia="zh-CN"/>
                <w14:textFill>
                  <w14:solidFill>
                    <w14:schemeClr w14:val="tx1"/>
                  </w14:solidFill>
                </w14:textFill>
              </w:rPr>
              <w:t>2、</w:t>
            </w:r>
            <w:r>
              <w:rPr>
                <w:rFonts w:hint="eastAsia"/>
                <w:b/>
                <w:color w:val="000000" w:themeColor="text1"/>
                <w:sz w:val="21"/>
                <w:szCs w:val="21"/>
                <w:highlight w:val="none"/>
                <w14:textFill>
                  <w14:solidFill>
                    <w14:schemeClr w14:val="tx1"/>
                  </w14:solidFill>
                </w14:textFill>
              </w:rPr>
              <w:t>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4</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信息公告媒体</w:t>
            </w:r>
          </w:p>
        </w:tc>
        <w:tc>
          <w:tcPr>
            <w:tcW w:w="3418" w:type="dxa"/>
            <w:gridSpan w:val="2"/>
            <w:vMerge w:val="restart"/>
            <w:tcBorders>
              <w:top w:val="single" w:color="auto" w:sz="4" w:space="0"/>
              <w:left w:val="single" w:color="auto" w:sz="4" w:space="0"/>
              <w:right w:val="single" w:color="auto" w:sz="4" w:space="0"/>
            </w:tcBorders>
            <w:vAlign w:val="center"/>
          </w:tcPr>
          <w:p>
            <w:pPr>
              <w:spacing w:line="40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中国政府采购网</w:t>
            </w:r>
          </w:p>
        </w:tc>
        <w:tc>
          <w:tcPr>
            <w:tcW w:w="36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3418"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广东业信招标有限公司</w:t>
            </w:r>
            <w:r>
              <w:rPr>
                <w:rFonts w:hint="eastAsia" w:ascii="宋体" w:hAnsi="宋体"/>
                <w:color w:val="000000" w:themeColor="text1"/>
                <w:szCs w:val="21"/>
                <w:highlight w:val="none"/>
                <w14:textFill>
                  <w14:solidFill>
                    <w14:schemeClr w14:val="tx1"/>
                  </w14:solidFill>
                </w14:textFill>
              </w:rPr>
              <w:t>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"http://www.gdgpo.gov.cn" </w:instrText>
            </w:r>
            <w:r>
              <w:rPr>
                <w:color w:val="000000" w:themeColor="text1"/>
                <w:highlight w:val="none"/>
                <w14:textFill>
                  <w14:solidFill>
                    <w14:schemeClr w14:val="tx1"/>
                  </w14:solidFill>
                </w14:textFill>
              </w:rPr>
              <w:fldChar w:fldCharType="separate"/>
            </w:r>
            <w:r>
              <w:rPr>
                <w:rFonts w:ascii="宋体" w:hAnsi="宋体"/>
                <w:color w:val="000000" w:themeColor="text1"/>
                <w:szCs w:val="21"/>
                <w:highlight w:val="none"/>
                <w14:textFill>
                  <w14:solidFill>
                    <w14:schemeClr w14:val="tx1"/>
                  </w14:solidFill>
                </w14:textFill>
              </w:rPr>
              <w:t>http://www.gdgpo.</w:t>
            </w:r>
            <w:r>
              <w:rPr>
                <w:rFonts w:hint="eastAsia" w:ascii="宋体" w:hAnsi="宋体"/>
                <w:color w:val="000000" w:themeColor="text1"/>
                <w:szCs w:val="21"/>
                <w:highlight w:val="none"/>
                <w:lang w:val="en-US" w:eastAsia="zh-CN"/>
                <w14:textFill>
                  <w14:solidFill>
                    <w14:schemeClr w14:val="tx1"/>
                  </w14:solidFill>
                </w14:textFill>
              </w:rPr>
              <w:t>com.</w:t>
            </w:r>
            <w:r>
              <w:rPr>
                <w:rFonts w:ascii="宋体" w:hAnsi="宋体"/>
                <w:color w:val="000000" w:themeColor="text1"/>
                <w:szCs w:val="21"/>
                <w:highlight w:val="none"/>
                <w14:textFill>
                  <w14:solidFill>
                    <w14:schemeClr w14:val="tx1"/>
                  </w14:solidFill>
                </w14:textFill>
              </w:rPr>
              <w:t>cn</w:t>
            </w:r>
            <w:r>
              <w:rPr>
                <w:rFonts w:ascii="宋体" w:hAnsi="宋体"/>
                <w:color w:val="000000" w:themeColor="text1"/>
                <w:szCs w:val="21"/>
                <w:highlight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3418"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14:textFill>
                  <w14:solidFill>
                    <w14:schemeClr w14:val="tx1"/>
                  </w14:solidFill>
                </w14:textFill>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http://www.yjcg.cc</w:t>
            </w:r>
          </w:p>
        </w:tc>
      </w:tr>
    </w:tbl>
    <w:p>
      <w:pPr>
        <w:pStyle w:val="6"/>
        <w:ind w:left="0" w:leftChars="0" w:firstLine="0" w:firstLineChars="0"/>
        <w:rPr>
          <w:rFonts w:hint="eastAsia"/>
          <w:color w:val="000000" w:themeColor="text1"/>
          <w:szCs w:val="21"/>
          <w:highlight w:val="none"/>
          <w14:textFill>
            <w14:solidFill>
              <w14:schemeClr w14:val="tx1"/>
            </w14:solidFill>
          </w14:textFill>
        </w:rPr>
      </w:pPr>
    </w:p>
    <w:p>
      <w:pPr>
        <w:pStyle w:val="6"/>
        <w:ind w:left="0" w:leftChars="0" w:firstLine="0" w:firstLineChars="0"/>
        <w:rPr>
          <w:rFonts w:hint="eastAsia"/>
          <w:color w:val="000000" w:themeColor="text1"/>
          <w:szCs w:val="21"/>
          <w:highlight w:val="none"/>
          <w14:textFill>
            <w14:solidFill>
              <w14:schemeClr w14:val="tx1"/>
            </w14:solidFill>
          </w14:textFill>
        </w:rPr>
      </w:pPr>
    </w:p>
    <w:p>
      <w:pPr>
        <w:pStyle w:val="5"/>
        <w:numPr>
          <w:ilvl w:val="0"/>
          <w:numId w:val="0"/>
        </w:numPr>
        <w:rPr>
          <w:color w:val="000000" w:themeColor="text1"/>
          <w:sz w:val="24"/>
          <w:highlight w:val="none"/>
          <w14:textFill>
            <w14:solidFill>
              <w14:schemeClr w14:val="tx1"/>
            </w14:solidFill>
          </w14:textFill>
        </w:rPr>
      </w:pPr>
      <w:bookmarkStart w:id="119" w:name="_Hlt21938665"/>
      <w:bookmarkEnd w:id="119"/>
      <w:bookmarkStart w:id="120" w:name="_Hlt21938668"/>
      <w:bookmarkEnd w:id="120"/>
      <w:bookmarkStart w:id="121" w:name="_Toc339020201"/>
      <w:bookmarkStart w:id="122" w:name="_Toc339019857"/>
      <w:bookmarkStart w:id="123" w:name="_Toc332270314"/>
      <w:bookmarkStart w:id="124" w:name="_Toc342296728"/>
      <w:bookmarkStart w:id="125" w:name="_Toc333237645"/>
      <w:bookmarkStart w:id="126" w:name="_Toc365985147"/>
      <w:bookmarkStart w:id="127" w:name="_Toc340507410"/>
      <w:bookmarkStart w:id="128" w:name="_Toc330459953"/>
      <w:bookmarkStart w:id="129" w:name="_Toc333935655"/>
      <w:bookmarkStart w:id="130" w:name="_Toc331684006"/>
      <w:bookmarkStart w:id="131" w:name="_Toc340677038"/>
      <w:bookmarkStart w:id="132" w:name="_Toc332206676"/>
      <w:bookmarkStart w:id="133" w:name="_Toc342060342"/>
      <w:bookmarkStart w:id="134" w:name="_Toc333935314"/>
      <w:bookmarkStart w:id="135" w:name="_Toc339441055"/>
      <w:bookmarkStart w:id="136" w:name="_Toc349127594"/>
      <w:bookmarkStart w:id="137" w:name="_Toc339020063"/>
      <w:bookmarkStart w:id="138" w:name="_Toc331512866"/>
      <w:bookmarkStart w:id="139" w:name="_Toc339019983"/>
      <w:bookmarkStart w:id="140" w:name="_Toc345513835"/>
      <w:bookmarkStart w:id="141" w:name="_Toc337632326"/>
      <w:bookmarkStart w:id="142" w:name="_Toc333237756"/>
      <w:bookmarkStart w:id="143" w:name="_Toc497224194"/>
      <w:bookmarkStart w:id="144" w:name="_Toc350438717"/>
      <w:bookmarkStart w:id="145" w:name="_Toc350756418"/>
      <w:bookmarkStart w:id="146" w:name="_Toc341348306"/>
      <w:bookmarkStart w:id="147" w:name="_Toc336681548"/>
      <w:bookmarkStart w:id="148" w:name="_Toc333238601"/>
      <w:bookmarkStart w:id="149" w:name="_Toc16364"/>
      <w:bookmarkStart w:id="150" w:name="_Toc339362268"/>
      <w:bookmarkStart w:id="151" w:name="_Toc365967041"/>
      <w:bookmarkStart w:id="152" w:name="_Toc349143557"/>
      <w:bookmarkStart w:id="153" w:name="_Toc366072496"/>
      <w:bookmarkStart w:id="154" w:name="_Toc336681903"/>
      <w:bookmarkStart w:id="155" w:name="_Toc340672837"/>
      <w:bookmarkStart w:id="156" w:name="_Toc503785396"/>
      <w:r>
        <w:rPr>
          <w:rFonts w:hint="eastAsia"/>
          <w:color w:val="000000" w:themeColor="text1"/>
          <w:sz w:val="24"/>
          <w:highlight w:val="none"/>
          <w14:textFill>
            <w14:solidFill>
              <w14:schemeClr w14:val="tx1"/>
            </w14:solidFill>
          </w14:textFill>
        </w:rPr>
        <w:t>Ａ说明</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57" w:name="_Toc503785397"/>
      <w:bookmarkStart w:id="158" w:name="_Toc497224195"/>
      <w:bookmarkStart w:id="159" w:name="_Toc336681904"/>
      <w:bookmarkStart w:id="160" w:name="_Toc340507411"/>
      <w:bookmarkStart w:id="161" w:name="_Toc340677039"/>
      <w:bookmarkStart w:id="162" w:name="_Toc345513836"/>
      <w:bookmarkStart w:id="163" w:name="_Toc333238602"/>
      <w:bookmarkStart w:id="164" w:name="_Toc331684007"/>
      <w:bookmarkStart w:id="165" w:name="_Toc336681549"/>
      <w:bookmarkStart w:id="166" w:name="_Toc337632327"/>
      <w:bookmarkStart w:id="167" w:name="_Toc349143558"/>
      <w:bookmarkStart w:id="168" w:name="_Toc333237646"/>
      <w:bookmarkStart w:id="169" w:name="_Toc350438718"/>
      <w:bookmarkStart w:id="170" w:name="_Toc15096"/>
      <w:bookmarkStart w:id="171" w:name="_Toc332206677"/>
      <w:bookmarkStart w:id="172" w:name="_Toc339019984"/>
      <w:bookmarkStart w:id="173" w:name="_Toc349127595"/>
      <w:bookmarkStart w:id="174" w:name="_Toc333935656"/>
      <w:bookmarkStart w:id="175" w:name="_Toc331512867"/>
      <w:bookmarkStart w:id="176" w:name="_Toc341348307"/>
      <w:bookmarkStart w:id="177" w:name="_Toc340672838"/>
      <w:bookmarkStart w:id="178" w:name="_Toc350756419"/>
      <w:bookmarkStart w:id="179" w:name="_Toc332270315"/>
      <w:bookmarkStart w:id="180" w:name="_Toc339362269"/>
      <w:bookmarkStart w:id="181" w:name="_Toc342296729"/>
      <w:bookmarkStart w:id="182" w:name="_Toc339020202"/>
      <w:bookmarkStart w:id="183" w:name="_Toc333935315"/>
      <w:bookmarkStart w:id="184" w:name="_Toc366072497"/>
      <w:bookmarkStart w:id="185" w:name="_Toc342060343"/>
      <w:bookmarkStart w:id="186" w:name="_Toc339020064"/>
      <w:bookmarkStart w:id="187" w:name="_Toc339019858"/>
      <w:bookmarkStart w:id="188" w:name="_Toc333237757"/>
      <w:bookmarkStart w:id="189" w:name="_Toc365967042"/>
      <w:bookmarkStart w:id="190" w:name="_Toc365985148"/>
      <w:bookmarkStart w:id="191" w:name="_Toc330459954"/>
      <w:bookmarkStart w:id="192" w:name="_Toc339441056"/>
      <w:r>
        <w:rPr>
          <w:rFonts w:hint="eastAsia"/>
          <w:color w:val="000000" w:themeColor="text1"/>
          <w:highlight w:val="none"/>
          <w14:textFill>
            <w14:solidFill>
              <w14:schemeClr w14:val="tx1"/>
            </w14:solidFill>
          </w14:textFill>
        </w:rPr>
        <w:t>适用范围</w:t>
      </w:r>
      <w:bookmarkEnd w:id="157"/>
      <w:bookmarkEnd w:id="158"/>
      <w:r>
        <w:rPr>
          <w:rFonts w:hint="eastAsia"/>
          <w:color w:val="000000" w:themeColor="text1"/>
          <w:highlight w:val="none"/>
          <w14:textFill>
            <w14:solidFill>
              <w14:schemeClr w14:val="tx1"/>
            </w14:solidFill>
          </w14:textFill>
        </w:rPr>
        <w:t>和资金来源</w:t>
      </w:r>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bookmarkStart w:id="193" w:name="_Toc345513837"/>
      <w:bookmarkStart w:id="194" w:name="_Toc349143559"/>
      <w:bookmarkStart w:id="195" w:name="_Toc341348308"/>
      <w:bookmarkStart w:id="196" w:name="_Toc332270316"/>
      <w:bookmarkStart w:id="197" w:name="_Toc503785398"/>
      <w:bookmarkStart w:id="198" w:name="_Toc332206678"/>
      <w:bookmarkStart w:id="199" w:name="_Toc350756420"/>
      <w:bookmarkStart w:id="200" w:name="_Toc339020203"/>
      <w:bookmarkStart w:id="201" w:name="_Toc339020065"/>
      <w:bookmarkStart w:id="202" w:name="_Toc333237758"/>
      <w:bookmarkStart w:id="203" w:name="_Toc350438719"/>
      <w:bookmarkStart w:id="204" w:name="_Toc339019859"/>
      <w:bookmarkStart w:id="205" w:name="_Toc340677040"/>
      <w:bookmarkStart w:id="206" w:name="_Toc366072498"/>
      <w:bookmarkStart w:id="207" w:name="_Toc349127596"/>
      <w:bookmarkStart w:id="208" w:name="_Toc342296730"/>
      <w:bookmarkStart w:id="209" w:name="_Toc333238603"/>
      <w:bookmarkStart w:id="210" w:name="_Toc339362270"/>
      <w:bookmarkStart w:id="211" w:name="_Toc331684008"/>
      <w:bookmarkStart w:id="212" w:name="_Toc340672839"/>
      <w:bookmarkStart w:id="213" w:name="_Toc337632328"/>
      <w:bookmarkStart w:id="214" w:name="_Toc374454571"/>
      <w:bookmarkStart w:id="215" w:name="_Toc497224196"/>
      <w:bookmarkStart w:id="216" w:name="_Toc333237647"/>
      <w:bookmarkStart w:id="217" w:name="_Toc340507412"/>
      <w:bookmarkStart w:id="218" w:name="_Toc339441057"/>
      <w:bookmarkStart w:id="219" w:name="_Toc365967043"/>
      <w:bookmarkStart w:id="220" w:name="_Toc333935657"/>
      <w:bookmarkStart w:id="221" w:name="_Toc339019985"/>
      <w:bookmarkStart w:id="222" w:name="_Toc365985149"/>
      <w:bookmarkStart w:id="223" w:name="_Toc342060344"/>
      <w:bookmarkStart w:id="224" w:name="_Toc333935316"/>
      <w:bookmarkStart w:id="225" w:name="_Toc330459955"/>
      <w:bookmarkStart w:id="226" w:name="_Toc336681550"/>
      <w:bookmarkStart w:id="227" w:name="_Toc336681905"/>
      <w:bookmarkStart w:id="228" w:name="_Toc331512868"/>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3    本招标文件由代理采购机构负责解释。</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29" w:name="_Toc12639"/>
      <w:r>
        <w:rPr>
          <w:rFonts w:hint="eastAsia"/>
          <w:color w:val="000000" w:themeColor="text1"/>
          <w:highlight w:val="none"/>
          <w14:textFill>
            <w14:solidFill>
              <w14:schemeClr w14:val="tx1"/>
            </w14:solidFill>
          </w14:textFill>
        </w:rPr>
        <w:t>定义</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“代理采购机构”系指组织本次招标的</w:t>
      </w:r>
      <w:r>
        <w:rPr>
          <w:rFonts w:hint="eastAsia" w:ascii="宋体"/>
          <w:bCs/>
          <w:color w:val="000000" w:themeColor="text1"/>
          <w:highlight w:val="none"/>
          <w:lang w:eastAsia="zh-CN"/>
          <w14:textFill>
            <w14:solidFill>
              <w14:schemeClr w14:val="tx1"/>
            </w14:solidFill>
          </w14:textFill>
        </w:rPr>
        <w:t>广东业信招标有限公司</w:t>
      </w:r>
      <w:r>
        <w:rPr>
          <w:rFonts w:hint="eastAsia" w:ascii="宋体"/>
          <w:bCs/>
          <w:color w:val="000000" w:themeColor="text1"/>
          <w:highlight w:val="none"/>
          <w14:textFill>
            <w14:solidFill>
              <w14:schemeClr w14:val="tx1"/>
            </w14:solidFill>
          </w14:textFill>
        </w:rPr>
        <w:t>。</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“投标人”系指</w:t>
      </w:r>
      <w:r>
        <w:rPr>
          <w:rFonts w:hint="eastAsia" w:ascii="宋体" w:hAnsi="宋体"/>
          <w:bCs/>
          <w:color w:val="000000" w:themeColor="text1"/>
          <w:highlight w:val="none"/>
          <w14:textFill>
            <w14:solidFill>
              <w14:schemeClr w14:val="tx1"/>
            </w14:solidFill>
          </w14:textFill>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“采购人”系指</w:t>
      </w:r>
      <w:r>
        <w:rPr>
          <w:rFonts w:hint="eastAsia" w:ascii="宋体"/>
          <w:bCs/>
          <w:color w:val="000000" w:themeColor="text1"/>
          <w:highlight w:val="none"/>
          <w:lang w:eastAsia="zh-CN"/>
          <w14:textFill>
            <w14:solidFill>
              <w14:schemeClr w14:val="tx1"/>
            </w14:solidFill>
          </w14:textFill>
        </w:rPr>
        <w:t>阳江市海陵岛经济开发试验区财政局</w:t>
      </w:r>
      <w:r>
        <w:rPr>
          <w:rFonts w:hint="eastAsia" w:ascii="宋体"/>
          <w:bCs/>
          <w:color w:val="000000" w:themeColor="text1"/>
          <w:highlight w:val="none"/>
          <w14:textFill>
            <w14:solidFill>
              <w14:schemeClr w14:val="tx1"/>
            </w14:solidFill>
          </w14:textFill>
        </w:rPr>
        <w:t>，即项目采购用户方。</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货物</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系指投标人根据招标文件规定，须向采购人提供的设备、材料、备品备件、工具、使用手册、软件及有关技术资料等。</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“日”系指日历天。</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“工作日”系指国家规定除法定节假日以外的以日</w:t>
      </w:r>
      <w:r>
        <w:rPr>
          <w:rFonts w:ascii="宋体" w:hAnsi="宋体"/>
          <w:bCs/>
          <w:color w:val="000000" w:themeColor="text1"/>
          <w:highlight w:val="none"/>
          <w14:textFill>
            <w14:solidFill>
              <w14:schemeClr w14:val="tx1"/>
            </w14:solidFill>
          </w14:textFill>
        </w:rPr>
        <w:t>为计算单位的工作时间</w:t>
      </w:r>
      <w:r>
        <w:rPr>
          <w:rFonts w:hint="eastAsia" w:ascii="宋体" w:hAnsi="宋体"/>
          <w:bCs/>
          <w:color w:val="000000" w:themeColor="text1"/>
          <w:highlight w:val="none"/>
          <w14:textFill>
            <w14:solidFill>
              <w14:schemeClr w14:val="tx1"/>
            </w14:solidFill>
          </w14:textFill>
        </w:rPr>
        <w:t>。</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30" w:name="_Toc497224197"/>
      <w:bookmarkStart w:id="231" w:name="_Toc503785399"/>
      <w:bookmarkStart w:id="232" w:name="_Toc340677041"/>
      <w:bookmarkStart w:id="233" w:name="_Toc374454572"/>
      <w:bookmarkStart w:id="234" w:name="_Toc336681906"/>
      <w:bookmarkStart w:id="235" w:name="_Toc342060345"/>
      <w:bookmarkStart w:id="236" w:name="_Toc340507413"/>
      <w:bookmarkStart w:id="237" w:name="_Toc350756421"/>
      <w:bookmarkStart w:id="238" w:name="_Toc366072499"/>
      <w:bookmarkStart w:id="239" w:name="_Toc341348309"/>
      <w:bookmarkStart w:id="240" w:name="_Toc365967044"/>
      <w:bookmarkStart w:id="241" w:name="_Toc333935317"/>
      <w:bookmarkStart w:id="242" w:name="_Toc365985150"/>
      <w:bookmarkStart w:id="243" w:name="_Toc342296731"/>
      <w:bookmarkStart w:id="244" w:name="_Toc332270317"/>
      <w:bookmarkStart w:id="245" w:name="_Toc339019986"/>
      <w:bookmarkStart w:id="246" w:name="_Toc345513838"/>
      <w:bookmarkStart w:id="247" w:name="_Toc333237648"/>
      <w:bookmarkStart w:id="248" w:name="_Toc333237759"/>
      <w:bookmarkStart w:id="249" w:name="_Toc339019860"/>
      <w:bookmarkStart w:id="250" w:name="_Toc29684"/>
      <w:bookmarkStart w:id="251" w:name="_Toc349143560"/>
      <w:bookmarkStart w:id="252" w:name="_Toc330459956"/>
      <w:bookmarkStart w:id="253" w:name="_Toc339020204"/>
      <w:bookmarkStart w:id="254" w:name="_Toc340672840"/>
      <w:bookmarkStart w:id="255" w:name="_Toc339441058"/>
      <w:bookmarkStart w:id="256" w:name="_Toc336681551"/>
      <w:bookmarkStart w:id="257" w:name="_Toc332206679"/>
      <w:bookmarkStart w:id="258" w:name="_Toc339362271"/>
      <w:bookmarkStart w:id="259" w:name="_Toc349127597"/>
      <w:bookmarkStart w:id="260" w:name="_Toc337632329"/>
      <w:bookmarkStart w:id="261" w:name="_Toc333935658"/>
      <w:bookmarkStart w:id="262" w:name="_Toc339020066"/>
      <w:bookmarkStart w:id="263" w:name="_Toc333238604"/>
      <w:bookmarkStart w:id="264" w:name="_Toc350438720"/>
      <w:bookmarkStart w:id="265" w:name="_Toc331512869"/>
      <w:bookmarkStart w:id="266" w:name="_Toc331684009"/>
      <w:r>
        <w:rPr>
          <w:rFonts w:hint="eastAsia"/>
          <w:color w:val="000000" w:themeColor="text1"/>
          <w:highlight w:val="none"/>
          <w14:textFill>
            <w14:solidFill>
              <w14:schemeClr w14:val="tx1"/>
            </w14:solidFill>
          </w14:textFill>
        </w:rPr>
        <w:t>合格的</w:t>
      </w:r>
      <w:bookmarkEnd w:id="230"/>
      <w:bookmarkEnd w:id="231"/>
      <w:r>
        <w:rPr>
          <w:rFonts w:hint="eastAsia"/>
          <w:color w:val="000000" w:themeColor="text1"/>
          <w:highlight w:val="none"/>
          <w14:textFill>
            <w14:solidFill>
              <w14:schemeClr w14:val="tx1"/>
            </w14:solidFill>
          </w14:textFill>
        </w:rPr>
        <w:t>投标人</w:t>
      </w:r>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pPr>
        <w:widowControl/>
        <w:tabs>
          <w:tab w:val="left" w:pos="502"/>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3.1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国内有能力提供采购项目相关的工程、货物和服务且符合本项目合格投标人资格条件的投标人</w:t>
      </w:r>
      <w:r>
        <w:rPr>
          <w:rFonts w:hint="eastAsia" w:ascii="宋体"/>
          <w:bCs/>
          <w:color w:val="000000" w:themeColor="text1"/>
          <w:highlight w:val="none"/>
          <w14:textFill>
            <w14:solidFill>
              <w14:schemeClr w14:val="tx1"/>
            </w14:solidFill>
          </w14:textFill>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3.2</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3.3    </w:t>
      </w:r>
      <w:r>
        <w:rPr>
          <w:rFonts w:ascii="宋体" w:hAnsi="宋体"/>
          <w:bCs/>
          <w:color w:val="000000" w:themeColor="text1"/>
          <w:szCs w:val="21"/>
          <w:highlight w:val="none"/>
          <w14:textFill>
            <w14:solidFill>
              <w14:schemeClr w14:val="tx1"/>
            </w14:solidFill>
          </w14:textFill>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3.4     </w:t>
      </w:r>
      <w:r>
        <w:rPr>
          <w:rFonts w:ascii="宋体" w:hAnsi="宋体"/>
          <w:bCs/>
          <w:color w:val="000000" w:themeColor="text1"/>
          <w:szCs w:val="21"/>
          <w:highlight w:val="none"/>
          <w14:textFill>
            <w14:solidFill>
              <w14:schemeClr w14:val="tx1"/>
            </w14:solidFill>
          </w14:textFill>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3.5    </w:t>
      </w:r>
      <w:r>
        <w:rPr>
          <w:rFonts w:ascii="宋体" w:hAnsi="宋体"/>
          <w:bCs/>
          <w:color w:val="000000" w:themeColor="text1"/>
          <w:szCs w:val="21"/>
          <w:highlight w:val="none"/>
          <w14:textFill>
            <w14:solidFill>
              <w14:schemeClr w14:val="tx1"/>
            </w14:solidFill>
          </w14:textFill>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3.6    </w:t>
      </w:r>
      <w:r>
        <w:rPr>
          <w:bCs/>
          <w:color w:val="000000" w:themeColor="text1"/>
          <w:szCs w:val="21"/>
          <w:highlight w:val="none"/>
          <w14:textFill>
            <w14:solidFill>
              <w14:schemeClr w14:val="tx1"/>
            </w14:solidFill>
          </w14:textFill>
        </w:rPr>
        <w:t>专门面向中小微企业采购的项目，只能由中小企业或微型企业参加。</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67" w:name="_Toc497224198"/>
      <w:bookmarkStart w:id="268" w:name="_Toc337632330"/>
      <w:bookmarkStart w:id="269" w:name="_Toc331684010"/>
      <w:bookmarkStart w:id="270" w:name="_Toc503785400"/>
      <w:bookmarkStart w:id="271" w:name="_Toc25988"/>
      <w:bookmarkStart w:id="272" w:name="_Toc331512870"/>
      <w:bookmarkStart w:id="273" w:name="_Toc339019987"/>
      <w:bookmarkStart w:id="274" w:name="_Toc345513839"/>
      <w:bookmarkStart w:id="275" w:name="_Toc339020205"/>
      <w:bookmarkStart w:id="276" w:name="_Toc341348310"/>
      <w:bookmarkStart w:id="277" w:name="_Toc374454573"/>
      <w:bookmarkStart w:id="278" w:name="_Toc339019861"/>
      <w:bookmarkStart w:id="279" w:name="_Toc365967045"/>
      <w:bookmarkStart w:id="280" w:name="_Toc333237649"/>
      <w:bookmarkStart w:id="281" w:name="_Toc339362272"/>
      <w:bookmarkStart w:id="282" w:name="_Toc333935659"/>
      <w:bookmarkStart w:id="283" w:name="_Toc342296732"/>
      <w:bookmarkStart w:id="284" w:name="_Toc339441059"/>
      <w:bookmarkStart w:id="285" w:name="_Toc333238605"/>
      <w:bookmarkStart w:id="286" w:name="_Toc365985151"/>
      <w:bookmarkStart w:id="287" w:name="_Toc333237760"/>
      <w:bookmarkStart w:id="288" w:name="_Toc342060346"/>
      <w:bookmarkStart w:id="289" w:name="_Toc330459957"/>
      <w:bookmarkStart w:id="290" w:name="_Toc349143561"/>
      <w:bookmarkStart w:id="291" w:name="_Toc349127598"/>
      <w:bookmarkStart w:id="292" w:name="_Toc332206680"/>
      <w:bookmarkStart w:id="293" w:name="_Toc350438721"/>
      <w:bookmarkStart w:id="294" w:name="_Toc350756422"/>
      <w:bookmarkStart w:id="295" w:name="_Toc340677042"/>
      <w:bookmarkStart w:id="296" w:name="_Toc339020067"/>
      <w:bookmarkStart w:id="297" w:name="_Toc340672841"/>
      <w:bookmarkStart w:id="298" w:name="_Toc333935318"/>
      <w:bookmarkStart w:id="299" w:name="_Toc336681552"/>
      <w:bookmarkStart w:id="300" w:name="_Toc332270318"/>
      <w:bookmarkStart w:id="301" w:name="_Toc340507414"/>
      <w:bookmarkStart w:id="302" w:name="_Toc366072500"/>
      <w:bookmarkStart w:id="303" w:name="_Toc336681907"/>
      <w:r>
        <w:rPr>
          <w:rFonts w:hint="eastAsia"/>
          <w:color w:val="000000" w:themeColor="text1"/>
          <w:highlight w:val="none"/>
          <w14:textFill>
            <w14:solidFill>
              <w14:schemeClr w14:val="tx1"/>
            </w14:solidFill>
          </w14:textFill>
        </w:rPr>
        <w:t>投标费用</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4.1</w:t>
      </w:r>
      <w:r>
        <w:rPr>
          <w:rFonts w:hint="eastAsia" w:ascii="宋体"/>
          <w:bCs/>
          <w:color w:val="000000" w:themeColor="text1"/>
          <w:highlight w:val="none"/>
          <w14:textFill>
            <w14:solidFill>
              <w14:schemeClr w14:val="tx1"/>
            </w14:solidFill>
          </w14:textFill>
        </w:rPr>
        <w:tab/>
      </w:r>
      <w:r>
        <w:rPr>
          <w:rFonts w:hint="eastAsia" w:hAnsi="宋体"/>
          <w:color w:val="000000" w:themeColor="text1"/>
          <w:highlight w:val="none"/>
          <w14:textFill>
            <w14:solidFill>
              <w14:schemeClr w14:val="tx1"/>
            </w14:solidFill>
          </w14:textFill>
        </w:rPr>
        <w:t>投标人应承担所有与准备和参加投标有关的费用。不论投标的结果如何，代理采购机构和采购人均无义务和责任承担这些费用</w:t>
      </w:r>
      <w:r>
        <w:rPr>
          <w:rFonts w:hint="eastAsia" w:ascii="宋体"/>
          <w:bCs/>
          <w:color w:val="000000" w:themeColor="text1"/>
          <w:highlight w:val="none"/>
          <w14:textFill>
            <w14:solidFill>
              <w14:schemeClr w14:val="tx1"/>
            </w14:solidFill>
          </w14:textFill>
        </w:rPr>
        <w:t>。</w:t>
      </w:r>
      <w:bookmarkStart w:id="304" w:name="_Toc339020206"/>
      <w:bookmarkStart w:id="305" w:name="_Toc497224199"/>
      <w:bookmarkStart w:id="306" w:name="_Toc333935319"/>
      <w:bookmarkStart w:id="307" w:name="_Toc339362273"/>
      <w:bookmarkStart w:id="308" w:name="_Toc339019988"/>
      <w:bookmarkStart w:id="309" w:name="_Toc340507415"/>
      <w:bookmarkStart w:id="310" w:name="_Toc336681553"/>
      <w:bookmarkStart w:id="311" w:name="_Toc340672842"/>
      <w:bookmarkStart w:id="312" w:name="_Toc349127599"/>
      <w:bookmarkStart w:id="313" w:name="_Toc350756423"/>
      <w:bookmarkStart w:id="314" w:name="_Toc341348311"/>
      <w:bookmarkStart w:id="315" w:name="_Toc332270319"/>
      <w:bookmarkStart w:id="316" w:name="_Toc342296733"/>
      <w:bookmarkStart w:id="317" w:name="_Toc333935660"/>
      <w:bookmarkStart w:id="318" w:name="_Toc331512871"/>
      <w:bookmarkStart w:id="319" w:name="_Toc345513840"/>
      <w:bookmarkStart w:id="320" w:name="_Toc331684011"/>
      <w:bookmarkStart w:id="321" w:name="_Toc366072501"/>
      <w:bookmarkStart w:id="322" w:name="_Toc339441060"/>
      <w:bookmarkStart w:id="323" w:name="_Toc337632331"/>
      <w:bookmarkStart w:id="324" w:name="_Toc374454574"/>
      <w:bookmarkStart w:id="325" w:name="_Toc333237761"/>
      <w:bookmarkStart w:id="326" w:name="_Toc333237650"/>
      <w:bookmarkStart w:id="327" w:name="_Toc339019862"/>
      <w:bookmarkStart w:id="328" w:name="_Toc339020068"/>
      <w:bookmarkStart w:id="329" w:name="_Toc349143562"/>
      <w:bookmarkStart w:id="330" w:name="_Toc336681908"/>
      <w:bookmarkStart w:id="331" w:name="_Toc332206681"/>
      <w:bookmarkStart w:id="332" w:name="_Toc333238606"/>
      <w:bookmarkStart w:id="333" w:name="_Toc503785401"/>
      <w:bookmarkStart w:id="334" w:name="_Toc365967046"/>
      <w:bookmarkStart w:id="335" w:name="_Toc350438722"/>
      <w:bookmarkStart w:id="336" w:name="_Toc342060347"/>
      <w:bookmarkStart w:id="337" w:name="_Toc330459958"/>
      <w:bookmarkStart w:id="338" w:name="_Toc340677043"/>
      <w:bookmarkStart w:id="339" w:name="_Toc365985152"/>
    </w:p>
    <w:p>
      <w:pPr>
        <w:pStyle w:val="5"/>
        <w:numPr>
          <w:ilvl w:val="0"/>
          <w:numId w:val="0"/>
        </w:numPr>
        <w:rPr>
          <w:color w:val="000000" w:themeColor="text1"/>
          <w:sz w:val="24"/>
          <w:highlight w:val="none"/>
          <w14:textFill>
            <w14:solidFill>
              <w14:schemeClr w14:val="tx1"/>
            </w14:solidFill>
          </w14:textFill>
        </w:rPr>
      </w:pPr>
      <w:bookmarkStart w:id="340" w:name="_Toc9431"/>
      <w:r>
        <w:rPr>
          <w:rFonts w:hint="eastAsia"/>
          <w:color w:val="000000" w:themeColor="text1"/>
          <w:sz w:val="24"/>
          <w:highlight w:val="none"/>
          <w14:textFill>
            <w14:solidFill>
              <w14:schemeClr w14:val="tx1"/>
            </w14:solidFill>
          </w14:textFill>
        </w:rPr>
        <w:t>Ｂ招标文件说明</w:t>
      </w:r>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341" w:name="_Toc333237651"/>
      <w:bookmarkStart w:id="342" w:name="_Toc339019989"/>
      <w:bookmarkStart w:id="343" w:name="_Toc339020207"/>
      <w:bookmarkStart w:id="344" w:name="_Toc349143563"/>
      <w:bookmarkStart w:id="345" w:name="_Toc339441061"/>
      <w:bookmarkStart w:id="346" w:name="_Toc340672843"/>
      <w:bookmarkStart w:id="347" w:name="_Toc341348312"/>
      <w:bookmarkStart w:id="348" w:name="_Toc342296734"/>
      <w:bookmarkStart w:id="349" w:name="_Toc349127600"/>
      <w:bookmarkStart w:id="350" w:name="_Toc332270320"/>
      <w:bookmarkStart w:id="351" w:name="_Toc330459959"/>
      <w:bookmarkStart w:id="352" w:name="_Toc365985153"/>
      <w:bookmarkStart w:id="353" w:name="_Toc365967047"/>
      <w:bookmarkStart w:id="354" w:name="_Toc336681909"/>
      <w:bookmarkStart w:id="355" w:name="_Toc339362274"/>
      <w:bookmarkStart w:id="356" w:name="_Toc340677044"/>
      <w:bookmarkStart w:id="357" w:name="_Toc333238607"/>
      <w:bookmarkStart w:id="358" w:name="_Toc331512872"/>
      <w:bookmarkStart w:id="359" w:name="_Toc339020069"/>
      <w:bookmarkStart w:id="360" w:name="_Toc366072502"/>
      <w:bookmarkStart w:id="361" w:name="_Toc337632332"/>
      <w:bookmarkStart w:id="362" w:name="_Toc333935661"/>
      <w:bookmarkStart w:id="363" w:name="_Toc333237762"/>
      <w:bookmarkStart w:id="364" w:name="_Toc342060348"/>
      <w:bookmarkStart w:id="365" w:name="_Toc331684012"/>
      <w:bookmarkStart w:id="366" w:name="_Toc345513841"/>
      <w:bookmarkStart w:id="367" w:name="_Toc350756424"/>
      <w:bookmarkStart w:id="368" w:name="_Toc503785402"/>
      <w:bookmarkStart w:id="369" w:name="_Toc340507416"/>
      <w:bookmarkStart w:id="370" w:name="_Toc497224200"/>
      <w:bookmarkStart w:id="371" w:name="_Toc374454575"/>
      <w:bookmarkStart w:id="372" w:name="_Toc350438723"/>
      <w:bookmarkStart w:id="373" w:name="_Toc11014"/>
      <w:bookmarkStart w:id="374" w:name="_Toc332206682"/>
      <w:bookmarkStart w:id="375" w:name="_Toc333935320"/>
      <w:bookmarkStart w:id="376" w:name="_Toc336681554"/>
      <w:bookmarkStart w:id="377" w:name="_Toc339019863"/>
      <w:r>
        <w:rPr>
          <w:rFonts w:hint="eastAsia"/>
          <w:color w:val="000000" w:themeColor="text1"/>
          <w:highlight w:val="none"/>
          <w14:textFill>
            <w14:solidFill>
              <w14:schemeClr w14:val="tx1"/>
            </w14:solidFill>
          </w14:textFill>
        </w:rPr>
        <w:t>招标文件的构成</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5.1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第一部分  投标邀请函</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第二部分  采购项目内容</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第三部分  投标人须知</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第四部分  参考合同</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第五部分  投标文件格式（含附件）</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5.2</w:t>
      </w:r>
      <w:r>
        <w:rPr>
          <w:rFonts w:hint="eastAsia" w:ascii="宋体"/>
          <w:bCs/>
          <w:color w:val="000000" w:themeColor="text1"/>
          <w:highlight w:val="none"/>
          <w14:textFill>
            <w14:solidFill>
              <w14:schemeClr w14:val="tx1"/>
            </w14:solidFill>
          </w14:textFill>
        </w:rPr>
        <w:t xml:space="preserve"> </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招标文件以中文编印。</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378" w:name="_Toc365967048"/>
      <w:bookmarkStart w:id="379" w:name="_Toc341348313"/>
      <w:bookmarkStart w:id="380" w:name="_Toc345513842"/>
      <w:bookmarkStart w:id="381" w:name="_Toc342296735"/>
      <w:bookmarkStart w:id="382" w:name="_Toc331684013"/>
      <w:bookmarkStart w:id="383" w:name="_Toc339441062"/>
      <w:bookmarkStart w:id="384" w:name="_Toc497224201"/>
      <w:bookmarkStart w:id="385" w:name="_Toc503785403"/>
      <w:bookmarkStart w:id="386" w:name="_Toc337632333"/>
      <w:bookmarkStart w:id="387" w:name="_Toc350756425"/>
      <w:bookmarkStart w:id="388" w:name="_Toc350438724"/>
      <w:bookmarkStart w:id="389" w:name="_Toc332206683"/>
      <w:bookmarkStart w:id="390" w:name="_Toc342060349"/>
      <w:bookmarkStart w:id="391" w:name="_Toc340672844"/>
      <w:bookmarkStart w:id="392" w:name="_Toc340677045"/>
      <w:bookmarkStart w:id="393" w:name="_Toc332270321"/>
      <w:bookmarkStart w:id="394" w:name="_Toc339020070"/>
      <w:bookmarkStart w:id="395" w:name="_Toc339020208"/>
      <w:bookmarkStart w:id="396" w:name="_Toc339019864"/>
      <w:bookmarkStart w:id="397" w:name="_Toc370388389"/>
      <w:bookmarkStart w:id="398" w:name="_Toc365985154"/>
      <w:bookmarkStart w:id="399" w:name="_Toc349143564"/>
      <w:bookmarkStart w:id="400" w:name="_Toc336681910"/>
      <w:bookmarkStart w:id="401" w:name="_Toc333237763"/>
      <w:bookmarkStart w:id="402" w:name="_Toc333935321"/>
      <w:bookmarkStart w:id="403" w:name="_Toc333238608"/>
      <w:bookmarkStart w:id="404" w:name="_Toc336681555"/>
      <w:bookmarkStart w:id="405" w:name="_Toc333935662"/>
      <w:bookmarkStart w:id="406" w:name="_Toc333237652"/>
      <w:bookmarkStart w:id="407" w:name="_Toc339019990"/>
      <w:bookmarkStart w:id="408" w:name="_Toc340507417"/>
      <w:bookmarkStart w:id="409" w:name="_Toc349127601"/>
      <w:bookmarkStart w:id="410" w:name="_Toc330459960"/>
      <w:bookmarkStart w:id="411" w:name="_Toc339362275"/>
      <w:bookmarkStart w:id="412" w:name="_Toc331512873"/>
      <w:bookmarkStart w:id="413" w:name="_Toc374454576"/>
      <w:bookmarkStart w:id="414" w:name="_Toc2926"/>
      <w:bookmarkStart w:id="415" w:name="_Toc503785405"/>
      <w:bookmarkStart w:id="416" w:name="_Toc497224203"/>
      <w:bookmarkStart w:id="417" w:name="_Toc341348315"/>
      <w:bookmarkStart w:id="418" w:name="_Toc336681912"/>
      <w:bookmarkStart w:id="419" w:name="_Toc342060351"/>
      <w:bookmarkStart w:id="420" w:name="_Toc342296737"/>
      <w:bookmarkStart w:id="421" w:name="_Toc339020210"/>
      <w:bookmarkStart w:id="422" w:name="_Toc366072505"/>
      <w:bookmarkStart w:id="423" w:name="_Toc332270323"/>
      <w:bookmarkStart w:id="424" w:name="_Toc332206685"/>
      <w:bookmarkStart w:id="425" w:name="_Toc365985156"/>
      <w:bookmarkStart w:id="426" w:name="_Toc333935323"/>
      <w:bookmarkStart w:id="427" w:name="_Toc333238610"/>
      <w:bookmarkStart w:id="428" w:name="_Toc349143566"/>
      <w:bookmarkStart w:id="429" w:name="_Toc340677047"/>
      <w:bookmarkStart w:id="430" w:name="_Toc333237654"/>
      <w:bookmarkStart w:id="431" w:name="_Toc339362277"/>
      <w:bookmarkStart w:id="432" w:name="_Toc340672846"/>
      <w:bookmarkStart w:id="433" w:name="_Toc339019992"/>
      <w:bookmarkStart w:id="434" w:name="_Toc339020072"/>
      <w:bookmarkStart w:id="435" w:name="_Toc336681557"/>
      <w:bookmarkStart w:id="436" w:name="_Toc333237765"/>
      <w:bookmarkStart w:id="437" w:name="_Toc350756427"/>
      <w:bookmarkStart w:id="438" w:name="_Toc337632335"/>
      <w:bookmarkStart w:id="439" w:name="_Toc345513844"/>
      <w:bookmarkStart w:id="440" w:name="_Toc331684015"/>
      <w:bookmarkStart w:id="441" w:name="_Toc339441064"/>
      <w:bookmarkStart w:id="442" w:name="_Toc349127603"/>
      <w:bookmarkStart w:id="443" w:name="_Toc350438726"/>
      <w:bookmarkStart w:id="444" w:name="_Toc340507419"/>
      <w:bookmarkStart w:id="445" w:name="_Toc331512875"/>
      <w:bookmarkStart w:id="446" w:name="_Toc330459962"/>
      <w:bookmarkStart w:id="447" w:name="_Toc333935664"/>
      <w:bookmarkStart w:id="448" w:name="_Toc339019866"/>
      <w:bookmarkStart w:id="449" w:name="_Toc365967050"/>
      <w:r>
        <w:rPr>
          <w:rFonts w:hint="eastAsia"/>
          <w:color w:val="000000" w:themeColor="text1"/>
          <w:highlight w:val="none"/>
          <w14:textFill>
            <w14:solidFill>
              <w14:schemeClr w14:val="tx1"/>
            </w14:solidFill>
          </w14:textFill>
        </w:rPr>
        <w:t>招标文件的澄清</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r>
        <w:rPr>
          <w:rFonts w:hint="eastAsia"/>
          <w:color w:val="000000" w:themeColor="text1"/>
          <w:highlight w:val="none"/>
          <w14:textFill>
            <w14:solidFill>
              <w14:schemeClr w14:val="tx1"/>
            </w14:solidFill>
          </w14:textFill>
        </w:rPr>
        <w:t>、修改</w:t>
      </w:r>
      <w:bookmarkEnd w:id="413"/>
      <w:bookmarkEnd w:id="414"/>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澄清或修改时间距投标截止时间不足15日的，采购人或代理采购机构在征得已获取招标文件的投标人同意并书面确认后，可不改变投标截止时间。</w:t>
      </w:r>
    </w:p>
    <w:p>
      <w:pPr>
        <w:pStyle w:val="5"/>
        <w:numPr>
          <w:ilvl w:val="0"/>
          <w:numId w:val="0"/>
        </w:numPr>
        <w:rPr>
          <w:color w:val="000000" w:themeColor="text1"/>
          <w:sz w:val="24"/>
          <w:highlight w:val="none"/>
          <w14:textFill>
            <w14:solidFill>
              <w14:schemeClr w14:val="tx1"/>
            </w14:solidFill>
          </w14:textFill>
        </w:rPr>
      </w:pPr>
      <w:bookmarkStart w:id="450" w:name="_Toc374454577"/>
      <w:r>
        <w:rPr>
          <w:color w:val="000000" w:themeColor="text1"/>
          <w:sz w:val="24"/>
          <w:highlight w:val="none"/>
          <w14:textFill>
            <w14:solidFill>
              <w14:schemeClr w14:val="tx1"/>
            </w14:solidFill>
          </w14:textFill>
        </w:rPr>
        <w:br w:type="page"/>
      </w:r>
      <w:bookmarkStart w:id="451" w:name="_Toc4873"/>
      <w:r>
        <w:rPr>
          <w:rFonts w:hint="eastAsia"/>
          <w:color w:val="000000" w:themeColor="text1"/>
          <w:sz w:val="24"/>
          <w:highlight w:val="none"/>
          <w14:textFill>
            <w14:solidFill>
              <w14:schemeClr w14:val="tx1"/>
            </w14:solidFill>
          </w14:textFill>
        </w:rPr>
        <w:t>Ｃ投标文件的编</w:t>
      </w:r>
      <w:bookmarkEnd w:id="415"/>
      <w:bookmarkEnd w:id="416"/>
      <w:r>
        <w:rPr>
          <w:rFonts w:hint="eastAsia"/>
          <w:color w:val="000000" w:themeColor="text1"/>
          <w:sz w:val="24"/>
          <w:highlight w:val="none"/>
          <w14:textFill>
            <w14:solidFill>
              <w14:schemeClr w14:val="tx1"/>
            </w14:solidFill>
          </w14:textFill>
        </w:rPr>
        <w:t>制</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452" w:name="_Toc336681913"/>
      <w:bookmarkStart w:id="453" w:name="_Toc330459963"/>
      <w:bookmarkStart w:id="454" w:name="_Toc339020211"/>
      <w:bookmarkStart w:id="455" w:name="_Toc333935665"/>
      <w:bookmarkStart w:id="456" w:name="_Toc374454578"/>
      <w:bookmarkStart w:id="457" w:name="_Toc333935324"/>
      <w:bookmarkStart w:id="458" w:name="_Toc333237655"/>
      <w:bookmarkStart w:id="459" w:name="_Toc350438727"/>
      <w:bookmarkStart w:id="460" w:name="_Toc366072506"/>
      <w:bookmarkStart w:id="461" w:name="_Toc349127604"/>
      <w:bookmarkStart w:id="462" w:name="_Toc342296738"/>
      <w:bookmarkStart w:id="463" w:name="_Toc339019867"/>
      <w:bookmarkStart w:id="464" w:name="_Toc342060352"/>
      <w:bookmarkStart w:id="465" w:name="_Toc332206686"/>
      <w:bookmarkStart w:id="466" w:name="_Toc339441065"/>
      <w:bookmarkStart w:id="467" w:name="_Toc336681558"/>
      <w:bookmarkStart w:id="468" w:name="_Toc332270324"/>
      <w:bookmarkStart w:id="469" w:name="_Toc349143567"/>
      <w:bookmarkStart w:id="470" w:name="_Toc339020073"/>
      <w:bookmarkStart w:id="471" w:name="_Toc365985157"/>
      <w:bookmarkStart w:id="472" w:name="_Toc340677048"/>
      <w:bookmarkStart w:id="473" w:name="_Toc365967051"/>
      <w:bookmarkStart w:id="474" w:name="_Toc340507420"/>
      <w:bookmarkStart w:id="475" w:name="_Toc333237766"/>
      <w:bookmarkStart w:id="476" w:name="_Toc503785406"/>
      <w:bookmarkStart w:id="477" w:name="_Toc345513845"/>
      <w:bookmarkStart w:id="478" w:name="_Toc331684016"/>
      <w:bookmarkStart w:id="479" w:name="_Toc15538"/>
      <w:bookmarkStart w:id="480" w:name="_Toc340672847"/>
      <w:bookmarkStart w:id="481" w:name="_Toc350756428"/>
      <w:bookmarkStart w:id="482" w:name="_Toc341348316"/>
      <w:bookmarkStart w:id="483" w:name="_Toc333238611"/>
      <w:bookmarkStart w:id="484" w:name="_Toc331512876"/>
      <w:bookmarkStart w:id="485" w:name="_Toc339362278"/>
      <w:bookmarkStart w:id="486" w:name="_Toc497224204"/>
      <w:bookmarkStart w:id="487" w:name="_Toc339019993"/>
      <w:bookmarkStart w:id="488" w:name="_Toc337632336"/>
      <w:r>
        <w:rPr>
          <w:rFonts w:hint="eastAsia"/>
          <w:color w:val="000000" w:themeColor="text1"/>
          <w:highlight w:val="none"/>
          <w14:textFill>
            <w14:solidFill>
              <w14:schemeClr w14:val="tx1"/>
            </w14:solidFill>
          </w14:textFill>
        </w:rPr>
        <w:t>要求</w:t>
      </w:r>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489" w:name="_Toc332206687"/>
      <w:bookmarkStart w:id="490" w:name="_Toc331684017"/>
      <w:bookmarkStart w:id="491" w:name="_Toc331512877"/>
      <w:bookmarkStart w:id="492" w:name="_Toc3448"/>
      <w:bookmarkStart w:id="493" w:name="_Toc503785407"/>
      <w:bookmarkStart w:id="494" w:name="_Toc374454579"/>
      <w:bookmarkStart w:id="495" w:name="_Toc340672848"/>
      <w:bookmarkStart w:id="496" w:name="_Toc497224205"/>
      <w:bookmarkStart w:id="497" w:name="_Toc340677049"/>
      <w:bookmarkStart w:id="498" w:name="_Toc333237656"/>
      <w:bookmarkStart w:id="499" w:name="_Toc330459964"/>
      <w:bookmarkStart w:id="500" w:name="_Toc339020212"/>
      <w:bookmarkStart w:id="501" w:name="_Toc350438728"/>
      <w:bookmarkStart w:id="502" w:name="_Toc341348317"/>
      <w:bookmarkStart w:id="503" w:name="_Toc339020074"/>
      <w:bookmarkStart w:id="504" w:name="_Toc339019868"/>
      <w:bookmarkStart w:id="505" w:name="_Toc349143568"/>
      <w:bookmarkStart w:id="506" w:name="_Toc365967052"/>
      <w:bookmarkStart w:id="507" w:name="_Toc340507421"/>
      <w:bookmarkStart w:id="508" w:name="_Toc336681914"/>
      <w:bookmarkStart w:id="509" w:name="_Toc345513846"/>
      <w:bookmarkStart w:id="510" w:name="_Toc339362279"/>
      <w:bookmarkStart w:id="511" w:name="_Toc336681559"/>
      <w:bookmarkStart w:id="512" w:name="_Toc366072507"/>
      <w:bookmarkStart w:id="513" w:name="_Toc333238612"/>
      <w:bookmarkStart w:id="514" w:name="_Toc333237767"/>
      <w:bookmarkStart w:id="515" w:name="_Toc342296739"/>
      <w:bookmarkStart w:id="516" w:name="_Toc332270325"/>
      <w:bookmarkStart w:id="517" w:name="_Toc342060353"/>
      <w:bookmarkStart w:id="518" w:name="_Toc365985158"/>
      <w:bookmarkStart w:id="519" w:name="_Toc350756429"/>
      <w:bookmarkStart w:id="520" w:name="_Toc333935666"/>
      <w:bookmarkStart w:id="521" w:name="_Toc349127605"/>
      <w:bookmarkStart w:id="522" w:name="_Toc337632337"/>
      <w:bookmarkStart w:id="523" w:name="_Toc333935325"/>
      <w:bookmarkStart w:id="524" w:name="_Toc339441066"/>
      <w:bookmarkStart w:id="525" w:name="_Toc339019994"/>
      <w:r>
        <w:rPr>
          <w:rFonts w:hint="eastAsia"/>
          <w:color w:val="000000" w:themeColor="text1"/>
          <w:highlight w:val="none"/>
          <w14:textFill>
            <w14:solidFill>
              <w14:schemeClr w14:val="tx1"/>
            </w14:solidFill>
          </w14:textFill>
        </w:rPr>
        <w:t>投标语言及计量单位</w:t>
      </w:r>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 xml:space="preserve"> </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除在招标文件的技术规格中另有规定外，计量单位应使用中华人民共和国法定计量单位</w:t>
      </w:r>
      <w:r>
        <w:rPr>
          <w:rFonts w:hint="eastAsia"/>
          <w:bCs/>
          <w:color w:val="000000" w:themeColor="text1"/>
          <w:highlight w:val="none"/>
          <w14:textFill>
            <w14:solidFill>
              <w14:schemeClr w14:val="tx1"/>
            </w14:solidFill>
          </w14:textFill>
        </w:rPr>
        <w:t>（国际单位制和国家选定的其他计量单位）</w:t>
      </w:r>
      <w:r>
        <w:rPr>
          <w:rFonts w:hint="eastAsia" w:ascii="宋体"/>
          <w:bCs/>
          <w:color w:val="000000" w:themeColor="text1"/>
          <w:highlight w:val="none"/>
          <w14:textFill>
            <w14:solidFill>
              <w14:schemeClr w14:val="tx1"/>
            </w14:solidFill>
          </w14:textFill>
        </w:rPr>
        <w:t>。</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526" w:name="_Toc350756430"/>
      <w:bookmarkStart w:id="527" w:name="_Toc331684018"/>
      <w:bookmarkStart w:id="528" w:name="_Toc333238613"/>
      <w:bookmarkStart w:id="529" w:name="_Toc365967053"/>
      <w:bookmarkStart w:id="530" w:name="_Toc339019869"/>
      <w:bookmarkStart w:id="531" w:name="_Toc339362280"/>
      <w:bookmarkStart w:id="532" w:name="_Toc333237768"/>
      <w:bookmarkStart w:id="533" w:name="_Toc350438729"/>
      <w:bookmarkStart w:id="534" w:name="_Toc497224206"/>
      <w:bookmarkStart w:id="535" w:name="_Toc340677050"/>
      <w:bookmarkStart w:id="536" w:name="_Toc349127606"/>
      <w:bookmarkStart w:id="537" w:name="_Toc332206688"/>
      <w:bookmarkStart w:id="538" w:name="_Toc365985159"/>
      <w:bookmarkStart w:id="539" w:name="_Toc336681560"/>
      <w:bookmarkStart w:id="540" w:name="_Toc341348318"/>
      <w:bookmarkStart w:id="541" w:name="_Toc503785408"/>
      <w:bookmarkStart w:id="542" w:name="_Toc337632338"/>
      <w:bookmarkStart w:id="543" w:name="_Toc330459965"/>
      <w:bookmarkStart w:id="544" w:name="_Toc333935667"/>
      <w:bookmarkStart w:id="545" w:name="_Toc342296740"/>
      <w:bookmarkStart w:id="546" w:name="_Toc331512878"/>
      <w:bookmarkStart w:id="547" w:name="_Toc366072508"/>
      <w:bookmarkStart w:id="548" w:name="_Toc345513847"/>
      <w:bookmarkStart w:id="549" w:name="_Toc339441067"/>
      <w:bookmarkStart w:id="550" w:name="_Toc336681915"/>
      <w:bookmarkStart w:id="551" w:name="_Toc339019995"/>
      <w:bookmarkStart w:id="552" w:name="_Toc374454580"/>
      <w:bookmarkStart w:id="553" w:name="_Toc340507422"/>
      <w:bookmarkStart w:id="554" w:name="_Toc342060354"/>
      <w:bookmarkStart w:id="555" w:name="_Toc333935326"/>
      <w:bookmarkStart w:id="556" w:name="_Toc340672849"/>
      <w:bookmarkStart w:id="557" w:name="_Toc333237657"/>
      <w:bookmarkStart w:id="558" w:name="_Toc332270326"/>
      <w:bookmarkStart w:id="559" w:name="_Toc349143569"/>
      <w:bookmarkStart w:id="560" w:name="_Toc339020213"/>
      <w:bookmarkStart w:id="561" w:name="_Toc17490"/>
      <w:bookmarkStart w:id="562" w:name="_Toc339020075"/>
      <w:r>
        <w:rPr>
          <w:rFonts w:hint="eastAsia"/>
          <w:color w:val="000000" w:themeColor="text1"/>
          <w:highlight w:val="none"/>
          <w14:textFill>
            <w14:solidFill>
              <w14:schemeClr w14:val="tx1"/>
            </w14:solidFill>
          </w14:textFill>
        </w:rPr>
        <w:t>投标文件的构成</w:t>
      </w:r>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pPr>
        <w:widowControl/>
        <w:tabs>
          <w:tab w:val="left" w:pos="753"/>
        </w:tabs>
        <w:adjustRightInd w:val="0"/>
        <w:snapToGrid w:val="0"/>
        <w:spacing w:line="360" w:lineRule="auto"/>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9</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投标文件包括：</w:t>
      </w:r>
    </w:p>
    <w:p>
      <w:pPr>
        <w:widowControl/>
        <w:adjustRightInd w:val="0"/>
        <w:snapToGrid w:val="0"/>
        <w:spacing w:line="360" w:lineRule="auto"/>
        <w:ind w:left="734"/>
        <w:rPr>
          <w:rFonts w:ascii="宋体" w:hAnsi="宋体"/>
          <w:bCs/>
          <w:color w:val="000000" w:themeColor="text1"/>
          <w:highlight w:val="none"/>
          <w14:textFill>
            <w14:solidFill>
              <w14:schemeClr w14:val="tx1"/>
            </w14:solidFill>
          </w14:textFill>
        </w:rPr>
      </w:pPr>
      <w:bookmarkStart w:id="563" w:name="_Toc503785409"/>
      <w:bookmarkStart w:id="564" w:name="_Toc497224207"/>
      <w:r>
        <w:rPr>
          <w:rFonts w:hint="eastAsia" w:ascii="宋体" w:hAnsi="宋体"/>
          <w:bCs/>
          <w:color w:val="000000" w:themeColor="text1"/>
          <w:highlight w:val="none"/>
          <w14:textFill>
            <w14:solidFill>
              <w14:schemeClr w14:val="tx1"/>
            </w14:solidFill>
          </w14:textFill>
        </w:rPr>
        <w:t>第一章 资格审查文件（含附件）</w:t>
      </w:r>
    </w:p>
    <w:p>
      <w:pPr>
        <w:widowControl/>
        <w:adjustRightInd w:val="0"/>
        <w:snapToGrid w:val="0"/>
        <w:spacing w:line="360" w:lineRule="auto"/>
        <w:ind w:left="734"/>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第二章 商务和技术部分</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565" w:name="_Toc337632339"/>
      <w:bookmarkStart w:id="566" w:name="_Toc333237658"/>
      <w:bookmarkStart w:id="567" w:name="_Toc339020076"/>
      <w:bookmarkStart w:id="568" w:name="_Toc339362281"/>
      <w:bookmarkStart w:id="569" w:name="_Toc339441068"/>
      <w:bookmarkStart w:id="570" w:name="_Toc336681561"/>
      <w:bookmarkStart w:id="571" w:name="_Toc365985160"/>
      <w:bookmarkStart w:id="572" w:name="_Toc333237769"/>
      <w:bookmarkStart w:id="573" w:name="_Toc350438730"/>
      <w:bookmarkStart w:id="574" w:name="_Toc340677051"/>
      <w:bookmarkStart w:id="575" w:name="_Toc331684019"/>
      <w:bookmarkStart w:id="576" w:name="_Toc330459966"/>
      <w:bookmarkStart w:id="577" w:name="_Toc349143570"/>
      <w:bookmarkStart w:id="578" w:name="_Toc11509"/>
      <w:bookmarkStart w:id="579" w:name="_Toc333935327"/>
      <w:bookmarkStart w:id="580" w:name="_Toc365967054"/>
      <w:bookmarkStart w:id="581" w:name="_Toc336681916"/>
      <w:bookmarkStart w:id="582" w:name="_Toc341348319"/>
      <w:bookmarkStart w:id="583" w:name="_Toc345513848"/>
      <w:bookmarkStart w:id="584" w:name="_Toc366072509"/>
      <w:bookmarkStart w:id="585" w:name="_Toc339019870"/>
      <w:bookmarkStart w:id="586" w:name="_Toc331512879"/>
      <w:bookmarkStart w:id="587" w:name="_Toc333935668"/>
      <w:bookmarkStart w:id="588" w:name="_Toc342060355"/>
      <w:bookmarkStart w:id="589" w:name="_Toc349127607"/>
      <w:bookmarkStart w:id="590" w:name="_Toc340672850"/>
      <w:bookmarkStart w:id="591" w:name="_Toc350756431"/>
      <w:bookmarkStart w:id="592" w:name="_Toc374454581"/>
      <w:bookmarkStart w:id="593" w:name="_Toc342296741"/>
      <w:bookmarkStart w:id="594" w:name="_Toc333238614"/>
      <w:bookmarkStart w:id="595" w:name="_Toc340507423"/>
      <w:bookmarkStart w:id="596" w:name="_Toc339020214"/>
      <w:bookmarkStart w:id="597" w:name="_Toc332270327"/>
      <w:bookmarkStart w:id="598" w:name="_Toc332206689"/>
      <w:bookmarkStart w:id="599" w:name="_Toc339019996"/>
      <w:r>
        <w:rPr>
          <w:rFonts w:hint="eastAsia"/>
          <w:color w:val="000000" w:themeColor="text1"/>
          <w:highlight w:val="none"/>
          <w14:textFill>
            <w14:solidFill>
              <w14:schemeClr w14:val="tx1"/>
            </w14:solidFill>
          </w14:textFill>
        </w:rPr>
        <w:t>投标文件格式</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p>
    <w:p>
      <w:pPr>
        <w:widowControl/>
        <w:tabs>
          <w:tab w:val="left" w:pos="753"/>
        </w:tabs>
        <w:adjustRightInd w:val="0"/>
        <w:snapToGrid w:val="0"/>
        <w:spacing w:before="240"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投标人应</w:t>
      </w:r>
      <w:r>
        <w:rPr>
          <w:rFonts w:hint="eastAsia" w:ascii="宋体" w:hAnsi="宋体"/>
          <w:bCs/>
          <w:color w:val="000000" w:themeColor="text1"/>
          <w:highlight w:val="none"/>
          <w14:textFill>
            <w14:solidFill>
              <w14:schemeClr w14:val="tx1"/>
            </w14:solidFill>
          </w14:textFill>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10.2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00" w:name="_Toc332270328"/>
      <w:bookmarkStart w:id="601" w:name="_Toc331684020"/>
      <w:bookmarkStart w:id="602" w:name="_Toc340672851"/>
      <w:bookmarkStart w:id="603" w:name="_Toc331512880"/>
      <w:bookmarkStart w:id="604" w:name="_Toc339020215"/>
      <w:bookmarkStart w:id="605" w:name="_Toc337632340"/>
      <w:bookmarkStart w:id="606" w:name="_Toc342060356"/>
      <w:bookmarkStart w:id="607" w:name="_Toc339020077"/>
      <w:bookmarkStart w:id="608" w:name="_Toc339441069"/>
      <w:bookmarkStart w:id="609" w:name="_Toc333237770"/>
      <w:bookmarkStart w:id="610" w:name="_Toc340507424"/>
      <w:bookmarkStart w:id="611" w:name="_Toc350438731"/>
      <w:bookmarkStart w:id="612" w:name="_Toc336681562"/>
      <w:bookmarkStart w:id="613" w:name="_Toc5003680"/>
      <w:bookmarkStart w:id="614" w:name="_Toc333935328"/>
      <w:bookmarkStart w:id="615" w:name="_Toc330459967"/>
      <w:bookmarkStart w:id="616" w:name="_Toc349127608"/>
      <w:bookmarkStart w:id="617" w:name="_Toc339019871"/>
      <w:bookmarkStart w:id="618" w:name="_Toc339019997"/>
      <w:bookmarkStart w:id="619" w:name="_Toc332206690"/>
      <w:bookmarkStart w:id="620" w:name="_Toc349143571"/>
      <w:bookmarkStart w:id="621" w:name="_Toc345513849"/>
      <w:bookmarkStart w:id="622" w:name="_Toc366072510"/>
      <w:bookmarkStart w:id="623" w:name="_Toc333935669"/>
      <w:bookmarkStart w:id="624" w:name="_Toc336681917"/>
      <w:bookmarkStart w:id="625" w:name="_Toc365985161"/>
      <w:bookmarkStart w:id="626" w:name="_Toc339362282"/>
      <w:bookmarkStart w:id="627" w:name="_Toc340677052"/>
      <w:bookmarkStart w:id="628" w:name="_Toc374454582"/>
      <w:bookmarkStart w:id="629" w:name="_Toc333238615"/>
      <w:bookmarkStart w:id="630" w:name="_Toc333237659"/>
      <w:bookmarkStart w:id="631" w:name="_Toc29032"/>
      <w:bookmarkStart w:id="632" w:name="_Toc365967055"/>
      <w:bookmarkStart w:id="633" w:name="_Toc341348320"/>
      <w:bookmarkStart w:id="634" w:name="_Toc350756432"/>
      <w:bookmarkStart w:id="635" w:name="_Toc342296742"/>
      <w:r>
        <w:rPr>
          <w:rFonts w:hint="eastAsia"/>
          <w:color w:val="000000" w:themeColor="text1"/>
          <w:highlight w:val="none"/>
          <w14:textFill>
            <w14:solidFill>
              <w14:schemeClr w14:val="tx1"/>
            </w14:solidFill>
          </w14:textFill>
        </w:rPr>
        <w:t>资格证明文件</w:t>
      </w:r>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11.1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投标人应按招标文件的要求，提交其有资格参加投标和中标后有履行合同能力的文件，并作为其投标文件的组成部分，包括但不限于下列文件：</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投标人满足招标文件中列出的资格标准；</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36" w:name="_Toc339441070"/>
      <w:bookmarkStart w:id="637" w:name="_Toc333237771"/>
      <w:bookmarkStart w:id="638" w:name="_Toc333935670"/>
      <w:bookmarkStart w:id="639" w:name="_Toc330459968"/>
      <w:bookmarkStart w:id="640" w:name="_Toc349127609"/>
      <w:bookmarkStart w:id="641" w:name="_Toc5003681"/>
      <w:bookmarkStart w:id="642" w:name="_Toc366072511"/>
      <w:bookmarkStart w:id="643" w:name="_Toc342060357"/>
      <w:bookmarkStart w:id="644" w:name="_Toc340677053"/>
      <w:bookmarkStart w:id="645" w:name="_Toc365985162"/>
      <w:bookmarkStart w:id="646" w:name="_Toc331512881"/>
      <w:bookmarkStart w:id="647" w:name="_Toc333238616"/>
      <w:bookmarkStart w:id="648" w:name="_Toc332270329"/>
      <w:bookmarkStart w:id="649" w:name="_Toc331684021"/>
      <w:bookmarkStart w:id="650" w:name="_Toc341348321"/>
      <w:bookmarkStart w:id="651" w:name="_Toc349143572"/>
      <w:bookmarkStart w:id="652" w:name="_Toc339019998"/>
      <w:bookmarkStart w:id="653" w:name="_Toc340672852"/>
      <w:bookmarkStart w:id="654" w:name="_Toc345513850"/>
      <w:bookmarkStart w:id="655" w:name="_Toc339019872"/>
      <w:bookmarkStart w:id="656" w:name="_Toc333935329"/>
      <w:bookmarkStart w:id="657" w:name="_Toc336681563"/>
      <w:bookmarkStart w:id="658" w:name="_Toc339020078"/>
      <w:bookmarkStart w:id="659" w:name="_Toc339362283"/>
      <w:bookmarkStart w:id="660" w:name="_Toc30501"/>
      <w:bookmarkStart w:id="661" w:name="_Toc374454583"/>
      <w:bookmarkStart w:id="662" w:name="_Toc332206691"/>
      <w:bookmarkStart w:id="663" w:name="_Toc337632341"/>
      <w:bookmarkStart w:id="664" w:name="_Toc350438732"/>
      <w:bookmarkStart w:id="665" w:name="_Toc350756433"/>
      <w:bookmarkStart w:id="666" w:name="_Toc333237660"/>
      <w:bookmarkStart w:id="667" w:name="_Toc339020216"/>
      <w:bookmarkStart w:id="668" w:name="_Toc342296743"/>
      <w:bookmarkStart w:id="669" w:name="_Toc365967056"/>
      <w:bookmarkStart w:id="670" w:name="_Toc340507425"/>
      <w:bookmarkStart w:id="671" w:name="_Toc336681918"/>
      <w:r>
        <w:rPr>
          <w:rFonts w:hint="eastAsia"/>
          <w:color w:val="000000" w:themeColor="text1"/>
          <w:highlight w:val="none"/>
          <w14:textFill>
            <w14:solidFill>
              <w14:schemeClr w14:val="tx1"/>
            </w14:solidFill>
          </w14:textFill>
        </w:rPr>
        <w:t>货物和服务的证明文件</w:t>
      </w:r>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12.1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证明货物和服务与招标文件的要求相一致的文件，它可以是文字资料、图纸、手册和数据，包括：</w:t>
      </w:r>
    </w:p>
    <w:p>
      <w:pPr>
        <w:numPr>
          <w:ilvl w:val="5"/>
          <w:numId w:val="25"/>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货物主要技术指标和性能的详细说明。</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货物从采购人开始使用至招标要求中规定的周期内正常、连续地使用所必须的备件和专用工具清单，包括备件和专用工具的货源及现行价格。</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投标人在阐述上述第</w:t>
      </w:r>
      <w:r>
        <w:rPr>
          <w:rFonts w:hint="eastAsia" w:ascii="宋体" w:hAnsi="宋体"/>
          <w:color w:val="000000" w:themeColor="text1"/>
          <w:highlight w:val="none"/>
          <w14:textFill>
            <w14:solidFill>
              <w14:schemeClr w14:val="tx1"/>
            </w14:solidFill>
          </w14:textFill>
        </w:rPr>
        <w:t>12.2（3）</w:t>
      </w:r>
      <w:r>
        <w:rPr>
          <w:rFonts w:hint="eastAsia"/>
          <w:color w:val="000000" w:themeColor="text1"/>
          <w:highlight w:val="none"/>
          <w14:textFill>
            <w14:solidFill>
              <w14:schemeClr w14:val="tx1"/>
            </w14:solidFill>
          </w14:textFill>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12.4   评标委员会对投标人所提供的证明货物和服务的合格性的文件进行审查，审查不合格的投标将作为无效投标处理。</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72" w:name="_Toc339362284"/>
      <w:bookmarkStart w:id="673" w:name="_Toc333935671"/>
      <w:bookmarkStart w:id="674" w:name="_Toc345513851"/>
      <w:bookmarkStart w:id="675" w:name="_Toc342060358"/>
      <w:bookmarkStart w:id="676" w:name="_Toc365985163"/>
      <w:bookmarkStart w:id="677" w:name="_Toc349143573"/>
      <w:bookmarkStart w:id="678" w:name="_Toc333238617"/>
      <w:bookmarkStart w:id="679" w:name="_Toc340677054"/>
      <w:bookmarkStart w:id="680" w:name="_Toc350756434"/>
      <w:bookmarkStart w:id="681" w:name="_Toc340507426"/>
      <w:bookmarkStart w:id="682" w:name="_Toc339441071"/>
      <w:bookmarkStart w:id="683" w:name="_Toc331512882"/>
      <w:bookmarkStart w:id="684" w:name="_Toc331684022"/>
      <w:bookmarkStart w:id="685" w:name="_Toc16923"/>
      <w:bookmarkStart w:id="686" w:name="_Toc341348322"/>
      <w:bookmarkStart w:id="687" w:name="_Toc333237661"/>
      <w:bookmarkStart w:id="688" w:name="_Toc339020217"/>
      <w:bookmarkStart w:id="689" w:name="_Toc365967057"/>
      <w:bookmarkStart w:id="690" w:name="_Toc497224209"/>
      <w:bookmarkStart w:id="691" w:name="_Toc503785411"/>
      <w:bookmarkStart w:id="692" w:name="_Toc349127610"/>
      <w:bookmarkStart w:id="693" w:name="_Toc332270330"/>
      <w:bookmarkStart w:id="694" w:name="_Toc366072512"/>
      <w:bookmarkStart w:id="695" w:name="_Toc337632342"/>
      <w:bookmarkStart w:id="696" w:name="_Toc339019873"/>
      <w:bookmarkStart w:id="697" w:name="_Toc336681919"/>
      <w:bookmarkStart w:id="698" w:name="_Toc374454584"/>
      <w:bookmarkStart w:id="699" w:name="_Toc333237772"/>
      <w:bookmarkStart w:id="700" w:name="_Toc340672853"/>
      <w:bookmarkStart w:id="701" w:name="_Toc330459969"/>
      <w:bookmarkStart w:id="702" w:name="_Toc339019999"/>
      <w:bookmarkStart w:id="703" w:name="_Toc350438733"/>
      <w:bookmarkStart w:id="704" w:name="_Toc333935330"/>
      <w:bookmarkStart w:id="705" w:name="_Toc339020079"/>
      <w:bookmarkStart w:id="706" w:name="_Toc342296744"/>
      <w:bookmarkStart w:id="707" w:name="_Toc332206692"/>
      <w:bookmarkStart w:id="708" w:name="_Toc336681564"/>
      <w:r>
        <w:rPr>
          <w:rFonts w:hint="eastAsia"/>
          <w:color w:val="000000" w:themeColor="text1"/>
          <w:highlight w:val="none"/>
          <w14:textFill>
            <w14:solidFill>
              <w14:schemeClr w14:val="tx1"/>
            </w14:solidFill>
          </w14:textFill>
        </w:rPr>
        <w:t>投标报价与投标货币</w:t>
      </w:r>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13.1</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 xml:space="preserve"> 投标报价应为包括设备费、备品备件费、运输费、安装调试费、技术资料费、验收费、应缴税费、培训费和质量保证期内维修费等在内的</w:t>
      </w:r>
      <w:r>
        <w:rPr>
          <w:rFonts w:hint="eastAsia" w:ascii="宋体" w:hAnsi="宋体"/>
          <w:bCs/>
          <w:color w:val="000000" w:themeColor="text1"/>
          <w:highlight w:val="none"/>
          <w14:textFill>
            <w14:solidFill>
              <w14:schemeClr w14:val="tx1"/>
            </w14:solidFill>
          </w14:textFill>
        </w:rPr>
        <w:t>价格。</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13.2   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13.3</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13.5   投标价格一律用人民币填报。</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13.6   投标人在投标文件中如有任何遗漏，影响到招标文件中规定的范围、质量、性能和项目的实施或限制了采购人的权利和投标人的义务，由此产生的费用由投标人负责。</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09" w:name="_Toc350756435"/>
      <w:bookmarkStart w:id="710" w:name="_Toc339020000"/>
      <w:bookmarkStart w:id="711" w:name="_Toc366072513"/>
      <w:bookmarkStart w:id="712" w:name="_Toc336681920"/>
      <w:bookmarkStart w:id="713" w:name="_Toc333238618"/>
      <w:bookmarkStart w:id="714" w:name="_Toc332206693"/>
      <w:bookmarkStart w:id="715" w:name="_Toc340672854"/>
      <w:bookmarkStart w:id="716" w:name="_Toc333237662"/>
      <w:bookmarkStart w:id="717" w:name="_Toc336681565"/>
      <w:bookmarkStart w:id="718" w:name="_Toc342296745"/>
      <w:bookmarkStart w:id="719" w:name="_Toc3174"/>
      <w:bookmarkStart w:id="720" w:name="_Toc349143574"/>
      <w:bookmarkStart w:id="721" w:name="_Toc337632343"/>
      <w:bookmarkStart w:id="722" w:name="_Toc341348323"/>
      <w:bookmarkStart w:id="723" w:name="_Toc349127611"/>
      <w:bookmarkStart w:id="724" w:name="_Toc339020218"/>
      <w:bookmarkStart w:id="725" w:name="_Toc365985164"/>
      <w:bookmarkStart w:id="726" w:name="_Toc340677055"/>
      <w:bookmarkStart w:id="727" w:name="_Toc333237773"/>
      <w:bookmarkStart w:id="728" w:name="_Toc497224212"/>
      <w:bookmarkStart w:id="729" w:name="_Toc374454585"/>
      <w:bookmarkStart w:id="730" w:name="_Toc503785414"/>
      <w:bookmarkStart w:id="731" w:name="_Toc345513852"/>
      <w:bookmarkStart w:id="732" w:name="_Toc342060359"/>
      <w:bookmarkStart w:id="733" w:name="_Toc333935672"/>
      <w:bookmarkStart w:id="734" w:name="_Toc333935331"/>
      <w:bookmarkStart w:id="735" w:name="_Toc365967058"/>
      <w:bookmarkStart w:id="736" w:name="_Toc332270331"/>
      <w:bookmarkStart w:id="737" w:name="_Toc331512883"/>
      <w:bookmarkStart w:id="738" w:name="_Toc339019874"/>
      <w:bookmarkStart w:id="739" w:name="_Toc339441072"/>
      <w:bookmarkStart w:id="740" w:name="_Toc339362285"/>
      <w:bookmarkStart w:id="741" w:name="_Toc340507427"/>
      <w:bookmarkStart w:id="742" w:name="_Toc350438734"/>
      <w:bookmarkStart w:id="743" w:name="_Toc330459970"/>
      <w:bookmarkStart w:id="744" w:name="_Toc331684023"/>
      <w:bookmarkStart w:id="745" w:name="_Toc339020080"/>
      <w:r>
        <w:rPr>
          <w:rFonts w:hint="eastAsia"/>
          <w:color w:val="000000" w:themeColor="text1"/>
          <w:highlight w:val="none"/>
          <w14:textFill>
            <w14:solidFill>
              <w14:schemeClr w14:val="tx1"/>
            </w14:solidFill>
          </w14:textFill>
        </w:rPr>
        <w:t>投标保证金</w:t>
      </w:r>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color w:val="000000" w:themeColor="text1"/>
          <w:highlight w:val="none"/>
          <w14:textFill>
            <w14:solidFill>
              <w14:schemeClr w14:val="tx1"/>
            </w14:solidFill>
          </w14:textFill>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14.3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投标保证金用于保护本次招标免遭因投标人的行为而蒙受的损失。</w:t>
      </w:r>
      <w:r>
        <w:rPr>
          <w:rFonts w:hint="eastAsia" w:ascii="宋体" w:hAnsi="宋体"/>
          <w:color w:val="000000" w:themeColor="text1"/>
          <w:highlight w:val="none"/>
          <w14:textFill>
            <w14:solidFill>
              <w14:schemeClr w14:val="tx1"/>
            </w14:solidFill>
          </w14:textFill>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凡未按本须知第14.2条规定随附有效投标保证金的投标</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未中标的投标人的投标保证金，采购</w:t>
      </w:r>
      <w:r>
        <w:rPr>
          <w:rFonts w:hint="eastAsia" w:ascii="宋体" w:hAnsi="宋体"/>
          <w:bCs/>
          <w:color w:val="000000" w:themeColor="text1"/>
          <w:szCs w:val="21"/>
          <w:highlight w:val="none"/>
          <w14:textFill>
            <w14:solidFill>
              <w14:schemeClr w14:val="tx1"/>
            </w14:solidFill>
          </w14:textFill>
        </w:rPr>
        <w:t>代理</w:t>
      </w:r>
      <w:r>
        <w:rPr>
          <w:rFonts w:hint="eastAsia" w:ascii="宋体" w:hAnsi="宋体"/>
          <w:bCs/>
          <w:color w:val="000000" w:themeColor="text1"/>
          <w:highlight w:val="none"/>
          <w14:textFill>
            <w14:solidFill>
              <w14:schemeClr w14:val="tx1"/>
            </w14:solidFill>
          </w14:textFill>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中标投标人的投标保证金</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在中标投标人付清中标服务费、签订合同之日起5个工作日内无息退</w:t>
      </w:r>
      <w:r>
        <w:rPr>
          <w:rFonts w:hint="eastAsia" w:ascii="宋体"/>
          <w:bCs/>
          <w:color w:val="000000" w:themeColor="text1"/>
          <w:highlight w:val="none"/>
          <w14:textFill>
            <w14:solidFill>
              <w14:schemeClr w14:val="tx1"/>
            </w14:solidFill>
          </w14:textFill>
        </w:rPr>
        <w:t>还。</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（4）投标人提供虚假投标文件或虚假补充文件的。</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46" w:name="_Toc333935673"/>
      <w:bookmarkStart w:id="747" w:name="_Toc336681566"/>
      <w:bookmarkStart w:id="748" w:name="_Toc331684024"/>
      <w:bookmarkStart w:id="749" w:name="_Toc365967059"/>
      <w:bookmarkStart w:id="750" w:name="_Toc366072514"/>
      <w:bookmarkStart w:id="751" w:name="_Toc340677056"/>
      <w:bookmarkStart w:id="752" w:name="_Toc333935332"/>
      <w:bookmarkStart w:id="753" w:name="_Toc349143575"/>
      <w:bookmarkStart w:id="754" w:name="_Toc337632344"/>
      <w:bookmarkStart w:id="755" w:name="_Toc339362286"/>
      <w:bookmarkStart w:id="756" w:name="_Toc341348324"/>
      <w:bookmarkStart w:id="757" w:name="_Toc503785415"/>
      <w:bookmarkStart w:id="758" w:name="_Toc342060360"/>
      <w:bookmarkStart w:id="759" w:name="_Toc332270332"/>
      <w:bookmarkStart w:id="760" w:name="_Toc333237774"/>
      <w:bookmarkStart w:id="761" w:name="_Toc350756436"/>
      <w:bookmarkStart w:id="762" w:name="_Toc497224213"/>
      <w:bookmarkStart w:id="763" w:name="_Toc333237663"/>
      <w:bookmarkStart w:id="764" w:name="_Toc374454586"/>
      <w:bookmarkStart w:id="765" w:name="_Toc332206694"/>
      <w:bookmarkStart w:id="766" w:name="_Toc340672855"/>
      <w:bookmarkStart w:id="767" w:name="_Toc339020001"/>
      <w:bookmarkStart w:id="768" w:name="_Toc339020219"/>
      <w:bookmarkStart w:id="769" w:name="_Toc345513853"/>
      <w:bookmarkStart w:id="770" w:name="_Toc349127612"/>
      <w:bookmarkStart w:id="771" w:name="_Toc340507428"/>
      <w:bookmarkStart w:id="772" w:name="_Toc365985165"/>
      <w:bookmarkStart w:id="773" w:name="_Toc339020081"/>
      <w:bookmarkStart w:id="774" w:name="_Toc336681921"/>
      <w:bookmarkStart w:id="775" w:name="_Toc339019875"/>
      <w:bookmarkStart w:id="776" w:name="_Toc11506"/>
      <w:bookmarkStart w:id="777" w:name="_Toc333238619"/>
      <w:bookmarkStart w:id="778" w:name="_Toc330459971"/>
      <w:bookmarkStart w:id="779" w:name="_Toc339441073"/>
      <w:bookmarkStart w:id="780" w:name="_Toc342296746"/>
      <w:bookmarkStart w:id="781" w:name="_Toc350438735"/>
      <w:bookmarkStart w:id="782" w:name="_Toc331512884"/>
      <w:r>
        <w:rPr>
          <w:rFonts w:hint="eastAsia"/>
          <w:color w:val="000000" w:themeColor="text1"/>
          <w:highlight w:val="none"/>
          <w14:textFill>
            <w14:solidFill>
              <w14:schemeClr w14:val="tx1"/>
            </w14:solidFill>
          </w14:textFill>
        </w:rPr>
        <w:t>投标有效期</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从开标之日起，本项目的投标有效期为90天。</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83" w:name="_Toc330459972"/>
      <w:bookmarkStart w:id="784" w:name="_Toc331684025"/>
      <w:bookmarkStart w:id="785" w:name="_Toc339020082"/>
      <w:bookmarkStart w:id="786" w:name="_Toc331512885"/>
      <w:bookmarkStart w:id="787" w:name="_Toc350756437"/>
      <w:bookmarkStart w:id="788" w:name="_Toc332206695"/>
      <w:bookmarkStart w:id="789" w:name="_Toc340672856"/>
      <w:bookmarkStart w:id="790" w:name="_Toc339441074"/>
      <w:bookmarkStart w:id="791" w:name="_Toc336681922"/>
      <w:bookmarkStart w:id="792" w:name="_Toc340677057"/>
      <w:bookmarkStart w:id="793" w:name="_Toc341348325"/>
      <w:bookmarkStart w:id="794" w:name="_Toc365985166"/>
      <w:bookmarkStart w:id="795" w:name="_Toc349143576"/>
      <w:bookmarkStart w:id="796" w:name="_Toc345513854"/>
      <w:bookmarkStart w:id="797" w:name="_Toc2612"/>
      <w:bookmarkStart w:id="798" w:name="_Toc333935674"/>
      <w:bookmarkStart w:id="799" w:name="_Toc333238620"/>
      <w:bookmarkStart w:id="800" w:name="_Toc349127613"/>
      <w:bookmarkStart w:id="801" w:name="_Toc342296747"/>
      <w:bookmarkStart w:id="802" w:name="_Toc374454587"/>
      <w:bookmarkStart w:id="803" w:name="_Toc497224214"/>
      <w:bookmarkStart w:id="804" w:name="_Toc366072515"/>
      <w:bookmarkStart w:id="805" w:name="_Toc336681567"/>
      <w:bookmarkStart w:id="806" w:name="_Toc339362287"/>
      <w:bookmarkStart w:id="807" w:name="_Toc342060361"/>
      <w:bookmarkStart w:id="808" w:name="_Toc332270333"/>
      <w:bookmarkStart w:id="809" w:name="_Toc337632345"/>
      <w:bookmarkStart w:id="810" w:name="_Toc340507429"/>
      <w:bookmarkStart w:id="811" w:name="_Toc339019876"/>
      <w:bookmarkStart w:id="812" w:name="_Toc339020002"/>
      <w:bookmarkStart w:id="813" w:name="_Toc350438736"/>
      <w:bookmarkStart w:id="814" w:name="_Toc333237664"/>
      <w:bookmarkStart w:id="815" w:name="_Toc339020220"/>
      <w:bookmarkStart w:id="816" w:name="_Toc333237775"/>
      <w:bookmarkStart w:id="817" w:name="_Toc333935333"/>
      <w:bookmarkStart w:id="818" w:name="_Toc365967060"/>
      <w:bookmarkStart w:id="819" w:name="_Toc111534389"/>
      <w:bookmarkStart w:id="820" w:name="_Toc503785416"/>
      <w:r>
        <w:rPr>
          <w:rFonts w:hint="eastAsia"/>
          <w:color w:val="000000" w:themeColor="text1"/>
          <w:highlight w:val="none"/>
          <w14:textFill>
            <w14:solidFill>
              <w14:schemeClr w14:val="tx1"/>
            </w14:solidFill>
          </w14:textFill>
        </w:rPr>
        <w:t>投标文件的签署及规定</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投标人应按所投项目准备正本和副本，在每一份投标文件上要明确标明“正本”或“副本”。如正本的内容和副本不符，以正本为准（注：投标文件副本可为正本的复印件）。电子文件</w:t>
      </w:r>
      <w:r>
        <w:rPr>
          <w:rFonts w:hint="eastAsia"/>
          <w:color w:val="000000" w:themeColor="text1"/>
          <w:szCs w:val="21"/>
          <w:highlight w:val="none"/>
          <w14:textFill>
            <w14:solidFill>
              <w14:schemeClr w14:val="tx1"/>
            </w14:solidFill>
          </w14:textFill>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630" w:hanging="630" w:hangingChars="300"/>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除投标人对差错处做必要修改外，投标文件中不允许有行间插字、涂改或增删，如有修改错漏处，必须由投标文件的签署人签字并在修改错漏处加盖公章，以示确认。</w:t>
      </w:r>
    </w:p>
    <w:p>
      <w:pPr>
        <w:pStyle w:val="5"/>
        <w:numPr>
          <w:ilvl w:val="0"/>
          <w:numId w:val="0"/>
        </w:numPr>
        <w:rPr>
          <w:color w:val="000000" w:themeColor="text1"/>
          <w:sz w:val="24"/>
          <w:highlight w:val="none"/>
          <w14:textFill>
            <w14:solidFill>
              <w14:schemeClr w14:val="tx1"/>
            </w14:solidFill>
          </w14:textFill>
        </w:rPr>
      </w:pPr>
      <w:bookmarkStart w:id="821" w:name="_Toc330459973"/>
      <w:bookmarkStart w:id="822" w:name="_Toc350756438"/>
      <w:bookmarkStart w:id="823" w:name="_Toc342296748"/>
      <w:bookmarkStart w:id="824" w:name="_Toc340507430"/>
      <w:bookmarkStart w:id="825" w:name="_Toc341348326"/>
      <w:bookmarkStart w:id="826" w:name="_Toc333237665"/>
      <w:bookmarkStart w:id="827" w:name="_Toc331684026"/>
      <w:bookmarkStart w:id="828" w:name="_Toc337632346"/>
      <w:bookmarkStart w:id="829" w:name="_Toc503785417"/>
      <w:bookmarkStart w:id="830" w:name="_Toc333935334"/>
      <w:bookmarkStart w:id="831" w:name="_Toc333238621"/>
      <w:bookmarkStart w:id="832" w:name="_Toc336681568"/>
      <w:bookmarkStart w:id="833" w:name="_Toc366072516"/>
      <w:bookmarkStart w:id="834" w:name="_Toc332270334"/>
      <w:bookmarkStart w:id="835" w:name="_Toc336681923"/>
      <w:bookmarkStart w:id="836" w:name="_Toc345513855"/>
      <w:bookmarkStart w:id="837" w:name="_Toc340677058"/>
      <w:bookmarkStart w:id="838" w:name="_Toc497224215"/>
      <w:bookmarkStart w:id="839" w:name="_Toc350438737"/>
      <w:bookmarkStart w:id="840" w:name="_Toc340672857"/>
      <w:bookmarkStart w:id="841" w:name="_Toc349143577"/>
      <w:bookmarkStart w:id="842" w:name="_Toc339019877"/>
      <w:bookmarkStart w:id="843" w:name="_Toc365967061"/>
      <w:bookmarkStart w:id="844" w:name="_Toc339020083"/>
      <w:bookmarkStart w:id="845" w:name="_Toc331512886"/>
      <w:bookmarkStart w:id="846" w:name="_Toc339362288"/>
      <w:bookmarkStart w:id="847" w:name="_Toc365985167"/>
      <w:bookmarkStart w:id="848" w:name="_Toc333935675"/>
      <w:bookmarkStart w:id="849" w:name="_Toc339020003"/>
      <w:bookmarkStart w:id="850" w:name="_Toc349127614"/>
      <w:bookmarkStart w:id="851" w:name="_Toc339020221"/>
      <w:bookmarkStart w:id="852" w:name="_Toc342060362"/>
      <w:bookmarkStart w:id="853" w:name="_Toc111534390"/>
      <w:bookmarkStart w:id="854" w:name="_Toc374454588"/>
      <w:bookmarkStart w:id="855" w:name="_Toc332206696"/>
      <w:bookmarkStart w:id="856" w:name="_Toc333237776"/>
      <w:bookmarkStart w:id="857" w:name="_Toc339441075"/>
      <w:r>
        <w:rPr>
          <w:color w:val="000000" w:themeColor="text1"/>
          <w:sz w:val="24"/>
          <w:highlight w:val="none"/>
          <w14:textFill>
            <w14:solidFill>
              <w14:schemeClr w14:val="tx1"/>
            </w14:solidFill>
          </w14:textFill>
        </w:rPr>
        <w:br w:type="page"/>
      </w:r>
      <w:bookmarkStart w:id="858" w:name="_Toc15912"/>
      <w:r>
        <w:rPr>
          <w:rFonts w:hint="eastAsia"/>
          <w:color w:val="000000" w:themeColor="text1"/>
          <w:sz w:val="24"/>
          <w:highlight w:val="none"/>
          <w14:textFill>
            <w14:solidFill>
              <w14:schemeClr w14:val="tx1"/>
            </w14:solidFill>
          </w14:textFill>
        </w:rPr>
        <w:t>Ｄ投标文件的递交</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pPr>
        <w:pStyle w:val="7"/>
        <w:numPr>
          <w:ilvl w:val="4"/>
          <w:numId w:val="25"/>
        </w:numPr>
        <w:tabs>
          <w:tab w:val="left" w:pos="251"/>
          <w:tab w:val="left" w:pos="720"/>
        </w:tabs>
        <w:spacing w:before="240" w:after="120"/>
        <w:ind w:left="751" w:leftChars="1" w:hangingChars="357"/>
        <w:rPr>
          <w:rFonts w:ascii="宋体" w:hAnsi="宋体"/>
          <w:color w:val="000000" w:themeColor="text1"/>
          <w:highlight w:val="none"/>
          <w14:textFill>
            <w14:solidFill>
              <w14:schemeClr w14:val="tx1"/>
            </w14:solidFill>
          </w14:textFill>
        </w:rPr>
      </w:pPr>
      <w:bookmarkStart w:id="859" w:name="_Toc336681569"/>
      <w:bookmarkStart w:id="860" w:name="_Toc340677059"/>
      <w:bookmarkStart w:id="861" w:name="_Toc340507431"/>
      <w:bookmarkStart w:id="862" w:name="_Toc339020222"/>
      <w:bookmarkStart w:id="863" w:name="_Toc332206697"/>
      <w:bookmarkStart w:id="864" w:name="_Toc339020084"/>
      <w:bookmarkStart w:id="865" w:name="_Toc333237666"/>
      <w:bookmarkStart w:id="866" w:name="_Toc340672858"/>
      <w:bookmarkStart w:id="867" w:name="_Toc331512887"/>
      <w:bookmarkStart w:id="868" w:name="_Toc365967062"/>
      <w:bookmarkStart w:id="869" w:name="_Toc337632347"/>
      <w:bookmarkStart w:id="870" w:name="_Toc345513856"/>
      <w:bookmarkStart w:id="871" w:name="_Toc333935676"/>
      <w:bookmarkStart w:id="872" w:name="_Toc330459974"/>
      <w:bookmarkStart w:id="873" w:name="_Toc339362289"/>
      <w:bookmarkStart w:id="874" w:name="_Toc349143578"/>
      <w:bookmarkStart w:id="875" w:name="_Toc350438738"/>
      <w:bookmarkStart w:id="876" w:name="_Toc339019878"/>
      <w:bookmarkStart w:id="877" w:name="_Toc342296749"/>
      <w:bookmarkStart w:id="878" w:name="_Toc333237777"/>
      <w:bookmarkStart w:id="879" w:name="_Toc365985168"/>
      <w:bookmarkStart w:id="880" w:name="_Toc503785418"/>
      <w:bookmarkStart w:id="881" w:name="_Toc341348327"/>
      <w:bookmarkStart w:id="882" w:name="_Toc349127615"/>
      <w:bookmarkStart w:id="883" w:name="_Toc339020004"/>
      <w:bookmarkStart w:id="884" w:name="_Toc111534391"/>
      <w:bookmarkStart w:id="885" w:name="_Toc497224216"/>
      <w:bookmarkStart w:id="886" w:name="_Toc350756439"/>
      <w:bookmarkStart w:id="887" w:name="_Toc374454589"/>
      <w:bookmarkStart w:id="888" w:name="_Toc333935335"/>
      <w:bookmarkStart w:id="889" w:name="_Toc332270335"/>
      <w:bookmarkStart w:id="890" w:name="_Toc333238622"/>
      <w:bookmarkStart w:id="891" w:name="_Toc342060363"/>
      <w:bookmarkStart w:id="892" w:name="_Toc336681924"/>
      <w:bookmarkStart w:id="893" w:name="_Toc331684027"/>
      <w:bookmarkStart w:id="894" w:name="_Toc366072517"/>
      <w:bookmarkStart w:id="895" w:name="_Toc339441076"/>
      <w:r>
        <w:rPr>
          <w:rFonts w:hint="eastAsia"/>
          <w:color w:val="000000" w:themeColor="text1"/>
          <w:highlight w:val="none"/>
          <w14:textFill>
            <w14:solidFill>
              <w14:schemeClr w14:val="tx1"/>
            </w14:solidFill>
          </w14:textFill>
        </w:rPr>
        <w:t xml:space="preserve">     </w:t>
      </w:r>
      <w:bookmarkStart w:id="896" w:name="_Toc26062"/>
      <w:r>
        <w:rPr>
          <w:rFonts w:hint="eastAsia"/>
          <w:color w:val="000000" w:themeColor="text1"/>
          <w:highlight w:val="none"/>
          <w14:textFill>
            <w14:solidFill>
              <w14:schemeClr w14:val="tx1"/>
            </w14:solidFill>
          </w14:textFill>
        </w:rPr>
        <w:t>投标文件的密封和标记</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p>
    <w:p>
      <w:pPr>
        <w:pStyle w:val="6"/>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 xml:space="preserve">  </w:t>
      </w:r>
      <w:r>
        <w:rPr>
          <w:rFonts w:hint="eastAsia" w:ascii="黑体" w:eastAsia="黑体"/>
          <w:bCs/>
          <w:color w:val="000000" w:themeColor="text1"/>
          <w:kern w:val="2"/>
          <w:sz w:val="21"/>
          <w:szCs w:val="24"/>
          <w:highlight w:val="none"/>
          <w14:textFill>
            <w14:solidFill>
              <w14:schemeClr w14:val="tx1"/>
            </w14:solidFill>
          </w14:textFill>
        </w:rPr>
        <w:t>详见第三部份《投标人须知〈投标人须知前附表〉》。</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897" w:name="_Toc497224217"/>
      <w:bookmarkStart w:id="898" w:name="_Toc349127616"/>
      <w:bookmarkStart w:id="899" w:name="_Toc333935677"/>
      <w:bookmarkStart w:id="900" w:name="_Toc374454590"/>
      <w:bookmarkStart w:id="901" w:name="_Toc332270336"/>
      <w:bookmarkStart w:id="902" w:name="_Toc336681925"/>
      <w:bookmarkStart w:id="903" w:name="_Toc339020223"/>
      <w:bookmarkStart w:id="904" w:name="_Toc365967063"/>
      <w:bookmarkStart w:id="905" w:name="_Toc339019879"/>
      <w:bookmarkStart w:id="906" w:name="_Toc339362290"/>
      <w:bookmarkStart w:id="907" w:name="_Toc339020005"/>
      <w:bookmarkStart w:id="908" w:name="_Toc336681570"/>
      <w:bookmarkStart w:id="909" w:name="_Toc350438739"/>
      <w:bookmarkStart w:id="910" w:name="_Toc333238623"/>
      <w:bookmarkStart w:id="911" w:name="_Toc345513857"/>
      <w:bookmarkStart w:id="912" w:name="_Toc342060364"/>
      <w:bookmarkStart w:id="913" w:name="_Toc337632348"/>
      <w:bookmarkStart w:id="914" w:name="_Toc365985169"/>
      <w:bookmarkStart w:id="915" w:name="_Toc342296750"/>
      <w:bookmarkStart w:id="916" w:name="_Toc503785419"/>
      <w:bookmarkStart w:id="917" w:name="_Toc332206698"/>
      <w:bookmarkStart w:id="918" w:name="_Toc340677060"/>
      <w:bookmarkStart w:id="919" w:name="_Toc333935336"/>
      <w:bookmarkStart w:id="920" w:name="_Toc340672859"/>
      <w:bookmarkStart w:id="921" w:name="_Toc341348328"/>
      <w:bookmarkStart w:id="922" w:name="_Toc331512888"/>
      <w:bookmarkStart w:id="923" w:name="_Toc333237667"/>
      <w:bookmarkStart w:id="924" w:name="_Toc28742"/>
      <w:bookmarkStart w:id="925" w:name="_Toc339441077"/>
      <w:bookmarkStart w:id="926" w:name="_Toc340507432"/>
      <w:bookmarkStart w:id="927" w:name="_Toc349143579"/>
      <w:bookmarkStart w:id="928" w:name="_Toc339020085"/>
      <w:bookmarkStart w:id="929" w:name="_Toc366072518"/>
      <w:bookmarkStart w:id="930" w:name="_Toc331684028"/>
      <w:bookmarkStart w:id="931" w:name="_Toc330459975"/>
      <w:bookmarkStart w:id="932" w:name="_Toc111534392"/>
      <w:bookmarkStart w:id="933" w:name="_Toc350756440"/>
      <w:bookmarkStart w:id="934" w:name="_Toc333237778"/>
      <w:r>
        <w:rPr>
          <w:rFonts w:hint="eastAsia"/>
          <w:color w:val="000000" w:themeColor="text1"/>
          <w:highlight w:val="none"/>
          <w14:textFill>
            <w14:solidFill>
              <w14:schemeClr w14:val="tx1"/>
            </w14:solidFill>
          </w14:textFill>
        </w:rPr>
        <w:t>递交投标文件的时间、地点及截止时间</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18.1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18.2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bookmarkStart w:id="935" w:name="_Toc350438740"/>
      <w:bookmarkStart w:id="936" w:name="_Toc337632349"/>
      <w:bookmarkStart w:id="937" w:name="_Toc331684029"/>
      <w:bookmarkStart w:id="938" w:name="_Toc349143580"/>
      <w:bookmarkStart w:id="939" w:name="_Toc366072519"/>
      <w:bookmarkStart w:id="940" w:name="_Toc332270337"/>
      <w:bookmarkStart w:id="941" w:name="_Toc339019880"/>
      <w:bookmarkStart w:id="942" w:name="_Toc345513858"/>
      <w:bookmarkStart w:id="943" w:name="_Toc333238624"/>
      <w:bookmarkStart w:id="944" w:name="_Toc341348329"/>
      <w:bookmarkStart w:id="945" w:name="_Toc336681926"/>
      <w:bookmarkStart w:id="946" w:name="_Toc339020006"/>
      <w:bookmarkStart w:id="947" w:name="_Toc497224218"/>
      <w:bookmarkStart w:id="948" w:name="_Toc342296751"/>
      <w:bookmarkStart w:id="949" w:name="_Toc340677061"/>
      <w:bookmarkStart w:id="950" w:name="_Toc330459976"/>
      <w:bookmarkStart w:id="951" w:name="_Toc333935678"/>
      <w:bookmarkStart w:id="952" w:name="_Toc339362291"/>
      <w:bookmarkStart w:id="953" w:name="_Toc339020224"/>
      <w:bookmarkStart w:id="954" w:name="_Toc333935337"/>
      <w:bookmarkStart w:id="955" w:name="_Toc333237779"/>
      <w:bookmarkStart w:id="956" w:name="_Toc340507433"/>
      <w:bookmarkStart w:id="957" w:name="_Toc332206699"/>
      <w:bookmarkStart w:id="958" w:name="_Toc342060365"/>
      <w:bookmarkStart w:id="959" w:name="_Toc503785420"/>
      <w:bookmarkStart w:id="960" w:name="_Toc339441078"/>
      <w:bookmarkStart w:id="961" w:name="_Toc365967064"/>
      <w:bookmarkStart w:id="962" w:name="_Toc374454591"/>
      <w:bookmarkStart w:id="963" w:name="_Toc350756441"/>
      <w:bookmarkStart w:id="964" w:name="_Toc333237668"/>
      <w:bookmarkStart w:id="965" w:name="_Toc339020086"/>
      <w:bookmarkStart w:id="966" w:name="_Toc340672860"/>
      <w:bookmarkStart w:id="967" w:name="_Toc336681571"/>
      <w:bookmarkStart w:id="968" w:name="_Toc331512889"/>
      <w:bookmarkStart w:id="969" w:name="_Toc365985170"/>
      <w:bookmarkStart w:id="970" w:name="_Toc349127617"/>
      <w:r>
        <w:rPr>
          <w:rFonts w:hint="eastAsia" w:ascii="宋体" w:hAnsi="宋体"/>
          <w:bCs/>
          <w:color w:val="000000" w:themeColor="text1"/>
          <w:highlight w:val="none"/>
          <w14:textFill>
            <w14:solidFill>
              <w14:schemeClr w14:val="tx1"/>
            </w14:solidFill>
          </w14:textFill>
        </w:rPr>
        <w:t>18.3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代理采购机构于投标截止时间前30分钟开始接收投标文件，并于招标文件“第一部分投标邀请函”规定的开标时间、开标地点公开开标。</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971" w:name="_Toc10451"/>
      <w:r>
        <w:rPr>
          <w:rFonts w:hint="eastAsia"/>
          <w:color w:val="000000" w:themeColor="text1"/>
          <w:highlight w:val="none"/>
          <w14:textFill>
            <w14:solidFill>
              <w14:schemeClr w14:val="tx1"/>
            </w14:solidFill>
          </w14:textFill>
        </w:rPr>
        <w:t>迟交的投标文件</w:t>
      </w:r>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19</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代理采购机构将拒绝在投标截止时间后递交的任何投标文件。</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972" w:name="_Toc497224219"/>
      <w:bookmarkStart w:id="973" w:name="_Toc503785421"/>
      <w:bookmarkStart w:id="974" w:name="_Toc345513859"/>
      <w:bookmarkStart w:id="975" w:name="_Toc333237780"/>
      <w:bookmarkStart w:id="976" w:name="_Toc339020087"/>
      <w:bookmarkStart w:id="977" w:name="_Toc333935338"/>
      <w:bookmarkStart w:id="978" w:name="_Toc349127618"/>
      <w:bookmarkStart w:id="979" w:name="_Toc365985171"/>
      <w:bookmarkStart w:id="980" w:name="_Toc350756442"/>
      <w:bookmarkStart w:id="981" w:name="_Toc349143581"/>
      <w:bookmarkStart w:id="982" w:name="_Toc342060366"/>
      <w:bookmarkStart w:id="983" w:name="_Toc341348330"/>
      <w:bookmarkStart w:id="984" w:name="_Toc366072520"/>
      <w:bookmarkStart w:id="985" w:name="_Toc340507434"/>
      <w:bookmarkStart w:id="986" w:name="_Toc336681572"/>
      <w:bookmarkStart w:id="987" w:name="_Toc330459977"/>
      <w:bookmarkStart w:id="988" w:name="_Toc342296752"/>
      <w:bookmarkStart w:id="989" w:name="_Toc331684030"/>
      <w:bookmarkStart w:id="990" w:name="_Toc333935679"/>
      <w:bookmarkStart w:id="991" w:name="_Toc365967065"/>
      <w:bookmarkStart w:id="992" w:name="_Toc333237669"/>
      <w:bookmarkStart w:id="993" w:name="_Toc331512890"/>
      <w:bookmarkStart w:id="994" w:name="_Toc332206700"/>
      <w:bookmarkStart w:id="995" w:name="_Toc337632350"/>
      <w:bookmarkStart w:id="996" w:name="_Toc350438741"/>
      <w:bookmarkStart w:id="997" w:name="_Toc339020007"/>
      <w:bookmarkStart w:id="998" w:name="_Toc336681927"/>
      <w:bookmarkStart w:id="999" w:name="_Toc374454592"/>
      <w:bookmarkStart w:id="1000" w:name="_Toc339362292"/>
      <w:bookmarkStart w:id="1001" w:name="_Toc339020225"/>
      <w:bookmarkStart w:id="1002" w:name="_Toc8897"/>
      <w:bookmarkStart w:id="1003" w:name="_Toc339019881"/>
      <w:bookmarkStart w:id="1004" w:name="_Toc339441079"/>
      <w:bookmarkStart w:id="1005" w:name="_Toc333238625"/>
      <w:bookmarkStart w:id="1006" w:name="_Toc340672861"/>
      <w:bookmarkStart w:id="1007" w:name="_Toc332270338"/>
      <w:bookmarkStart w:id="1008" w:name="_Toc340677062"/>
      <w:r>
        <w:rPr>
          <w:rFonts w:hint="eastAsia"/>
          <w:color w:val="000000" w:themeColor="text1"/>
          <w:highlight w:val="none"/>
          <w14:textFill>
            <w14:solidFill>
              <w14:schemeClr w14:val="tx1"/>
            </w14:solidFill>
          </w14:textFill>
        </w:rPr>
        <w:t>投标文件的修改和撤</w:t>
      </w:r>
      <w:bookmarkEnd w:id="972"/>
      <w:bookmarkEnd w:id="973"/>
      <w:r>
        <w:rPr>
          <w:rFonts w:hint="eastAsia"/>
          <w:color w:val="000000" w:themeColor="text1"/>
          <w:highlight w:val="none"/>
          <w14:textFill>
            <w14:solidFill>
              <w14:schemeClr w14:val="tx1"/>
            </w14:solidFill>
          </w14:textFill>
        </w:rPr>
        <w:t>回</w:t>
      </w:r>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投标人在</w:t>
      </w:r>
      <w:r>
        <w:rPr>
          <w:rFonts w:hint="eastAsia" w:ascii="宋体"/>
          <w:bCs/>
          <w:color w:val="000000" w:themeColor="text1"/>
          <w:highlight w:val="none"/>
          <w:lang w:val="en-US" w:eastAsia="zh-CN"/>
          <w14:textFill>
            <w14:solidFill>
              <w14:schemeClr w14:val="tx1"/>
            </w14:solidFill>
          </w14:textFill>
        </w:rPr>
        <w:t>投标</w:t>
      </w:r>
      <w:r>
        <w:rPr>
          <w:rFonts w:hint="eastAsia" w:ascii="宋体"/>
          <w:bCs/>
          <w:color w:val="000000" w:themeColor="text1"/>
          <w:highlight w:val="none"/>
          <w14:textFill>
            <w14:solidFill>
              <w14:schemeClr w14:val="tx1"/>
            </w14:solidFill>
          </w14:textFill>
        </w:rPr>
        <w:t>截止时间前，可以修改或撤回其投标文件。但必须在规定的</w:t>
      </w:r>
      <w:r>
        <w:rPr>
          <w:rFonts w:hint="eastAsia" w:ascii="宋体"/>
          <w:bCs/>
          <w:color w:val="000000" w:themeColor="text1"/>
          <w:highlight w:val="none"/>
          <w:lang w:val="en-US" w:eastAsia="zh-CN"/>
          <w14:textFill>
            <w14:solidFill>
              <w14:schemeClr w14:val="tx1"/>
            </w14:solidFill>
          </w14:textFill>
        </w:rPr>
        <w:t>投标</w:t>
      </w:r>
      <w:r>
        <w:rPr>
          <w:rFonts w:hint="eastAsia" w:ascii="宋体"/>
          <w:bCs/>
          <w:color w:val="000000" w:themeColor="text1"/>
          <w:highlight w:val="none"/>
          <w14:textFill>
            <w14:solidFill>
              <w14:schemeClr w14:val="tx1"/>
            </w14:solidFill>
          </w14:textFill>
        </w:rPr>
        <w:t>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从投标截止时间至投标文件有效期期满之前，投标人不得撤回其投标文件，否则代理采购机构将按规定不予退还投标保证金。</w:t>
      </w:r>
    </w:p>
    <w:p>
      <w:pPr>
        <w:pStyle w:val="5"/>
        <w:numPr>
          <w:ilvl w:val="0"/>
          <w:numId w:val="0"/>
        </w:numPr>
        <w:rPr>
          <w:color w:val="000000" w:themeColor="text1"/>
          <w:sz w:val="24"/>
          <w:highlight w:val="none"/>
          <w14:textFill>
            <w14:solidFill>
              <w14:schemeClr w14:val="tx1"/>
            </w14:solidFill>
          </w14:textFill>
        </w:rPr>
      </w:pPr>
      <w:bookmarkStart w:id="1009" w:name="_Toc332206701"/>
      <w:bookmarkStart w:id="1010" w:name="_Toc339019882"/>
      <w:bookmarkStart w:id="1011" w:name="_Toc365985172"/>
      <w:bookmarkStart w:id="1012" w:name="_Toc333238626"/>
      <w:bookmarkStart w:id="1013" w:name="_Toc350438742"/>
      <w:bookmarkStart w:id="1014" w:name="_Toc339020008"/>
      <w:bookmarkStart w:id="1015" w:name="_Toc331512891"/>
      <w:bookmarkStart w:id="1016" w:name="_Toc333237670"/>
      <w:bookmarkStart w:id="1017" w:name="_Toc336681928"/>
      <w:bookmarkStart w:id="1018" w:name="_Toc333935680"/>
      <w:bookmarkStart w:id="1019" w:name="_Toc345513860"/>
      <w:bookmarkStart w:id="1020" w:name="_Toc349127619"/>
      <w:bookmarkStart w:id="1021" w:name="_Toc331684031"/>
      <w:bookmarkStart w:id="1022" w:name="_Toc339020226"/>
      <w:bookmarkStart w:id="1023" w:name="_Toc342296753"/>
      <w:bookmarkStart w:id="1024" w:name="_Toc497224220"/>
      <w:bookmarkStart w:id="1025" w:name="_Toc374454593"/>
      <w:bookmarkStart w:id="1026" w:name="_Toc341348331"/>
      <w:bookmarkStart w:id="1027" w:name="_Toc336681573"/>
      <w:bookmarkStart w:id="1028" w:name="_Toc333935339"/>
      <w:bookmarkStart w:id="1029" w:name="_Toc339362293"/>
      <w:bookmarkStart w:id="1030" w:name="_Toc340672862"/>
      <w:bookmarkStart w:id="1031" w:name="_Toc349143582"/>
      <w:bookmarkStart w:id="1032" w:name="_Toc339020088"/>
      <w:bookmarkStart w:id="1033" w:name="_Toc339441080"/>
      <w:bookmarkStart w:id="1034" w:name="_Toc503785422"/>
      <w:bookmarkStart w:id="1035" w:name="_Toc337632351"/>
      <w:bookmarkStart w:id="1036" w:name="_Toc342060367"/>
      <w:bookmarkStart w:id="1037" w:name="_Toc350756443"/>
      <w:bookmarkStart w:id="1038" w:name="_Toc340507435"/>
      <w:bookmarkStart w:id="1039" w:name="_Toc340677063"/>
      <w:bookmarkStart w:id="1040" w:name="_Toc366072521"/>
      <w:bookmarkStart w:id="1041" w:name="_Toc333237781"/>
      <w:bookmarkStart w:id="1042" w:name="_Toc332270339"/>
      <w:bookmarkStart w:id="1043" w:name="_Toc365967066"/>
      <w:bookmarkStart w:id="1044" w:name="_Toc330459978"/>
      <w:r>
        <w:rPr>
          <w:color w:val="000000" w:themeColor="text1"/>
          <w:sz w:val="24"/>
          <w:highlight w:val="none"/>
          <w14:textFill>
            <w14:solidFill>
              <w14:schemeClr w14:val="tx1"/>
            </w14:solidFill>
          </w14:textFill>
        </w:rPr>
        <w:br w:type="page"/>
      </w:r>
      <w:bookmarkStart w:id="1045" w:name="_Toc2028"/>
      <w:r>
        <w:rPr>
          <w:rFonts w:hint="eastAsia"/>
          <w:color w:val="000000" w:themeColor="text1"/>
          <w:sz w:val="24"/>
          <w:highlight w:val="none"/>
          <w14:textFill>
            <w14:solidFill>
              <w14:schemeClr w14:val="tx1"/>
            </w14:solidFill>
          </w14:textFill>
        </w:rPr>
        <w:t>Ｅ开标和评标</w:t>
      </w:r>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046" w:name="_Toc332206702"/>
      <w:bookmarkStart w:id="1047" w:name="_Toc333237671"/>
      <w:bookmarkStart w:id="1048" w:name="_Toc366072522"/>
      <w:bookmarkStart w:id="1049" w:name="_Toc342296754"/>
      <w:bookmarkStart w:id="1050" w:name="_Toc365967067"/>
      <w:bookmarkStart w:id="1051" w:name="_Toc330459979"/>
      <w:bookmarkStart w:id="1052" w:name="_Toc349143583"/>
      <w:bookmarkStart w:id="1053" w:name="_Toc333935340"/>
      <w:bookmarkStart w:id="1054" w:name="_Toc340672863"/>
      <w:bookmarkStart w:id="1055" w:name="_Toc333237782"/>
      <w:bookmarkStart w:id="1056" w:name="_Toc342060368"/>
      <w:bookmarkStart w:id="1057" w:name="_Toc331684032"/>
      <w:bookmarkStart w:id="1058" w:name="_Toc331512892"/>
      <w:bookmarkStart w:id="1059" w:name="_Toc497224221"/>
      <w:bookmarkStart w:id="1060" w:name="_Toc340507436"/>
      <w:bookmarkStart w:id="1061" w:name="_Toc365985173"/>
      <w:bookmarkStart w:id="1062" w:name="_Toc336681929"/>
      <w:bookmarkStart w:id="1063" w:name="_Toc350438743"/>
      <w:bookmarkStart w:id="1064" w:name="_Toc339020009"/>
      <w:bookmarkStart w:id="1065" w:name="_Toc332270340"/>
      <w:bookmarkStart w:id="1066" w:name="_Toc341348332"/>
      <w:bookmarkStart w:id="1067" w:name="_Toc339019883"/>
      <w:bookmarkStart w:id="1068" w:name="_Toc333238627"/>
      <w:bookmarkStart w:id="1069" w:name="_Toc336681574"/>
      <w:bookmarkStart w:id="1070" w:name="_Toc349127620"/>
      <w:bookmarkStart w:id="1071" w:name="_Toc333935681"/>
      <w:bookmarkStart w:id="1072" w:name="_Toc345513861"/>
      <w:bookmarkStart w:id="1073" w:name="_Toc339020227"/>
      <w:bookmarkStart w:id="1074" w:name="_Toc503785423"/>
      <w:bookmarkStart w:id="1075" w:name="_Toc350756444"/>
      <w:bookmarkStart w:id="1076" w:name="_Toc340677064"/>
      <w:bookmarkStart w:id="1077" w:name="_Toc337632352"/>
      <w:bookmarkStart w:id="1078" w:name="_Toc339362294"/>
      <w:bookmarkStart w:id="1079" w:name="_Toc339441081"/>
      <w:bookmarkStart w:id="1080" w:name="_Toc26235"/>
      <w:bookmarkStart w:id="1081" w:name="_Toc374454594"/>
      <w:bookmarkStart w:id="1082" w:name="_Toc339020089"/>
      <w:r>
        <w:rPr>
          <w:rFonts w:hint="eastAsia"/>
          <w:color w:val="000000" w:themeColor="text1"/>
          <w:highlight w:val="none"/>
          <w14:textFill>
            <w14:solidFill>
              <w14:schemeClr w14:val="tx1"/>
            </w14:solidFill>
          </w14:textFill>
        </w:rPr>
        <w:t>开标</w:t>
      </w:r>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1</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1</w:t>
      </w: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21.4</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唱标结束后，代理采购机构将做唱标记录，并按规定在唱标记录上签字。</w:t>
      </w:r>
    </w:p>
    <w:p>
      <w:pPr>
        <w:pStyle w:val="7"/>
        <w:numPr>
          <w:ilvl w:val="4"/>
          <w:numId w:val="25"/>
        </w:numPr>
        <w:tabs>
          <w:tab w:val="left" w:pos="720"/>
        </w:tabs>
        <w:spacing w:before="240" w:after="120"/>
        <w:ind w:left="752" w:hanging="751" w:hangingChars="358"/>
        <w:rPr>
          <w:rFonts w:ascii="宋体" w:hAnsi="宋体"/>
          <w:color w:val="000000" w:themeColor="text1"/>
          <w:highlight w:val="none"/>
          <w14:textFill>
            <w14:solidFill>
              <w14:schemeClr w14:val="tx1"/>
            </w14:solidFill>
          </w14:textFill>
        </w:rPr>
      </w:pPr>
      <w:bookmarkStart w:id="1083" w:name="_Toc342060369"/>
      <w:bookmarkStart w:id="1084" w:name="_Toc365967068"/>
      <w:bookmarkStart w:id="1085" w:name="_Toc339019884"/>
      <w:bookmarkStart w:id="1086" w:name="_Toc339020010"/>
      <w:bookmarkStart w:id="1087" w:name="_Toc340507437"/>
      <w:bookmarkStart w:id="1088" w:name="_Toc374454595"/>
      <w:bookmarkStart w:id="1089" w:name="_Toc333935341"/>
      <w:bookmarkStart w:id="1090" w:name="_Toc342296755"/>
      <w:bookmarkStart w:id="1091" w:name="_Toc331684033"/>
      <w:bookmarkStart w:id="1092" w:name="_Toc350756445"/>
      <w:bookmarkStart w:id="1093" w:name="_Toc333237672"/>
      <w:bookmarkStart w:id="1094" w:name="_Toc350438744"/>
      <w:bookmarkStart w:id="1095" w:name="_Toc341348333"/>
      <w:bookmarkStart w:id="1096" w:name="_Toc503785424"/>
      <w:bookmarkStart w:id="1097" w:name="_Toc366072523"/>
      <w:bookmarkStart w:id="1098" w:name="_Toc332270341"/>
      <w:bookmarkStart w:id="1099" w:name="_Toc365985174"/>
      <w:bookmarkStart w:id="1100" w:name="_Toc337632353"/>
      <w:bookmarkStart w:id="1101" w:name="_Toc333935682"/>
      <w:bookmarkStart w:id="1102" w:name="_Toc331512893"/>
      <w:bookmarkStart w:id="1103" w:name="_Toc349143584"/>
      <w:bookmarkStart w:id="1104" w:name="_Toc19403"/>
      <w:bookmarkStart w:id="1105" w:name="_Toc333237783"/>
      <w:bookmarkStart w:id="1106" w:name="_Toc497224222"/>
      <w:bookmarkStart w:id="1107" w:name="_Toc339441082"/>
      <w:bookmarkStart w:id="1108" w:name="_Toc339362295"/>
      <w:bookmarkStart w:id="1109" w:name="_Toc340677065"/>
      <w:bookmarkStart w:id="1110" w:name="_Toc336681575"/>
      <w:bookmarkStart w:id="1111" w:name="_Toc339020090"/>
      <w:bookmarkStart w:id="1112" w:name="_Toc336681930"/>
      <w:bookmarkStart w:id="1113" w:name="_Toc330459980"/>
      <w:bookmarkStart w:id="1114" w:name="_Toc333238628"/>
      <w:bookmarkStart w:id="1115" w:name="_Toc332206703"/>
      <w:bookmarkStart w:id="1116" w:name="_Toc339020228"/>
      <w:bookmarkStart w:id="1117" w:name="_Toc345513862"/>
      <w:bookmarkStart w:id="1118" w:name="_Toc349127621"/>
      <w:bookmarkStart w:id="1119" w:name="_Toc340672864"/>
      <w:r>
        <w:rPr>
          <w:rFonts w:hint="eastAsia"/>
          <w:color w:val="000000" w:themeColor="text1"/>
          <w:highlight w:val="none"/>
          <w14:textFill>
            <w14:solidFill>
              <w14:schemeClr w14:val="tx1"/>
            </w14:solidFill>
          </w14:textFill>
        </w:rPr>
        <w:t>评标委员会</w:t>
      </w:r>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p>
    <w:p>
      <w:pPr>
        <w:pStyle w:val="6"/>
        <w:rPr>
          <w:color w:val="000000" w:themeColor="text1"/>
          <w:highlight w:val="none"/>
          <w14:textFill>
            <w14:solidFill>
              <w14:schemeClr w14:val="tx1"/>
            </w14:solidFill>
          </w14:textFill>
        </w:rPr>
      </w:pPr>
      <w:r>
        <w:rPr>
          <w:rFonts w:hint="eastAsia" w:ascii="黑体" w:eastAsia="黑体"/>
          <w:bCs/>
          <w:color w:val="000000" w:themeColor="text1"/>
          <w:kern w:val="2"/>
          <w:sz w:val="21"/>
          <w:szCs w:val="24"/>
          <w:highlight w:val="none"/>
          <w14:textFill>
            <w14:solidFill>
              <w14:schemeClr w14:val="tx1"/>
            </w14:solidFill>
          </w14:textFill>
        </w:rPr>
        <w:t>详见第三部份《投标人须知〈投标人须知前附表〉》。</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20" w:name="_Toc350756446"/>
      <w:bookmarkStart w:id="1121" w:name="_Toc342296756"/>
      <w:bookmarkStart w:id="1122" w:name="_Toc331512894"/>
      <w:bookmarkStart w:id="1123" w:name="_Toc333238629"/>
      <w:bookmarkStart w:id="1124" w:name="_Toc349127622"/>
      <w:bookmarkStart w:id="1125" w:name="_Toc341348334"/>
      <w:bookmarkStart w:id="1126" w:name="_Toc339020091"/>
      <w:bookmarkStart w:id="1127" w:name="_Toc339019885"/>
      <w:bookmarkStart w:id="1128" w:name="_Toc350438745"/>
      <w:bookmarkStart w:id="1129" w:name="_Toc339441083"/>
      <w:bookmarkStart w:id="1130" w:name="_Toc339020229"/>
      <w:bookmarkStart w:id="1131" w:name="_Toc365967069"/>
      <w:bookmarkStart w:id="1132" w:name="_Toc374454596"/>
      <w:bookmarkStart w:id="1133" w:name="_Toc22357"/>
      <w:bookmarkStart w:id="1134" w:name="_Toc333935683"/>
      <w:bookmarkStart w:id="1135" w:name="_Toc337632354"/>
      <w:bookmarkStart w:id="1136" w:name="_Toc332270342"/>
      <w:bookmarkStart w:id="1137" w:name="_Toc345513863"/>
      <w:bookmarkStart w:id="1138" w:name="_Toc340672865"/>
      <w:bookmarkStart w:id="1139" w:name="_Toc340677066"/>
      <w:bookmarkStart w:id="1140" w:name="_Toc336681576"/>
      <w:bookmarkStart w:id="1141" w:name="_Toc366072524"/>
      <w:bookmarkStart w:id="1142" w:name="_Toc333237784"/>
      <w:bookmarkStart w:id="1143" w:name="_Toc332206704"/>
      <w:bookmarkStart w:id="1144" w:name="_Toc349143585"/>
      <w:bookmarkStart w:id="1145" w:name="_Toc342060370"/>
      <w:bookmarkStart w:id="1146" w:name="_Toc333237673"/>
      <w:bookmarkStart w:id="1147" w:name="_Toc330459981"/>
      <w:bookmarkStart w:id="1148" w:name="_Toc340507438"/>
      <w:bookmarkStart w:id="1149" w:name="_Toc333935342"/>
      <w:bookmarkStart w:id="1150" w:name="_Toc503785425"/>
      <w:bookmarkStart w:id="1151" w:name="_Toc336681931"/>
      <w:bookmarkStart w:id="1152" w:name="_Toc331684034"/>
      <w:bookmarkStart w:id="1153" w:name="_Toc365985175"/>
      <w:bookmarkStart w:id="1154" w:name="_Toc339362296"/>
      <w:bookmarkStart w:id="1155" w:name="_Toc497224223"/>
      <w:bookmarkStart w:id="1156" w:name="_Toc339020011"/>
      <w:r>
        <w:rPr>
          <w:rFonts w:hint="eastAsia"/>
          <w:color w:val="000000" w:themeColor="text1"/>
          <w:highlight w:val="none"/>
          <w14:textFill>
            <w14:solidFill>
              <w14:schemeClr w14:val="tx1"/>
            </w14:solidFill>
          </w14:textFill>
        </w:rPr>
        <w:t>对投标文件的初审和响应性的确定</w:t>
      </w:r>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 xml:space="preserve">23.2   </w:t>
      </w:r>
      <w:r>
        <w:rPr>
          <w:rFonts w:hint="eastAsia" w:ascii="宋体" w:hAnsi="宋体"/>
          <w:color w:val="000000" w:themeColor="text1"/>
          <w:highlight w:val="none"/>
          <w14:textFill>
            <w14:solidFill>
              <w14:schemeClr w14:val="tx1"/>
            </w14:solidFill>
          </w14:textFill>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000000" w:themeColor="text1"/>
          <w:highlight w:val="none"/>
          <w:lang w:val="en-US" w:eastAsia="zh-CN"/>
          <w14:textFill>
            <w14:solidFill>
              <w14:schemeClr w14:val="tx1"/>
            </w14:solidFill>
          </w14:textFill>
        </w:rPr>
        <w:t>是</w:t>
      </w:r>
      <w:r>
        <w:rPr>
          <w:rFonts w:hint="eastAsia" w:ascii="宋体"/>
          <w:bCs/>
          <w:color w:val="000000" w:themeColor="text1"/>
          <w:highlight w:val="none"/>
          <w14:textFill>
            <w14:solidFill>
              <w14:schemeClr w14:val="tx1"/>
            </w14:solidFill>
          </w14:textFill>
        </w:rPr>
        <w:t>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 xml:space="preserve">5 </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如果发现下列情况之一的，其投标将被拒绝而作无效投标处理：</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资格审查结果为不合格的；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投标人未提交投标保证金或投标保证金金额不足或无效的；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投标函</w:t>
      </w:r>
      <w:r>
        <w:rPr>
          <w:rFonts w:ascii="宋体" w:hAnsi="宋体"/>
          <w:bCs/>
          <w:color w:val="000000" w:themeColor="text1"/>
          <w:highlight w:val="none"/>
          <w14:textFill>
            <w14:solidFill>
              <w14:schemeClr w14:val="tx1"/>
            </w14:solidFill>
          </w14:textFill>
        </w:rPr>
        <w:t>未加盖</w:t>
      </w:r>
      <w:r>
        <w:rPr>
          <w:rFonts w:hint="eastAsia" w:ascii="宋体" w:hAnsi="宋体"/>
          <w:bCs/>
          <w:color w:val="000000" w:themeColor="text1"/>
          <w:highlight w:val="none"/>
          <w14:textFill>
            <w14:solidFill>
              <w14:schemeClr w14:val="tx1"/>
            </w14:solidFill>
          </w14:textFill>
        </w:rPr>
        <w:t>投标人</w:t>
      </w:r>
      <w:r>
        <w:rPr>
          <w:rFonts w:ascii="宋体" w:hAnsi="宋体"/>
          <w:bCs/>
          <w:color w:val="000000" w:themeColor="text1"/>
          <w:highlight w:val="none"/>
          <w14:textFill>
            <w14:solidFill>
              <w14:schemeClr w14:val="tx1"/>
            </w14:solidFill>
          </w14:textFill>
        </w:rPr>
        <w:t>公章</w:t>
      </w:r>
      <w:r>
        <w:rPr>
          <w:rFonts w:hint="eastAsia" w:ascii="宋体" w:hAnsi="宋体"/>
          <w:bCs/>
          <w:color w:val="000000" w:themeColor="text1"/>
          <w:highlight w:val="none"/>
          <w14:textFill>
            <w14:solidFill>
              <w14:schemeClr w14:val="tx1"/>
            </w14:solidFill>
          </w14:textFill>
        </w:rPr>
        <w:t>或</w:t>
      </w:r>
      <w:r>
        <w:rPr>
          <w:rFonts w:ascii="宋体" w:hAnsi="宋体"/>
          <w:bCs/>
          <w:color w:val="000000" w:themeColor="text1"/>
          <w:highlight w:val="none"/>
          <w14:textFill>
            <w14:solidFill>
              <w14:schemeClr w14:val="tx1"/>
            </w14:solidFill>
          </w14:textFill>
        </w:rPr>
        <w:t>未有</w:t>
      </w:r>
      <w:r>
        <w:rPr>
          <w:rFonts w:hint="eastAsia" w:ascii="宋体" w:hAnsi="宋体"/>
          <w:bCs/>
          <w:color w:val="000000" w:themeColor="text1"/>
          <w:highlight w:val="none"/>
          <w14:textFill>
            <w14:solidFill>
              <w14:schemeClr w14:val="tx1"/>
            </w14:solidFill>
          </w14:textFill>
        </w:rPr>
        <w:t>法定代表人（负责人）</w:t>
      </w:r>
      <w:r>
        <w:rPr>
          <w:rFonts w:ascii="宋体" w:hAnsi="宋体"/>
          <w:bCs/>
          <w:color w:val="000000" w:themeColor="text1"/>
          <w:highlight w:val="none"/>
          <w14:textFill>
            <w14:solidFill>
              <w14:schemeClr w14:val="tx1"/>
            </w14:solidFill>
          </w14:textFill>
        </w:rPr>
        <w:t>或者被授权人签名的；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未按招标文件规定格式填写或者字迹模糊不清的；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投标报价超出最高投标报价（预算价）上限的；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投标文件载明的招标项目完工期（服务期）超过招标文件规定的期限，或服务期不满足招标文件规定要求的； </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投标有效期不足的；</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投标文件附有采购人或代理采购机构不能接受的条件的；</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招标文件规定的其他实质性要求的；</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法律、法规规定的其他废标条款。</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57" w:name="_Toc340672866"/>
      <w:bookmarkStart w:id="1158" w:name="_Toc333237785"/>
      <w:bookmarkStart w:id="1159" w:name="_Toc339020012"/>
      <w:bookmarkStart w:id="1160" w:name="_Toc365985176"/>
      <w:bookmarkStart w:id="1161" w:name="_Toc349127623"/>
      <w:bookmarkStart w:id="1162" w:name="_Toc333935684"/>
      <w:bookmarkStart w:id="1163" w:name="_Toc333238630"/>
      <w:bookmarkStart w:id="1164" w:name="_Toc366072525"/>
      <w:bookmarkStart w:id="1165" w:name="_Toc350756447"/>
      <w:bookmarkStart w:id="1166" w:name="_Toc342296757"/>
      <w:bookmarkStart w:id="1167" w:name="_Toc339362297"/>
      <w:bookmarkStart w:id="1168" w:name="_Toc332206705"/>
      <w:bookmarkStart w:id="1169" w:name="_Toc340677067"/>
      <w:bookmarkStart w:id="1170" w:name="_Toc349143586"/>
      <w:bookmarkStart w:id="1171" w:name="_Toc1787"/>
      <w:bookmarkStart w:id="1172" w:name="_Toc339019886"/>
      <w:bookmarkStart w:id="1173" w:name="_Toc374454597"/>
      <w:bookmarkStart w:id="1174" w:name="_Toc339020230"/>
      <w:bookmarkStart w:id="1175" w:name="_Toc337632355"/>
      <w:bookmarkStart w:id="1176" w:name="_Toc340507439"/>
      <w:bookmarkStart w:id="1177" w:name="_Toc345513864"/>
      <w:bookmarkStart w:id="1178" w:name="_Toc339020092"/>
      <w:bookmarkStart w:id="1179" w:name="_Toc332270343"/>
      <w:bookmarkStart w:id="1180" w:name="_Toc330459982"/>
      <w:bookmarkStart w:id="1181" w:name="_Toc341348335"/>
      <w:bookmarkStart w:id="1182" w:name="_Toc339441084"/>
      <w:bookmarkStart w:id="1183" w:name="_Toc331684035"/>
      <w:bookmarkStart w:id="1184" w:name="_Toc333237674"/>
      <w:bookmarkStart w:id="1185" w:name="_Toc365967070"/>
      <w:bookmarkStart w:id="1186" w:name="_Toc336681932"/>
      <w:bookmarkStart w:id="1187" w:name="_Toc336681577"/>
      <w:bookmarkStart w:id="1188" w:name="_Toc342060371"/>
      <w:bookmarkStart w:id="1189" w:name="_Toc331512895"/>
      <w:bookmarkStart w:id="1190" w:name="_Toc333935343"/>
      <w:bookmarkStart w:id="1191" w:name="_Toc350438746"/>
      <w:r>
        <w:rPr>
          <w:rFonts w:hint="eastAsia"/>
          <w:color w:val="000000" w:themeColor="text1"/>
          <w:highlight w:val="none"/>
          <w14:textFill>
            <w14:solidFill>
              <w14:schemeClr w14:val="tx1"/>
            </w14:solidFill>
          </w14:textFill>
        </w:rPr>
        <w:t>投标报价的审核</w:t>
      </w:r>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p>
    <w:p>
      <w:pPr>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24.1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pPr>
        <w:spacing w:line="360" w:lineRule="auto"/>
        <w:ind w:left="1233" w:hanging="1232" w:hangingChars="587"/>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24.2  </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大写金额和小写金额不一致的，以大写金额为准;</w:t>
      </w:r>
    </w:p>
    <w:p>
      <w:pPr>
        <w:spacing w:line="360" w:lineRule="auto"/>
        <w:ind w:firstLine="735" w:firstLineChars="350"/>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单价金额小数点或者百分比有明显错位的，以开标一览表的总价为准，并修改单价;</w:t>
      </w:r>
    </w:p>
    <w:p>
      <w:pPr>
        <w:spacing w:line="360" w:lineRule="auto"/>
        <w:ind w:firstLine="707" w:firstLineChars="337"/>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（4）</w:t>
      </w:r>
      <w:r>
        <w:rPr>
          <w:rFonts w:hint="eastAsia" w:ascii="宋体" w:hAnsi="宋体"/>
          <w:bCs/>
          <w:color w:val="000000" w:themeColor="text1"/>
          <w:highlight w:val="none"/>
          <w14:textFill>
            <w14:solidFill>
              <w14:schemeClr w14:val="tx1"/>
            </w14:solidFill>
          </w14:textFill>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（5）</w:t>
      </w:r>
      <w:r>
        <w:rPr>
          <w:rFonts w:hint="eastAsia" w:ascii="宋体" w:hAnsi="宋体"/>
          <w:bCs/>
          <w:color w:val="000000" w:themeColor="text1"/>
          <w:highlight w:val="none"/>
          <w14:textFill>
            <w14:solidFill>
              <w14:schemeClr w14:val="tx1"/>
            </w14:solidFill>
          </w14:textFill>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92" w:name="_Toc350438747"/>
      <w:bookmarkStart w:id="1193" w:name="_Toc333237786"/>
      <w:bookmarkStart w:id="1194" w:name="_Toc339362298"/>
      <w:bookmarkStart w:id="1195" w:name="_Toc336681933"/>
      <w:bookmarkStart w:id="1196" w:name="_Toc339020013"/>
      <w:bookmarkStart w:id="1197" w:name="_Toc339020231"/>
      <w:bookmarkStart w:id="1198" w:name="_Toc374454598"/>
      <w:bookmarkStart w:id="1199" w:name="_Toc349127624"/>
      <w:bookmarkStart w:id="1200" w:name="_Toc336681578"/>
      <w:bookmarkStart w:id="1201" w:name="_Toc331512896"/>
      <w:bookmarkStart w:id="1202" w:name="_Toc333237675"/>
      <w:bookmarkStart w:id="1203" w:name="_Toc333935344"/>
      <w:bookmarkStart w:id="1204" w:name="_Toc332270344"/>
      <w:bookmarkStart w:id="1205" w:name="_Toc342296758"/>
      <w:bookmarkStart w:id="1206" w:name="_Toc339441085"/>
      <w:bookmarkStart w:id="1207" w:name="_Toc342060372"/>
      <w:bookmarkStart w:id="1208" w:name="_Toc13101"/>
      <w:bookmarkStart w:id="1209" w:name="_Toc366072526"/>
      <w:bookmarkStart w:id="1210" w:name="_Toc350756448"/>
      <w:bookmarkStart w:id="1211" w:name="_Toc349143587"/>
      <w:bookmarkStart w:id="1212" w:name="_Toc340507440"/>
      <w:bookmarkStart w:id="1213" w:name="_Toc333935685"/>
      <w:bookmarkStart w:id="1214" w:name="_Toc340677068"/>
      <w:bookmarkStart w:id="1215" w:name="_Toc333238631"/>
      <w:bookmarkStart w:id="1216" w:name="_Toc365967071"/>
      <w:bookmarkStart w:id="1217" w:name="_Toc345513865"/>
      <w:bookmarkStart w:id="1218" w:name="_Toc365985177"/>
      <w:bookmarkStart w:id="1219" w:name="_Toc339020093"/>
      <w:bookmarkStart w:id="1220" w:name="_Toc503785426"/>
      <w:bookmarkStart w:id="1221" w:name="_Toc339019887"/>
      <w:bookmarkStart w:id="1222" w:name="_Toc497224224"/>
      <w:bookmarkStart w:id="1223" w:name="_Toc332206706"/>
      <w:bookmarkStart w:id="1224" w:name="_Toc341348336"/>
      <w:bookmarkStart w:id="1225" w:name="_Toc340672867"/>
      <w:bookmarkStart w:id="1226" w:name="_Toc330459983"/>
      <w:bookmarkStart w:id="1227" w:name="_Toc331684036"/>
      <w:bookmarkStart w:id="1228" w:name="_Toc337632356"/>
      <w:r>
        <w:rPr>
          <w:rFonts w:hint="eastAsia"/>
          <w:color w:val="000000" w:themeColor="text1"/>
          <w:highlight w:val="none"/>
          <w14:textFill>
            <w14:solidFill>
              <w14:schemeClr w14:val="tx1"/>
            </w14:solidFill>
          </w14:textFill>
        </w:rPr>
        <w:t>询标及投标文件的澄清</w:t>
      </w:r>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000000" w:themeColor="text1"/>
          <w:highlight w:val="none"/>
          <w14:textFill>
            <w14:solidFill>
              <w14:schemeClr w14:val="tx1"/>
            </w14:solidFill>
          </w14:textFill>
        </w:rPr>
      </w:pPr>
      <w:r>
        <w:rPr>
          <w:rFonts w:ascii="宋体"/>
          <w:color w:val="000000" w:themeColor="text1"/>
          <w:highlight w:val="none"/>
          <w14:textFill>
            <w14:solidFill>
              <w14:schemeClr w14:val="tx1"/>
            </w14:solidFill>
          </w14:textFill>
        </w:rPr>
        <w:t>2</w:t>
      </w:r>
      <w:r>
        <w:rPr>
          <w:rFonts w:hint="eastAsia" w:ascii="宋体"/>
          <w:color w:val="000000" w:themeColor="text1"/>
          <w:highlight w:val="none"/>
          <w14:textFill>
            <w14:solidFill>
              <w14:schemeClr w14:val="tx1"/>
            </w14:solidFill>
          </w14:textFill>
        </w:rPr>
        <w:t>5</w:t>
      </w:r>
      <w:r>
        <w:rPr>
          <w:rFonts w:ascii="宋体"/>
          <w:color w:val="000000" w:themeColor="text1"/>
          <w:highlight w:val="none"/>
          <w14:textFill>
            <w14:solidFill>
              <w14:schemeClr w14:val="tx1"/>
            </w14:solidFill>
          </w14:textFill>
        </w:rPr>
        <w:t>.2</w:t>
      </w:r>
      <w:r>
        <w:rPr>
          <w:rFonts w:hint="eastAsia" w:ascii="宋体"/>
          <w:color w:val="000000" w:themeColor="text1"/>
          <w:highlight w:val="none"/>
          <w14:textFill>
            <w14:solidFill>
              <w14:schemeClr w14:val="tx1"/>
            </w14:solidFill>
          </w14:textFill>
        </w:rPr>
        <w:t xml:space="preserve"> </w:t>
      </w:r>
      <w:r>
        <w:rPr>
          <w:rFonts w:hint="eastAsia" w:ascii="宋体"/>
          <w:color w:val="000000" w:themeColor="text1"/>
          <w:highlight w:val="none"/>
          <w14:textFill>
            <w14:solidFill>
              <w14:schemeClr w14:val="tx1"/>
            </w14:solidFill>
          </w14:textFill>
        </w:rPr>
        <w:tab/>
      </w:r>
      <w:r>
        <w:rPr>
          <w:rFonts w:hint="eastAsia" w:ascii="宋体"/>
          <w:color w:val="000000" w:themeColor="text1"/>
          <w:highlight w:val="none"/>
          <w14:textFill>
            <w14:solidFill>
              <w14:schemeClr w14:val="tx1"/>
            </w14:solidFill>
          </w14:textFill>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25.3</w:t>
      </w:r>
      <w:r>
        <w:rPr>
          <w:rFonts w:hint="eastAsia"/>
          <w:color w:val="000000" w:themeColor="text1"/>
          <w:highlight w:val="none"/>
          <w14:textFill>
            <w14:solidFill>
              <w14:schemeClr w14:val="tx1"/>
            </w14:solidFill>
          </w14:textFill>
        </w:rPr>
        <w:tab/>
      </w:r>
      <w:r>
        <w:rPr>
          <w:rFonts w:hint="eastAsia" w:cs="Arial Unicode MS"/>
          <w:color w:val="000000" w:themeColor="text1"/>
          <w:highlight w:val="none"/>
          <w14:textFill>
            <w14:solidFill>
              <w14:schemeClr w14:val="tx1"/>
            </w14:solidFill>
          </w14:textFill>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229" w:name="_Toc365967072"/>
      <w:bookmarkStart w:id="1230" w:name="_Toc333237676"/>
      <w:bookmarkStart w:id="1231" w:name="_Toc333238632"/>
      <w:bookmarkStart w:id="1232" w:name="_Toc10071"/>
      <w:bookmarkStart w:id="1233" w:name="_Toc341348337"/>
      <w:bookmarkStart w:id="1234" w:name="_Toc339020014"/>
      <w:bookmarkStart w:id="1235" w:name="_Toc336681934"/>
      <w:bookmarkStart w:id="1236" w:name="_Toc331512897"/>
      <w:bookmarkStart w:id="1237" w:name="_Toc339020232"/>
      <w:bookmarkStart w:id="1238" w:name="_Toc339441086"/>
      <w:bookmarkStart w:id="1239" w:name="_Toc340677069"/>
      <w:bookmarkStart w:id="1240" w:name="_Toc332270345"/>
      <w:bookmarkStart w:id="1241" w:name="_Toc339019888"/>
      <w:bookmarkStart w:id="1242" w:name="_Toc331684037"/>
      <w:bookmarkStart w:id="1243" w:name="_Toc339362299"/>
      <w:bookmarkStart w:id="1244" w:name="_Toc340672868"/>
      <w:bookmarkStart w:id="1245" w:name="_Toc366072527"/>
      <w:bookmarkStart w:id="1246" w:name="_Toc350438748"/>
      <w:bookmarkStart w:id="1247" w:name="_Toc333935686"/>
      <w:bookmarkStart w:id="1248" w:name="_Toc350756449"/>
      <w:bookmarkStart w:id="1249" w:name="_Toc337632357"/>
      <w:bookmarkStart w:id="1250" w:name="_Toc342296759"/>
      <w:bookmarkStart w:id="1251" w:name="_Toc349127625"/>
      <w:bookmarkStart w:id="1252" w:name="_Toc333237787"/>
      <w:bookmarkStart w:id="1253" w:name="_Toc340507441"/>
      <w:bookmarkStart w:id="1254" w:name="_Toc339020094"/>
      <w:bookmarkStart w:id="1255" w:name="_Toc336681579"/>
      <w:bookmarkStart w:id="1256" w:name="_Toc374454599"/>
      <w:bookmarkStart w:id="1257" w:name="_Toc332206707"/>
      <w:bookmarkStart w:id="1258" w:name="_Toc342060373"/>
      <w:bookmarkStart w:id="1259" w:name="_Toc349143588"/>
      <w:bookmarkStart w:id="1260" w:name="_Toc330459984"/>
      <w:bookmarkStart w:id="1261" w:name="_Toc365985178"/>
      <w:bookmarkStart w:id="1262" w:name="_Toc345513866"/>
      <w:bookmarkStart w:id="1263" w:name="_Toc333935345"/>
      <w:r>
        <w:rPr>
          <w:rFonts w:hint="eastAsia"/>
          <w:color w:val="000000" w:themeColor="text1"/>
          <w:highlight w:val="none"/>
          <w14:textFill>
            <w14:solidFill>
              <w14:schemeClr w14:val="tx1"/>
            </w14:solidFill>
          </w14:textFill>
        </w:rPr>
        <w:t>评标原则</w:t>
      </w:r>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26.2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坚持公平、公正、科学和择优原则。</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26.3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实行科学评估、集体决策。</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264" w:name="_Toc342060374"/>
      <w:bookmarkStart w:id="1265" w:name="_Toc333237677"/>
      <w:bookmarkStart w:id="1266" w:name="_Toc336681935"/>
      <w:bookmarkStart w:id="1267" w:name="_Toc366072528"/>
      <w:bookmarkStart w:id="1268" w:name="_Toc374454600"/>
      <w:bookmarkStart w:id="1269" w:name="_Toc337632358"/>
      <w:bookmarkStart w:id="1270" w:name="_Toc365967073"/>
      <w:bookmarkStart w:id="1271" w:name="_Toc341348338"/>
      <w:bookmarkStart w:id="1272" w:name="_Toc340672869"/>
      <w:bookmarkStart w:id="1273" w:name="_Toc339020233"/>
      <w:bookmarkStart w:id="1274" w:name="_Toc332206708"/>
      <w:bookmarkStart w:id="1275" w:name="_Toc331512898"/>
      <w:bookmarkStart w:id="1276" w:name="_Toc339019889"/>
      <w:bookmarkStart w:id="1277" w:name="_Toc333238633"/>
      <w:bookmarkStart w:id="1278" w:name="_Toc333935346"/>
      <w:bookmarkStart w:id="1279" w:name="_Toc340507442"/>
      <w:bookmarkStart w:id="1280" w:name="_Toc339020015"/>
      <w:bookmarkStart w:id="1281" w:name="_Toc349143589"/>
      <w:bookmarkStart w:id="1282" w:name="_Toc8709"/>
      <w:bookmarkStart w:id="1283" w:name="_Toc339020095"/>
      <w:bookmarkStart w:id="1284" w:name="_Toc330459985"/>
      <w:bookmarkStart w:id="1285" w:name="_Toc349127626"/>
      <w:bookmarkStart w:id="1286" w:name="_Toc333237788"/>
      <w:bookmarkStart w:id="1287" w:name="_Toc332270346"/>
      <w:bookmarkStart w:id="1288" w:name="_Toc365985179"/>
      <w:bookmarkStart w:id="1289" w:name="_Toc350756450"/>
      <w:bookmarkStart w:id="1290" w:name="_Toc342296760"/>
      <w:bookmarkStart w:id="1291" w:name="_Toc350438749"/>
      <w:bookmarkStart w:id="1292" w:name="_Toc339362300"/>
      <w:bookmarkStart w:id="1293" w:name="_Toc333935687"/>
      <w:bookmarkStart w:id="1294" w:name="_Toc336681580"/>
      <w:bookmarkStart w:id="1295" w:name="_Toc345513867"/>
      <w:bookmarkStart w:id="1296" w:name="_Toc339441087"/>
      <w:bookmarkStart w:id="1297" w:name="_Toc340677070"/>
      <w:bookmarkStart w:id="1298" w:name="_Toc331684038"/>
      <w:r>
        <w:rPr>
          <w:rFonts w:hint="eastAsia"/>
          <w:color w:val="000000" w:themeColor="text1"/>
          <w:highlight w:val="none"/>
          <w14:textFill>
            <w14:solidFill>
              <w14:schemeClr w14:val="tx1"/>
            </w14:solidFill>
          </w14:textFill>
        </w:rPr>
        <w:t>评标标准和办法</w:t>
      </w:r>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p>
    <w:p>
      <w:pPr>
        <w:pStyle w:val="24"/>
        <w:tabs>
          <w:tab w:val="left" w:pos="753"/>
        </w:tabs>
        <w:adjustRightInd w:val="0"/>
        <w:snapToGrid w:val="0"/>
        <w:spacing w:line="360" w:lineRule="auto"/>
        <w:ind w:left="751" w:leftChars="1" w:hanging="749" w:hangingChars="357"/>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27.1</w:t>
      </w:r>
      <w:r>
        <w:rPr>
          <w:rFonts w:hint="eastAsia" w:hAnsi="宋体"/>
          <w:bCs/>
          <w:color w:val="000000" w:themeColor="text1"/>
          <w:highlight w:val="none"/>
          <w14:textFill>
            <w14:solidFill>
              <w14:schemeClr w14:val="tx1"/>
            </w14:solidFill>
          </w14:textFill>
        </w:rPr>
        <w:tab/>
      </w:r>
      <w:r>
        <w:rPr>
          <w:rFonts w:hint="eastAsia" w:hAnsi="宋体"/>
          <w:bCs/>
          <w:color w:val="000000" w:themeColor="text1"/>
          <w:highlight w:val="none"/>
          <w14:textFill>
            <w14:solidFill>
              <w14:schemeClr w14:val="tx1"/>
            </w14:solidFill>
          </w14:textFill>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4"/>
        <w:widowControl/>
        <w:tabs>
          <w:tab w:val="left" w:pos="753"/>
        </w:tabs>
        <w:adjustRightInd w:val="0"/>
        <w:snapToGrid w:val="0"/>
        <w:spacing w:line="360" w:lineRule="auto"/>
        <w:ind w:left="752" w:hanging="751" w:hangingChars="358"/>
        <w:rPr>
          <w:rFonts w:hAnsi="宋体"/>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27</w:t>
      </w:r>
      <w:r>
        <w:rPr>
          <w:rFonts w:hAnsi="宋体"/>
          <w:bCs/>
          <w:color w:val="000000" w:themeColor="text1"/>
          <w:highlight w:val="none"/>
          <w14:textFill>
            <w14:solidFill>
              <w14:schemeClr w14:val="tx1"/>
            </w14:solidFill>
          </w14:textFill>
        </w:rPr>
        <w:t>.2</w:t>
      </w:r>
      <w:r>
        <w:rPr>
          <w:rFonts w:hint="eastAsia" w:hAnsi="宋体"/>
          <w:bCs/>
          <w:color w:val="000000" w:themeColor="text1"/>
          <w:highlight w:val="none"/>
          <w14:textFill>
            <w14:solidFill>
              <w14:schemeClr w14:val="tx1"/>
            </w14:solidFill>
          </w14:textFill>
        </w:rPr>
        <w:tab/>
      </w:r>
      <w:bookmarkStart w:id="1299" w:name="_Toc500861023"/>
      <w:bookmarkStart w:id="1300" w:name="_Toc500953375"/>
      <w:bookmarkStart w:id="1301" w:name="_Toc497707712"/>
      <w:r>
        <w:rPr>
          <w:rFonts w:hint="eastAsia" w:hAnsi="宋体"/>
          <w:bCs/>
          <w:color w:val="000000" w:themeColor="text1"/>
          <w:highlight w:val="none"/>
          <w14:textFill>
            <w14:solidFill>
              <w14:schemeClr w14:val="tx1"/>
            </w14:solidFill>
          </w14:textFill>
        </w:rPr>
        <w:t>采用计分法（综合评价法）来确定各投标人的排名。其操作程序为：</w:t>
      </w:r>
      <w:r>
        <w:rPr>
          <w:rFonts w:hint="eastAsia" w:hAnsi="宋体"/>
          <w:b/>
          <w:color w:val="000000" w:themeColor="text1"/>
          <w:highlight w:val="none"/>
          <w14:textFill>
            <w14:solidFill>
              <w14:schemeClr w14:val="tx1"/>
            </w14:solidFill>
          </w14:textFill>
        </w:rPr>
        <w:t>详见H评标细则。</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02" w:name="_Toc327368025"/>
      <w:bookmarkStart w:id="1303" w:name="_Toc10281"/>
      <w:bookmarkStart w:id="1304" w:name="_Toc366072529"/>
      <w:bookmarkStart w:id="1305" w:name="_Toc327367761"/>
      <w:bookmarkStart w:id="1306" w:name="_Toc339020234"/>
      <w:bookmarkStart w:id="1307" w:name="_Toc341348339"/>
      <w:bookmarkStart w:id="1308" w:name="_Toc337632359"/>
      <w:bookmarkStart w:id="1309" w:name="_Toc339020096"/>
      <w:bookmarkStart w:id="1310" w:name="_Toc332270347"/>
      <w:bookmarkStart w:id="1311" w:name="_Toc342060375"/>
      <w:bookmarkStart w:id="1312" w:name="_Toc339362301"/>
      <w:bookmarkStart w:id="1313" w:name="_Toc339441088"/>
      <w:bookmarkStart w:id="1314" w:name="_Toc333935347"/>
      <w:bookmarkStart w:id="1315" w:name="_Toc333237678"/>
      <w:bookmarkStart w:id="1316" w:name="_Toc331512899"/>
      <w:bookmarkStart w:id="1317" w:name="_Toc331684039"/>
      <w:bookmarkStart w:id="1318" w:name="_Toc339020016"/>
      <w:bookmarkStart w:id="1319" w:name="_Toc342296761"/>
      <w:bookmarkStart w:id="1320" w:name="_Toc332206709"/>
      <w:bookmarkStart w:id="1321" w:name="_Toc345513902"/>
      <w:bookmarkStart w:id="1322" w:name="_Toc340677071"/>
      <w:bookmarkStart w:id="1323" w:name="_Toc330459986"/>
      <w:bookmarkStart w:id="1324" w:name="_Toc340507443"/>
      <w:bookmarkStart w:id="1325" w:name="_Toc333237789"/>
      <w:bookmarkStart w:id="1326" w:name="_Toc333238634"/>
      <w:bookmarkStart w:id="1327" w:name="_Toc339019890"/>
      <w:bookmarkStart w:id="1328" w:name="_Toc336681936"/>
      <w:bookmarkStart w:id="1329" w:name="_Toc336681581"/>
      <w:bookmarkStart w:id="1330" w:name="_Toc340672870"/>
      <w:bookmarkStart w:id="1331" w:name="_Toc333935688"/>
      <w:r>
        <w:rPr>
          <w:rFonts w:hint="eastAsia"/>
          <w:color w:val="000000" w:themeColor="text1"/>
          <w:highlight w:val="none"/>
          <w14:textFill>
            <w14:solidFill>
              <w14:schemeClr w14:val="tx1"/>
            </w14:solidFill>
          </w14:textFill>
        </w:rPr>
        <w:t>评标注意事项</w:t>
      </w:r>
      <w:bookmarkEnd w:id="1302"/>
      <w:bookmarkEnd w:id="1303"/>
      <w:bookmarkEnd w:id="1304"/>
      <w:bookmarkEnd w:id="1305"/>
    </w:p>
    <w:bookmarkEnd w:id="35"/>
    <w:bookmarkEnd w:id="1299"/>
    <w:bookmarkEnd w:id="1300"/>
    <w:bookmarkEnd w:id="1301"/>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bookmarkStart w:id="1332" w:name="_Toc26066260"/>
      <w:bookmarkStart w:id="1333" w:name="_Toc6727972"/>
      <w:bookmarkStart w:id="1334" w:name="_Toc491658680"/>
      <w:bookmarkStart w:id="1335" w:name="_Toc6397151"/>
      <w:bookmarkStart w:id="1336" w:name="_Toc500861027"/>
      <w:r>
        <w:rPr>
          <w:rFonts w:hint="eastAsia" w:ascii="宋体" w:hAnsi="宋体"/>
          <w:bCs/>
          <w:color w:val="000000" w:themeColor="text1"/>
          <w:highlight w:val="none"/>
          <w14:textFill>
            <w14:solidFill>
              <w14:schemeClr w14:val="tx1"/>
            </w14:solidFill>
          </w14:textFill>
        </w:rPr>
        <w:t>28.1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28.2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28.3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在招标工作结束后，评标委员会成员和参与评标的有关工作人员不得透露与评标有关的情况。</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37" w:name="_Toc331512900"/>
      <w:bookmarkStart w:id="1338" w:name="_Toc336681937"/>
      <w:bookmarkStart w:id="1339" w:name="_Toc339020235"/>
      <w:bookmarkStart w:id="1340" w:name="_Toc336681582"/>
      <w:bookmarkStart w:id="1341" w:name="_Toc332206710"/>
      <w:bookmarkStart w:id="1342" w:name="_Toc345513903"/>
      <w:bookmarkStart w:id="1343" w:name="_Toc333237679"/>
      <w:bookmarkStart w:id="1344" w:name="_Toc340507444"/>
      <w:bookmarkStart w:id="1345" w:name="_Toc350438751"/>
      <w:bookmarkStart w:id="1346" w:name="_Toc349143591"/>
      <w:bookmarkStart w:id="1347" w:name="_Toc342296762"/>
      <w:bookmarkStart w:id="1348" w:name="_Toc332270348"/>
      <w:bookmarkStart w:id="1349" w:name="_Toc374454602"/>
      <w:bookmarkStart w:id="1350" w:name="_Toc349127628"/>
      <w:bookmarkStart w:id="1351" w:name="_Toc340672871"/>
      <w:bookmarkStart w:id="1352" w:name="_Toc339020097"/>
      <w:bookmarkStart w:id="1353" w:name="_Toc342060376"/>
      <w:bookmarkStart w:id="1354" w:name="_Toc339020017"/>
      <w:bookmarkStart w:id="1355" w:name="_Toc365967074"/>
      <w:bookmarkStart w:id="1356" w:name="_Toc333935348"/>
      <w:bookmarkStart w:id="1357" w:name="_Toc365985180"/>
      <w:bookmarkStart w:id="1358" w:name="_Toc330459987"/>
      <w:bookmarkStart w:id="1359" w:name="_Toc333238635"/>
      <w:bookmarkStart w:id="1360" w:name="_Toc337632360"/>
      <w:bookmarkStart w:id="1361" w:name="_Toc339441089"/>
      <w:bookmarkStart w:id="1362" w:name="_Toc366072530"/>
      <w:bookmarkStart w:id="1363" w:name="_Toc341348340"/>
      <w:bookmarkStart w:id="1364" w:name="_Toc35"/>
      <w:bookmarkStart w:id="1365" w:name="_Toc333237790"/>
      <w:bookmarkStart w:id="1366" w:name="_Toc333935689"/>
      <w:bookmarkStart w:id="1367" w:name="_Toc339362302"/>
      <w:bookmarkStart w:id="1368" w:name="_Toc340677072"/>
      <w:bookmarkStart w:id="1369" w:name="_Toc339019891"/>
      <w:bookmarkStart w:id="1370" w:name="_Toc350756452"/>
      <w:bookmarkStart w:id="1371" w:name="_Toc331684040"/>
      <w:r>
        <w:rPr>
          <w:rFonts w:hint="eastAsia"/>
          <w:color w:val="000000" w:themeColor="text1"/>
          <w:highlight w:val="none"/>
          <w14:textFill>
            <w14:solidFill>
              <w14:schemeClr w14:val="tx1"/>
            </w14:solidFill>
          </w14:textFill>
        </w:rPr>
        <w:t>接受和拒绝投标的权利</w:t>
      </w:r>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29</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29.2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72" w:name="_Toc366072531"/>
      <w:bookmarkStart w:id="1373" w:name="_Toc374454603"/>
      <w:bookmarkStart w:id="1374" w:name="_Toc4662"/>
      <w:r>
        <w:rPr>
          <w:rFonts w:hint="eastAsia"/>
          <w:color w:val="000000" w:themeColor="text1"/>
          <w:highlight w:val="none"/>
          <w14:textFill>
            <w14:solidFill>
              <w14:schemeClr w14:val="tx1"/>
            </w14:solidFill>
          </w14:textFill>
        </w:rPr>
        <w:t>发布中标结果公告和发放中标通知书</w:t>
      </w:r>
      <w:bookmarkEnd w:id="1372"/>
      <w:bookmarkEnd w:id="1373"/>
      <w:bookmarkEnd w:id="1374"/>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bookmarkStart w:id="1375" w:name="_Toc366072532"/>
      <w:r>
        <w:rPr>
          <w:rFonts w:hint="eastAsia" w:ascii="宋体" w:hAnsi="宋体"/>
          <w:color w:val="000000" w:themeColor="text1"/>
          <w:szCs w:val="21"/>
          <w:highlight w:val="none"/>
          <w14:textFill>
            <w14:solidFill>
              <w14:schemeClr w14:val="tx1"/>
            </w14:solidFill>
          </w14:textFill>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30.2   中标投标人确认后，中标结果将于指定媒体上公告(</w:t>
      </w:r>
      <w:r>
        <w:rPr>
          <w:rFonts w:hint="eastAsia" w:ascii="黑体" w:eastAsia="黑体"/>
          <w:bCs/>
          <w:color w:val="000000" w:themeColor="text1"/>
          <w:highlight w:val="none"/>
          <w14:textFill>
            <w14:solidFill>
              <w14:schemeClr w14:val="tx1"/>
            </w14:solidFill>
          </w14:textFill>
        </w:rPr>
        <w:t>详见第三部份《投标人须知〈投标人须知前附表〉》</w:t>
      </w:r>
      <w:r>
        <w:rPr>
          <w:rFonts w:hint="eastAsia" w:ascii="宋体" w:hAnsi="宋体"/>
          <w:color w:val="000000" w:themeColor="text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30.4   中标通知书发出后，采购人改变中标结果，或者中标投标人放弃中标，应当承担相应的法律责任。</w:t>
      </w:r>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76" w:name="_Toc374454604"/>
      <w:bookmarkStart w:id="1377" w:name="_Toc16999"/>
      <w:r>
        <w:rPr>
          <w:rFonts w:hint="eastAsia"/>
          <w:color w:val="000000" w:themeColor="text1"/>
          <w:highlight w:val="none"/>
          <w14:textFill>
            <w14:solidFill>
              <w14:schemeClr w14:val="tx1"/>
            </w14:solidFill>
          </w14:textFill>
        </w:rPr>
        <w:t>投标人对中标结果的质疑、投诉</w:t>
      </w:r>
      <w:bookmarkEnd w:id="1375"/>
      <w:bookmarkEnd w:id="1376"/>
      <w:bookmarkEnd w:id="1377"/>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bookmarkStart w:id="1378" w:name="_Toc333237682"/>
      <w:bookmarkStart w:id="1379" w:name="_Toc332270351"/>
      <w:bookmarkStart w:id="1380" w:name="_Toc342296765"/>
      <w:bookmarkStart w:id="1381" w:name="_Toc332206713"/>
      <w:bookmarkStart w:id="1382" w:name="_Toc350438754"/>
      <w:bookmarkStart w:id="1383" w:name="_Toc365967077"/>
      <w:bookmarkStart w:id="1384" w:name="_Toc333237793"/>
      <w:bookmarkStart w:id="1385" w:name="_Toc339362305"/>
      <w:bookmarkStart w:id="1386" w:name="_Toc340507447"/>
      <w:bookmarkStart w:id="1387" w:name="_Toc339020020"/>
      <w:bookmarkStart w:id="1388" w:name="_Toc331684043"/>
      <w:bookmarkStart w:id="1389" w:name="_Toc336681940"/>
      <w:bookmarkStart w:id="1390" w:name="_Toc365985183"/>
      <w:bookmarkStart w:id="1391" w:name="_Toc345513906"/>
      <w:bookmarkStart w:id="1392" w:name="_Toc350756455"/>
      <w:bookmarkStart w:id="1393" w:name="_Toc342060379"/>
      <w:bookmarkStart w:id="1394" w:name="_Toc331512903"/>
      <w:bookmarkStart w:id="1395" w:name="_Toc339020238"/>
      <w:bookmarkStart w:id="1396" w:name="_Toc333238638"/>
      <w:bookmarkStart w:id="1397" w:name="_Toc341348343"/>
      <w:bookmarkStart w:id="1398" w:name="_Toc349143594"/>
      <w:bookmarkStart w:id="1399" w:name="_Toc339020100"/>
      <w:bookmarkStart w:id="1400" w:name="_Toc330459990"/>
      <w:bookmarkStart w:id="1401" w:name="_Toc337632363"/>
      <w:bookmarkStart w:id="1402" w:name="_Toc336681585"/>
      <w:bookmarkStart w:id="1403" w:name="_Toc333935351"/>
      <w:bookmarkStart w:id="1404" w:name="_Toc349127631"/>
      <w:bookmarkStart w:id="1405" w:name="_Toc340677075"/>
      <w:bookmarkStart w:id="1406" w:name="_Toc333935692"/>
      <w:bookmarkStart w:id="1407" w:name="_Toc339019894"/>
      <w:bookmarkStart w:id="1408" w:name="_Toc340672874"/>
      <w:bookmarkStart w:id="1409" w:name="_Toc339441092"/>
      <w:r>
        <w:rPr>
          <w:rFonts w:hint="eastAsia" w:ascii="宋体" w:hAnsi="宋体"/>
          <w:color w:val="000000" w:themeColor="text1"/>
          <w:szCs w:val="21"/>
          <w:highlight w:val="none"/>
          <w14:textFill>
            <w14:solidFill>
              <w14:schemeClr w14:val="tx1"/>
            </w14:solidFill>
          </w14:textFill>
        </w:rPr>
        <w:t>31.1</w:t>
      </w:r>
      <w:r>
        <w:rPr>
          <w:rFonts w:hint="eastAsia" w:ascii="宋体" w:hAnsi="宋体"/>
          <w:color w:val="000000" w:themeColor="text1"/>
          <w:szCs w:val="21"/>
          <w:highlight w:val="none"/>
          <w14:textFill>
            <w14:solidFill>
              <w14:schemeClr w14:val="tx1"/>
            </w14:solidFill>
          </w14:textFill>
        </w:rPr>
        <w:tab/>
      </w:r>
      <w:r>
        <w:rPr>
          <w:rFonts w:hint="eastAsia" w:ascii="宋体" w:hAnsi="宋体"/>
          <w:color w:val="000000" w:themeColor="text1"/>
          <w:szCs w:val="21"/>
          <w:highlight w:val="none"/>
          <w14:textFill>
            <w14:solidFill>
              <w14:schemeClr w14:val="tx1"/>
            </w14:solidFill>
          </w14:textFill>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31.2   采购人或代理采购机构应当在收到</w:t>
      </w:r>
      <w:r>
        <w:rPr>
          <w:rFonts w:hint="eastAsia" w:ascii="宋体" w:hAnsi="宋体"/>
          <w:color w:val="000000" w:themeColor="text1"/>
          <w:szCs w:val="21"/>
          <w:highlight w:val="none"/>
          <w:lang w:eastAsia="zh-CN"/>
          <w14:textFill>
            <w14:solidFill>
              <w14:schemeClr w14:val="tx1"/>
            </w14:solidFill>
          </w14:textFill>
        </w:rPr>
        <w:t>投标</w:t>
      </w:r>
      <w:r>
        <w:rPr>
          <w:rFonts w:hint="eastAsia" w:ascii="宋体" w:hAnsi="宋体"/>
          <w:color w:val="000000" w:themeColor="text1"/>
          <w:szCs w:val="21"/>
          <w:highlight w:val="none"/>
          <w14:textFill>
            <w14:solidFill>
              <w14:schemeClr w14:val="tx1"/>
            </w14:solidFill>
          </w14:textFill>
        </w:rPr>
        <w:t>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31.6   质疑函应当署名。质疑投标人为自然人的，应当由本人签字；质疑投标人为法人或其他组织的，应由法定代表人（负责人）或者主要负责人签字并盖公章。</w:t>
      </w:r>
    </w:p>
    <w:p>
      <w:pPr>
        <w:pStyle w:val="5"/>
        <w:numPr>
          <w:ilvl w:val="0"/>
          <w:numId w:val="0"/>
        </w:numPr>
        <w:rPr>
          <w:color w:val="000000" w:themeColor="text1"/>
          <w:sz w:val="24"/>
          <w:highlight w:val="none"/>
          <w14:textFill>
            <w14:solidFill>
              <w14:schemeClr w14:val="tx1"/>
            </w14:solidFill>
          </w14:textFill>
        </w:rPr>
      </w:pPr>
      <w:bookmarkStart w:id="1410" w:name="_Toc366072533"/>
      <w:bookmarkStart w:id="1411" w:name="_Toc374454605"/>
      <w:r>
        <w:rPr>
          <w:color w:val="000000" w:themeColor="text1"/>
          <w:sz w:val="24"/>
          <w:highlight w:val="none"/>
          <w14:textFill>
            <w14:solidFill>
              <w14:schemeClr w14:val="tx1"/>
            </w14:solidFill>
          </w14:textFill>
        </w:rPr>
        <w:br w:type="page"/>
      </w:r>
      <w:bookmarkStart w:id="1412" w:name="_Toc8522"/>
      <w:r>
        <w:rPr>
          <w:rFonts w:hint="eastAsia"/>
          <w:color w:val="000000" w:themeColor="text1"/>
          <w:sz w:val="24"/>
          <w:highlight w:val="none"/>
          <w14:textFill>
            <w14:solidFill>
              <w14:schemeClr w14:val="tx1"/>
            </w14:solidFill>
          </w14:textFill>
        </w:rPr>
        <w:t>Ｆ  授予合同</w:t>
      </w:r>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p>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413" w:name="_Toc468157555"/>
      <w:bookmarkStart w:id="1414" w:name="_Toc336681586"/>
      <w:bookmarkStart w:id="1415" w:name="_Toc340677076"/>
      <w:bookmarkStart w:id="1416" w:name="_Toc480021072"/>
      <w:bookmarkStart w:id="1417" w:name="_Toc340507448"/>
      <w:bookmarkStart w:id="1418" w:name="_Toc350756456"/>
      <w:bookmarkStart w:id="1419" w:name="_Toc480010727"/>
      <w:bookmarkStart w:id="1420" w:name="_Toc366072534"/>
      <w:bookmarkStart w:id="1421" w:name="_Toc468606048"/>
      <w:bookmarkStart w:id="1422" w:name="_Toc339441093"/>
      <w:bookmarkStart w:id="1423" w:name="_Toc333935693"/>
      <w:bookmarkStart w:id="1424" w:name="_Toc491658670"/>
      <w:bookmarkStart w:id="1425" w:name="_Toc339020239"/>
      <w:bookmarkStart w:id="1426" w:name="_Toc331684044"/>
      <w:bookmarkStart w:id="1427" w:name="_Toc342060380"/>
      <w:bookmarkStart w:id="1428" w:name="_Toc330459991"/>
      <w:bookmarkStart w:id="1429" w:name="_Toc339019895"/>
      <w:bookmarkStart w:id="1430" w:name="_Toc339020101"/>
      <w:bookmarkStart w:id="1431" w:name="_Toc337632364"/>
      <w:bookmarkStart w:id="1432" w:name="_Toc333935352"/>
      <w:bookmarkStart w:id="1433" w:name="_Toc333237683"/>
      <w:bookmarkStart w:id="1434" w:name="_Toc479991601"/>
      <w:bookmarkStart w:id="1435" w:name="_Toc333238639"/>
      <w:bookmarkStart w:id="1436" w:name="_Toc331512904"/>
      <w:bookmarkStart w:id="1437" w:name="_Toc340672875"/>
      <w:bookmarkStart w:id="1438" w:name="_Toc336681941"/>
      <w:bookmarkStart w:id="1439" w:name="_Toc365985184"/>
      <w:bookmarkStart w:id="1440" w:name="_Toc480020276"/>
      <w:bookmarkStart w:id="1441" w:name="_Toc339020021"/>
      <w:bookmarkStart w:id="1442" w:name="_Toc339362306"/>
      <w:bookmarkStart w:id="1443" w:name="_Toc333237794"/>
      <w:bookmarkStart w:id="1444" w:name="_Toc345513907"/>
      <w:bookmarkStart w:id="1445" w:name="_Toc349127632"/>
      <w:bookmarkStart w:id="1446" w:name="_Toc365967078"/>
      <w:bookmarkStart w:id="1447" w:name="_Toc341348344"/>
      <w:bookmarkStart w:id="1448" w:name="_Toc349143595"/>
      <w:bookmarkStart w:id="1449" w:name="_Toc3631"/>
      <w:bookmarkStart w:id="1450" w:name="_Toc500861016"/>
      <w:bookmarkStart w:id="1451" w:name="_Toc350438755"/>
      <w:bookmarkStart w:id="1452" w:name="_Toc374454606"/>
      <w:bookmarkStart w:id="1453" w:name="_Toc342296766"/>
      <w:bookmarkStart w:id="1454" w:name="_Toc332270352"/>
      <w:bookmarkStart w:id="1455" w:name="_Toc467236759"/>
      <w:bookmarkStart w:id="1456" w:name="_Toc467987842"/>
      <w:bookmarkStart w:id="1457" w:name="_Toc332206714"/>
      <w:bookmarkStart w:id="1458" w:name="_Toc454701400"/>
      <w:bookmarkStart w:id="1459" w:name="_Toc458262633"/>
      <w:r>
        <w:rPr>
          <w:rFonts w:hint="eastAsia"/>
          <w:color w:val="000000" w:themeColor="text1"/>
          <w:highlight w:val="none"/>
          <w14:textFill>
            <w14:solidFill>
              <w14:schemeClr w14:val="tx1"/>
            </w14:solidFill>
          </w14:textFill>
        </w:rPr>
        <w:t>合同授予标准</w:t>
      </w:r>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p>
    <w:p>
      <w:pPr>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2</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按第30条规定，采购人将把合同授予此次招标的中标投标人。</w:t>
      </w:r>
    </w:p>
    <w:bookmarkEnd w:id="1458"/>
    <w:bookmarkEnd w:id="1459"/>
    <w:p>
      <w:pPr>
        <w:pStyle w:val="7"/>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460" w:name="_Toc480021076"/>
      <w:bookmarkStart w:id="1461" w:name="_Toc332206715"/>
      <w:bookmarkStart w:id="1462" w:name="_Toc500861020"/>
      <w:bookmarkStart w:id="1463" w:name="_Toc340677077"/>
      <w:bookmarkStart w:id="1464" w:name="_Toc333237684"/>
      <w:bookmarkStart w:id="1465" w:name="_Toc345513908"/>
      <w:bookmarkStart w:id="1466" w:name="_Toc349143596"/>
      <w:bookmarkStart w:id="1467" w:name="_Toc479991605"/>
      <w:bookmarkStart w:id="1468" w:name="_Toc339441094"/>
      <w:bookmarkStart w:id="1469" w:name="_Toc366072535"/>
      <w:bookmarkStart w:id="1470" w:name="_Toc339019896"/>
      <w:bookmarkStart w:id="1471" w:name="_Toc333237795"/>
      <w:bookmarkStart w:id="1472" w:name="_Toc458262635"/>
      <w:bookmarkStart w:id="1473" w:name="_Toc339362307"/>
      <w:bookmarkStart w:id="1474" w:name="_Toc330459992"/>
      <w:bookmarkStart w:id="1475" w:name="_Toc349127633"/>
      <w:bookmarkStart w:id="1476" w:name="_Toc467987846"/>
      <w:bookmarkStart w:id="1477" w:name="_Toc340672876"/>
      <w:bookmarkStart w:id="1478" w:name="_Toc480010731"/>
      <w:bookmarkStart w:id="1479" w:name="_Toc365985185"/>
      <w:bookmarkStart w:id="1480" w:name="_Toc468157559"/>
      <w:bookmarkStart w:id="1481" w:name="_Toc350438756"/>
      <w:bookmarkStart w:id="1482" w:name="_Toc339020102"/>
      <w:bookmarkStart w:id="1483" w:name="_Toc332270353"/>
      <w:bookmarkStart w:id="1484" w:name="_Toc480020280"/>
      <w:bookmarkStart w:id="1485" w:name="_Toc333935353"/>
      <w:bookmarkStart w:id="1486" w:name="_Toc336681587"/>
      <w:bookmarkStart w:id="1487" w:name="_Toc454701402"/>
      <w:bookmarkStart w:id="1488" w:name="_Toc342060381"/>
      <w:bookmarkStart w:id="1489" w:name="_Toc365967079"/>
      <w:bookmarkStart w:id="1490" w:name="_Toc341348345"/>
      <w:bookmarkStart w:id="1491" w:name="_Toc467236763"/>
      <w:bookmarkStart w:id="1492" w:name="_Toc331684045"/>
      <w:bookmarkStart w:id="1493" w:name="_Toc25343"/>
      <w:bookmarkStart w:id="1494" w:name="_Toc342296767"/>
      <w:bookmarkStart w:id="1495" w:name="_Toc340507449"/>
      <w:bookmarkStart w:id="1496" w:name="_Toc350756457"/>
      <w:bookmarkStart w:id="1497" w:name="_Toc331512905"/>
      <w:bookmarkStart w:id="1498" w:name="_Toc333935694"/>
      <w:bookmarkStart w:id="1499" w:name="_Toc339020240"/>
      <w:bookmarkStart w:id="1500" w:name="_Toc468606052"/>
      <w:bookmarkStart w:id="1501" w:name="_Toc337632365"/>
      <w:bookmarkStart w:id="1502" w:name="_Toc339020022"/>
      <w:bookmarkStart w:id="1503" w:name="_Toc333238640"/>
      <w:bookmarkStart w:id="1504" w:name="_Toc374454607"/>
      <w:bookmarkStart w:id="1505" w:name="_Toc336681942"/>
      <w:bookmarkStart w:id="1506" w:name="_Toc491658674"/>
      <w:r>
        <w:rPr>
          <w:rFonts w:hint="eastAsia"/>
          <w:color w:val="000000" w:themeColor="text1"/>
          <w:highlight w:val="none"/>
          <w14:textFill>
            <w14:solidFill>
              <w14:schemeClr w14:val="tx1"/>
            </w14:solidFill>
          </w14:textFill>
        </w:rPr>
        <w:t>签订合同</w:t>
      </w:r>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bookmarkStart w:id="1507" w:name="_Toc383069738"/>
      <w:bookmarkStart w:id="1508" w:name="_Toc374093632"/>
      <w:bookmarkStart w:id="1509" w:name="_Toc378261823"/>
      <w:bookmarkStart w:id="1510" w:name="_Toc367095382"/>
      <w:bookmarkStart w:id="1511" w:name="_Toc366681897"/>
      <w:bookmarkStart w:id="1512" w:name="_Toc370983962"/>
      <w:bookmarkStart w:id="1513" w:name="_Toc370309169"/>
      <w:bookmarkStart w:id="1514" w:name="_Toc377129068"/>
      <w:bookmarkStart w:id="1515" w:name="_Toc379896705"/>
      <w:bookmarkStart w:id="1516" w:name="_Toc372209289"/>
      <w:bookmarkStart w:id="1517" w:name="_Toc369700990"/>
      <w:bookmarkStart w:id="1518" w:name="_Toc366072536"/>
      <w:bookmarkStart w:id="1519" w:name="_Toc373401413"/>
      <w:bookmarkStart w:id="1520" w:name="_Toc374454608"/>
      <w:bookmarkStart w:id="1521" w:name="_Toc349127634"/>
      <w:bookmarkStart w:id="1522" w:name="_Toc350756458"/>
      <w:bookmarkStart w:id="1523" w:name="_Toc336681943"/>
      <w:bookmarkStart w:id="1524" w:name="_Toc333935354"/>
      <w:bookmarkStart w:id="1525" w:name="_Toc330459993"/>
      <w:bookmarkStart w:id="1526" w:name="_Toc336681588"/>
      <w:bookmarkStart w:id="1527" w:name="_Toc331684046"/>
      <w:bookmarkStart w:id="1528" w:name="_Toc340672877"/>
      <w:bookmarkStart w:id="1529" w:name="_Toc365985186"/>
      <w:bookmarkStart w:id="1530" w:name="_Toc342296768"/>
      <w:bookmarkStart w:id="1531" w:name="_Toc345513909"/>
      <w:bookmarkStart w:id="1532" w:name="_Toc331512906"/>
      <w:bookmarkStart w:id="1533" w:name="_Toc339020103"/>
      <w:bookmarkStart w:id="1534" w:name="_Toc339020241"/>
      <w:bookmarkStart w:id="1535" w:name="_Toc365967080"/>
      <w:bookmarkStart w:id="1536" w:name="_Toc332270354"/>
      <w:bookmarkStart w:id="1537" w:name="_Toc341348346"/>
      <w:bookmarkStart w:id="1538" w:name="_Toc339362308"/>
      <w:bookmarkStart w:id="1539" w:name="_Toc333935695"/>
      <w:bookmarkStart w:id="1540" w:name="_Toc342060382"/>
      <w:bookmarkStart w:id="1541" w:name="_Toc340507450"/>
      <w:bookmarkStart w:id="1542" w:name="_Toc333238641"/>
      <w:bookmarkStart w:id="1543" w:name="_Toc339019897"/>
      <w:bookmarkStart w:id="1544" w:name="_Toc350438757"/>
      <w:bookmarkStart w:id="1545" w:name="_Toc339441095"/>
      <w:bookmarkStart w:id="1546" w:name="_Toc349143597"/>
      <w:bookmarkStart w:id="1547" w:name="_Toc333237796"/>
      <w:bookmarkStart w:id="1548" w:name="_Toc339020023"/>
      <w:bookmarkStart w:id="1549" w:name="_Toc337632366"/>
      <w:bookmarkStart w:id="1550" w:name="_Toc332206716"/>
      <w:bookmarkStart w:id="1551" w:name="_Toc333237685"/>
      <w:bookmarkStart w:id="1552" w:name="_Toc340677078"/>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3</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3</w:t>
      </w: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 xml:space="preserve">33.3   </w:t>
      </w:r>
      <w:r>
        <w:rPr>
          <w:rFonts w:ascii="宋体" w:hAnsi="宋体"/>
          <w:bCs/>
          <w:color w:val="000000" w:themeColor="text1"/>
          <w:highlight w:val="none"/>
          <w14:textFill>
            <w14:solidFill>
              <w14:schemeClr w14:val="tx1"/>
            </w14:solidFill>
          </w14:textFill>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000000" w:themeColor="text1"/>
          <w:highlight w:val="none"/>
          <w14:textFill>
            <w14:solidFill>
              <w14:schemeClr w14:val="tx1"/>
            </w14:solidFill>
          </w14:textFill>
        </w:rPr>
        <w:t>。</w:t>
      </w: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p>
      <w:pPr>
        <w:pStyle w:val="5"/>
        <w:numPr>
          <w:ilvl w:val="0"/>
          <w:numId w:val="0"/>
        </w:numPr>
        <w:rPr>
          <w:color w:val="000000" w:themeColor="text1"/>
          <w:sz w:val="24"/>
          <w:highlight w:val="none"/>
          <w14:textFill>
            <w14:solidFill>
              <w14:schemeClr w14:val="tx1"/>
            </w14:solidFill>
          </w14:textFill>
        </w:rPr>
      </w:pPr>
      <w:bookmarkStart w:id="1553" w:name="_Toc432682726"/>
      <w:bookmarkStart w:id="1554" w:name="_Toc10627"/>
      <w:bookmarkStart w:id="1555" w:name="_Toc430771059"/>
      <w:bookmarkStart w:id="1556" w:name="_Toc468157562"/>
      <w:bookmarkStart w:id="1557" w:name="_Toc479991608"/>
      <w:bookmarkStart w:id="1558" w:name="_Toc480021079"/>
      <w:bookmarkStart w:id="1559" w:name="_Toc491658677"/>
      <w:bookmarkStart w:id="1560" w:name="_Toc480010734"/>
      <w:bookmarkStart w:id="1561" w:name="_Toc500861024"/>
      <w:bookmarkStart w:id="1562" w:name="_Toc480020283"/>
      <w:bookmarkStart w:id="1563" w:name="_Toc467987849"/>
      <w:bookmarkStart w:id="1564" w:name="_Toc467236766"/>
      <w:bookmarkStart w:id="1565" w:name="_Toc468606055"/>
      <w:r>
        <w:rPr>
          <w:color w:val="000000" w:themeColor="text1"/>
          <w:sz w:val="24"/>
          <w:highlight w:val="none"/>
          <w14:textFill>
            <w14:solidFill>
              <w14:schemeClr w14:val="tx1"/>
            </w14:solidFill>
          </w14:textFill>
        </w:rPr>
        <w:t>G</w:t>
      </w:r>
      <w:r>
        <w:rPr>
          <w:rFonts w:hint="eastAsia"/>
          <w:color w:val="000000" w:themeColor="text1"/>
          <w:sz w:val="24"/>
          <w:highlight w:val="none"/>
          <w14:textFill>
            <w14:solidFill>
              <w14:schemeClr w14:val="tx1"/>
            </w14:solidFill>
          </w14:textFill>
        </w:rPr>
        <w:t>、政府采购政策</w:t>
      </w:r>
      <w:bookmarkEnd w:id="1553"/>
      <w:bookmarkEnd w:id="1554"/>
      <w:bookmarkEnd w:id="1555"/>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66" w:name="_Toc430771060"/>
      <w:bookmarkStart w:id="1567" w:name="_Toc430185803"/>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14:textFill>
            <w14:solidFill>
              <w14:schemeClr w14:val="tx1"/>
            </w14:solidFill>
          </w14:textFill>
        </w:rPr>
        <w:t xml:space="preserve">     </w:t>
      </w:r>
      <w:bookmarkStart w:id="1568" w:name="_Hlk499217741"/>
      <w:r>
        <w:rPr>
          <w:rFonts w:hint="eastAsia" w:ascii="宋体" w:hAnsi="宋体" w:eastAsia="宋体" w:cs="宋体"/>
          <w:color w:val="000000" w:themeColor="text1"/>
          <w:highlight w:val="none"/>
          <w14:textFill>
            <w14:solidFill>
              <w14:schemeClr w14:val="tx1"/>
            </w14:solidFill>
          </w14:textFill>
        </w:rPr>
        <w:t>若没有明示采购进口产品的，则视为采购产品为非进口产品（进口产品指中国海关验放进入中国境内且产自关境外的产品）。</w:t>
      </w:r>
      <w:bookmarkEnd w:id="1566"/>
      <w:bookmarkEnd w:id="1567"/>
      <w:bookmarkEnd w:id="1568"/>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69" w:name="_Toc430771061"/>
      <w:bookmarkStart w:id="1570" w:name="_Toc430185804"/>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eastAsia="宋体" w:cs="宋体"/>
          <w:color w:val="000000" w:themeColor="text1"/>
          <w:highlight w:val="none"/>
          <w14:textFill>
            <w14:solidFill>
              <w14:schemeClr w14:val="tx1"/>
            </w14:solidFill>
          </w14:textFill>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69"/>
      <w:bookmarkEnd w:id="1570"/>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71" w:name="_Toc430185805"/>
      <w:bookmarkStart w:id="1572" w:name="_Toc430771062"/>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6</w:t>
      </w:r>
      <w:r>
        <w:rPr>
          <w:rFonts w:hint="eastAsia" w:ascii="宋体" w:hAnsi="宋体" w:eastAsia="宋体" w:cs="宋体"/>
          <w:color w:val="000000" w:themeColor="text1"/>
          <w:highlight w:val="none"/>
          <w14:textFill>
            <w14:solidFill>
              <w14:schemeClr w14:val="tx1"/>
            </w14:solidFill>
          </w14:textFill>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http://www.ccgp.gov.cn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/）、国家环境保护总局网（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http://www.sepa.gov.cn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/）、中国绿色采购网（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"http://www.cgpn.cn"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http://www.cgpn.cn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/）上发布。</w:t>
      </w:r>
      <w:bookmarkEnd w:id="1571"/>
      <w:bookmarkEnd w:id="1572"/>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73" w:name="_Toc430771063"/>
      <w:bookmarkStart w:id="1574" w:name="_Toc430185806"/>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7</w:t>
      </w:r>
      <w:r>
        <w:rPr>
          <w:rFonts w:hint="eastAsia" w:ascii="宋体" w:hAnsi="宋体" w:eastAsia="宋体" w:cs="宋体"/>
          <w:color w:val="000000" w:themeColor="text1"/>
          <w:highlight w:val="none"/>
          <w14:textFill>
            <w14:solidFill>
              <w14:schemeClr w14:val="tx1"/>
            </w14:solidFill>
          </w14:textFill>
        </w:rPr>
        <w:t xml:space="preserve">     根据《关于印发《政府采购促进中小企业发展管理方法》的通知》（财库[2020]46号）的规定，投标人投标时需注意：</w:t>
      </w:r>
      <w:bookmarkEnd w:id="1573"/>
      <w:bookmarkEnd w:id="1574"/>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highlight w:val="none"/>
          <w:lang w:val="en-US" w:eastAsia="zh-CN"/>
          <w14:textFill>
            <w14:solidFill>
              <w14:schemeClr w14:val="tx1"/>
            </w14:solidFill>
          </w14:textFill>
        </w:rPr>
      </w:pPr>
      <w:r>
        <w:rPr>
          <w:rFonts w:hint="eastAsia" w:ascii="宋体" w:hAnsi="宋体" w:eastAsia="宋体" w:cs="宋体"/>
          <w:bCs/>
          <w:color w:val="000000" w:themeColor="text1"/>
          <w:highlight w:val="none"/>
          <w:lang w:val="en-US" w:eastAsia="zh-CN"/>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lang w:val="en-US" w:eastAsia="zh-CN"/>
          <w14:textFill>
            <w14:solidFill>
              <w14:schemeClr w14:val="tx1"/>
            </w14:solidFill>
          </w14:textFill>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3</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7</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5</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14:textFill>
            <w14:solidFill>
              <w14:schemeClr w14:val="tx1"/>
            </w14:solidFill>
          </w14:textFill>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p>
    <w:tbl>
      <w:tblPr>
        <w:tblStyle w:val="46"/>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评标价=总投标报价-小型和微型企业产品的价格×</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对联合体总金额扣除</w:t>
            </w:r>
            <w:r>
              <w:rPr>
                <w:rFonts w:hint="eastAsia" w:ascii="宋体" w:hAnsi="宋体" w:cs="宋体"/>
                <w:color w:val="000000" w:themeColor="text1"/>
                <w:szCs w:val="21"/>
                <w:highlight w:val="none"/>
                <w:u w:val="single"/>
                <w:lang w:val="en-US" w:eastAsia="zh-CN"/>
                <w14:textFill>
                  <w14:solidFill>
                    <w14:schemeClr w14:val="tx1"/>
                  </w14:solidFill>
                </w14:textFill>
              </w:rPr>
              <w:t>4</w:t>
            </w:r>
            <w:r>
              <w:rPr>
                <w:rFonts w:hint="eastAsia" w:ascii="宋体" w:hAnsi="宋体" w:eastAsia="宋体" w:cs="宋体"/>
                <w:color w:val="000000" w:themeColor="text1"/>
                <w:szCs w:val="21"/>
                <w:highlight w:val="none"/>
                <w:u w:val="single"/>
                <w14:textFill>
                  <w14:solidFill>
                    <w14:schemeClr w14:val="tx1"/>
                  </w14:solidFill>
                </w14:textFill>
              </w:rPr>
              <w:t>%</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w:t>
            </w:r>
            <w:r>
              <w:rPr>
                <w:rFonts w:hint="eastAsia" w:ascii="宋体" w:hAnsi="宋体" w:eastAsia="宋体" w:cs="宋体"/>
                <w:color w:val="000000" w:themeColor="text1"/>
                <w:szCs w:val="21"/>
                <w:highlight w:val="none"/>
                <w:u w:val="single"/>
                <w14:textFill>
                  <w14:solidFill>
                    <w14:schemeClr w14:val="tx1"/>
                  </w14:solidFill>
                </w14:textFill>
              </w:rPr>
              <w:t>1-</w:t>
            </w:r>
            <w:r>
              <w:rPr>
                <w:rFonts w:hint="eastAsia" w:ascii="宋体" w:hAnsi="宋体" w:cs="宋体"/>
                <w:color w:val="000000" w:themeColor="text1"/>
                <w:szCs w:val="21"/>
                <w:highlight w:val="none"/>
                <w:u w:val="single"/>
                <w:lang w:val="en-US" w:eastAsia="zh-CN"/>
                <w14:textFill>
                  <w14:solidFill>
                    <w14:schemeClr w14:val="tx1"/>
                  </w14:solidFill>
                </w14:textFill>
              </w:rPr>
              <w:t>4</w:t>
            </w:r>
            <w:r>
              <w:rPr>
                <w:rFonts w:hint="eastAsia" w:ascii="宋体" w:hAnsi="宋体" w:eastAsia="宋体" w:cs="宋体"/>
                <w:color w:val="000000" w:themeColor="text1"/>
                <w:szCs w:val="21"/>
                <w:highlight w:val="none"/>
                <w:u w:val="singl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w:t>
            </w:r>
          </w:p>
        </w:tc>
      </w:tr>
    </w:tbl>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pStyle w:val="5"/>
        <w:numPr>
          <w:ilvl w:val="0"/>
          <w:numId w:val="0"/>
        </w:numPr>
        <w:rPr>
          <w:color w:val="000000" w:themeColor="text1"/>
          <w:sz w:val="24"/>
          <w:highlight w:val="none"/>
          <w14:textFill>
            <w14:solidFill>
              <w14:schemeClr w14:val="tx1"/>
            </w14:solidFill>
          </w14:textFill>
        </w:rPr>
      </w:pPr>
      <w:bookmarkStart w:id="1575" w:name="_Toc206"/>
      <w:r>
        <w:rPr>
          <w:rFonts w:hint="eastAsia"/>
          <w:color w:val="000000" w:themeColor="text1"/>
          <w:sz w:val="24"/>
          <w:highlight w:val="none"/>
          <w14:textFill>
            <w14:solidFill>
              <w14:schemeClr w14:val="tx1"/>
            </w14:solidFill>
          </w14:textFill>
        </w:rPr>
        <w:t>H、评标细则</w:t>
      </w:r>
      <w:bookmarkEnd w:id="1575"/>
    </w:p>
    <w:p>
      <w:pPr>
        <w:pStyle w:val="24"/>
        <w:widowControl/>
        <w:tabs>
          <w:tab w:val="left" w:pos="753"/>
        </w:tabs>
        <w:adjustRightInd w:val="0"/>
        <w:snapToGrid w:val="0"/>
        <w:spacing w:line="360" w:lineRule="auto"/>
        <w:ind w:left="752" w:hanging="751" w:hangingChars="358"/>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采用计分法（综合评价法）来确定各投标人的排名。其操作程序为：</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根据招标文件和评标原则，按下表（评价指标和权重表）所列评价指标和各评价指标的权重进行评标。</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color w:val="000000" w:themeColor="text1"/>
          <w:sz w:val="21"/>
          <w:highlight w:val="none"/>
          <w14:textFill>
            <w14:solidFill>
              <w14:schemeClr w14:val="tx1"/>
            </w14:solidFill>
          </w14:textFill>
        </w:rPr>
        <w:t>经济价格得分评审办法：以满足招标文件要求且投标报价最低的投标报价为评标基准价，其价格分为满分。</w:t>
      </w:r>
      <w:r>
        <w:rPr>
          <w:rFonts w:hint="eastAsia" w:ascii="宋体" w:hAnsi="宋体" w:eastAsia="宋体"/>
          <w:bCs/>
          <w:color w:val="000000" w:themeColor="text1"/>
          <w:sz w:val="21"/>
          <w:highlight w:val="none"/>
          <w14:textFill>
            <w14:solidFill>
              <w14:schemeClr w14:val="tx1"/>
            </w14:solidFill>
          </w14:textFill>
        </w:rPr>
        <w:t>经济价格标得分＝(评标基准价/投标报价)×价格指标权重×100。</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由评委独立地根据各项指标的评价标准，结合每个投标人的实际情况，分别就投标报价以外的各项指标对每个投标人独立打分。</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技术部分和商务部分得分结果为全部评委评价指标评分的算术平均值。</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将所有评价指标所得实际评价分数相加，即为该投标人的综合得分。</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评标委员会将推荐综合得分最高的投标人为该项目的中标候选人。</w:t>
      </w: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评价指标及权重：</w:t>
      </w:r>
    </w:p>
    <w:p>
      <w:pPr>
        <w:rPr>
          <w:color w:val="000000" w:themeColor="text1"/>
          <w:highlight w:val="none"/>
          <w14:textFill>
            <w14:solidFill>
              <w14:schemeClr w14:val="tx1"/>
            </w14:solidFill>
          </w14:textFill>
        </w:rPr>
      </w:pPr>
    </w:p>
    <w:tbl>
      <w:tblPr>
        <w:tblStyle w:val="46"/>
        <w:tblW w:w="8521" w:type="dxa"/>
        <w:jc w:val="center"/>
        <w:tblLayout w:type="fixed"/>
        <w:tblCellMar>
          <w:top w:w="0" w:type="dxa"/>
          <w:left w:w="0" w:type="dxa"/>
          <w:bottom w:w="0" w:type="dxa"/>
          <w:right w:w="0" w:type="dxa"/>
        </w:tblCellMar>
      </w:tblPr>
      <w:tblGrid>
        <w:gridCol w:w="2443"/>
        <w:gridCol w:w="2913"/>
        <w:gridCol w:w="3165"/>
      </w:tblGrid>
      <w:tr>
        <w:tblPrEx>
          <w:tblCellMar>
            <w:top w:w="0" w:type="dxa"/>
            <w:left w:w="0" w:type="dxa"/>
            <w:bottom w:w="0" w:type="dxa"/>
            <w:right w:w="0" w:type="dxa"/>
          </w:tblCellMar>
        </w:tblPrEx>
        <w:trPr>
          <w:trHeight w:val="400" w:hRule="atLeast"/>
          <w:jc w:val="center"/>
        </w:trPr>
        <w:tc>
          <w:tcPr>
            <w:tcW w:w="24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评分项目</w:t>
            </w:r>
          </w:p>
        </w:tc>
        <w:tc>
          <w:tcPr>
            <w:tcW w:w="2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技术评分</w:t>
            </w:r>
          </w:p>
        </w:tc>
        <w:tc>
          <w:tcPr>
            <w:tcW w:w="316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商务评分</w:t>
            </w:r>
          </w:p>
        </w:tc>
      </w:tr>
      <w:tr>
        <w:tblPrEx>
          <w:tblCellMar>
            <w:top w:w="0" w:type="dxa"/>
            <w:left w:w="0" w:type="dxa"/>
            <w:bottom w:w="0" w:type="dxa"/>
            <w:right w:w="0" w:type="dxa"/>
          </w:tblCellMar>
        </w:tblPrEx>
        <w:trPr>
          <w:trHeight w:val="400" w:hRule="atLeast"/>
          <w:jc w:val="center"/>
        </w:trPr>
        <w:tc>
          <w:tcPr>
            <w:tcW w:w="24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分值</w:t>
            </w:r>
          </w:p>
        </w:tc>
        <w:tc>
          <w:tcPr>
            <w:tcW w:w="2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60</w:t>
            </w:r>
            <w:r>
              <w:rPr>
                <w:rFonts w:hint="eastAsia" w:ascii="宋体" w:hAnsi="宋体" w:eastAsia="宋体" w:cs="宋体"/>
                <w:color w:val="000000" w:themeColor="text1"/>
                <w:kern w:val="0"/>
                <w:sz w:val="21"/>
                <w:szCs w:val="21"/>
                <w:highlight w:val="none"/>
                <w14:textFill>
                  <w14:solidFill>
                    <w14:schemeClr w14:val="tx1"/>
                  </w14:solidFill>
                </w14:textFill>
              </w:rPr>
              <w:t>分</w:t>
            </w:r>
          </w:p>
        </w:tc>
        <w:tc>
          <w:tcPr>
            <w:tcW w:w="316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40</w:t>
            </w:r>
            <w:r>
              <w:rPr>
                <w:rFonts w:hint="eastAsia" w:ascii="宋体" w:hAnsi="宋体" w:eastAsia="宋体" w:cs="宋体"/>
                <w:color w:val="000000" w:themeColor="text1"/>
                <w:kern w:val="0"/>
                <w:sz w:val="21"/>
                <w:szCs w:val="21"/>
                <w:highlight w:val="none"/>
                <w14:textFill>
                  <w14:solidFill>
                    <w14:schemeClr w14:val="tx1"/>
                  </w14:solidFill>
                </w14:textFill>
              </w:rPr>
              <w:t>分</w:t>
            </w:r>
          </w:p>
        </w:tc>
      </w:tr>
    </w:tbl>
    <w:p>
      <w:pPr>
        <w:rPr>
          <w:color w:val="000000" w:themeColor="text1"/>
          <w:highlight w:val="none"/>
          <w14:textFill>
            <w14:solidFill>
              <w14:schemeClr w14:val="tx1"/>
            </w14:solidFill>
          </w14:textFill>
        </w:rPr>
      </w:pPr>
    </w:p>
    <w:bookmarkEnd w:id="1556"/>
    <w:bookmarkEnd w:id="1557"/>
    <w:bookmarkEnd w:id="1558"/>
    <w:bookmarkEnd w:id="1559"/>
    <w:bookmarkEnd w:id="1560"/>
    <w:bookmarkEnd w:id="1561"/>
    <w:bookmarkEnd w:id="1562"/>
    <w:bookmarkEnd w:id="1563"/>
    <w:bookmarkEnd w:id="1564"/>
    <w:bookmarkEnd w:id="1565"/>
    <w:p>
      <w:pPr>
        <w:rPr>
          <w:color w:val="000000" w:themeColor="text1"/>
          <w:highlight w:val="none"/>
          <w14:textFill>
            <w14:solidFill>
              <w14:schemeClr w14:val="tx1"/>
            </w14:solidFill>
          </w14:textFill>
        </w:rPr>
      </w:pPr>
      <w:bookmarkStart w:id="1576" w:name="_Toc339020104"/>
      <w:bookmarkStart w:id="1577" w:name="_Toc340507451"/>
      <w:bookmarkStart w:id="1578" w:name="_Toc336681944"/>
      <w:bookmarkStart w:id="1579" w:name="_Toc336681589"/>
      <w:bookmarkStart w:id="1580" w:name="_Toc333237686"/>
      <w:bookmarkStart w:id="1581" w:name="_Toc333238642"/>
      <w:bookmarkStart w:id="1582" w:name="_Toc339441096"/>
      <w:bookmarkStart w:id="1583" w:name="_Toc339020024"/>
      <w:bookmarkStart w:id="1584" w:name="_Toc333935696"/>
      <w:bookmarkStart w:id="1585" w:name="_Toc333935355"/>
      <w:bookmarkStart w:id="1586" w:name="_Toc350438758"/>
      <w:bookmarkStart w:id="1587" w:name="_Toc333237797"/>
      <w:bookmarkStart w:id="1588" w:name="_Toc339362309"/>
      <w:bookmarkStart w:id="1589" w:name="_Toc365985187"/>
      <w:bookmarkStart w:id="1590" w:name="_Toc330459994"/>
      <w:bookmarkStart w:id="1591" w:name="_Toc345513910"/>
      <w:bookmarkStart w:id="1592" w:name="_Toc340677079"/>
      <w:bookmarkStart w:id="1593" w:name="_Toc332206717"/>
      <w:bookmarkStart w:id="1594" w:name="_Toc341348347"/>
      <w:bookmarkStart w:id="1595" w:name="_Toc339019898"/>
      <w:bookmarkStart w:id="1596" w:name="_Toc349127635"/>
      <w:bookmarkStart w:id="1597" w:name="_Toc366072538"/>
      <w:bookmarkStart w:id="1598" w:name="_Toc350756459"/>
      <w:bookmarkStart w:id="1599" w:name="_Toc337632367"/>
      <w:bookmarkStart w:id="1600" w:name="_Toc374454610"/>
      <w:bookmarkStart w:id="1601" w:name="_Toc331512907"/>
      <w:bookmarkStart w:id="1602" w:name="_Toc332270355"/>
      <w:bookmarkStart w:id="1603" w:name="_Toc365967081"/>
      <w:bookmarkStart w:id="1604" w:name="_Toc349143598"/>
      <w:bookmarkStart w:id="1605" w:name="_Toc342060383"/>
      <w:bookmarkStart w:id="1606" w:name="_Toc340672878"/>
      <w:bookmarkStart w:id="1607" w:name="_Toc339020242"/>
      <w:bookmarkStart w:id="1608" w:name="_Toc342296769"/>
      <w:bookmarkStart w:id="1609" w:name="_Toc331684047"/>
      <w:r>
        <w:rPr>
          <w:rFonts w:hint="eastAsia"/>
          <w:color w:val="000000" w:themeColor="text1"/>
          <w:highlight w:val="none"/>
          <w14:textFill>
            <w14:solidFill>
              <w14:schemeClr w14:val="tx1"/>
            </w14:solidFill>
          </w14:textFill>
        </w:rPr>
        <w:t>技术评分细则：</w:t>
      </w:r>
    </w:p>
    <w:tbl>
      <w:tblPr>
        <w:tblStyle w:val="46"/>
        <w:tblW w:w="96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937"/>
        <w:gridCol w:w="2300"/>
        <w:gridCol w:w="5733"/>
        <w:gridCol w:w="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38" w:hRule="atLeast"/>
          <w:jc w:val="center"/>
        </w:trPr>
        <w:tc>
          <w:tcPr>
            <w:tcW w:w="937" w:type="dxa"/>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项目</w:t>
            </w:r>
          </w:p>
        </w:tc>
        <w:tc>
          <w:tcPr>
            <w:tcW w:w="2300" w:type="dxa"/>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评审指标</w:t>
            </w:r>
          </w:p>
        </w:tc>
        <w:tc>
          <w:tcPr>
            <w:tcW w:w="5733" w:type="dxa"/>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评分说明</w:t>
            </w:r>
          </w:p>
        </w:tc>
        <w:tc>
          <w:tcPr>
            <w:tcW w:w="728" w:type="dxa"/>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38" w:hRule="atLeast"/>
          <w:jc w:val="center"/>
        </w:trPr>
        <w:tc>
          <w:tcPr>
            <w:tcW w:w="937" w:type="dxa"/>
            <w:vMerge w:val="restart"/>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服务能力</w:t>
            </w:r>
            <w:r>
              <w:rPr>
                <w:rFonts w:hint="eastAsia" w:ascii="宋体" w:hAnsi="宋体" w:eastAsia="宋体" w:cs="宋体"/>
                <w:color w:val="000000" w:themeColor="text1"/>
                <w:kern w:val="0"/>
                <w:sz w:val="21"/>
                <w:szCs w:val="21"/>
                <w:highlight w:val="none"/>
                <w14:textFill>
                  <w14:solidFill>
                    <w14:schemeClr w14:val="tx1"/>
                  </w14:solidFill>
                </w14:textFill>
              </w:rPr>
              <w:t>（</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 w:val="21"/>
                <w:szCs w:val="21"/>
                <w:highlight w:val="none"/>
                <w14:textFill>
                  <w14:solidFill>
                    <w14:schemeClr w14:val="tx1"/>
                  </w14:solidFill>
                </w14:textFill>
              </w:rPr>
              <w:t>%）</w:t>
            </w:r>
          </w:p>
        </w:tc>
        <w:tc>
          <w:tcPr>
            <w:tcW w:w="2300"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1.</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服务承诺</w:t>
            </w:r>
          </w:p>
        </w:tc>
        <w:tc>
          <w:tcPr>
            <w:tcW w:w="5733"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配备有资质的专职驻点人员负责区级财政统发工资及直接支付等相关业务。</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满足所有要求的，得满分；有任何一项不满足的，得0分。满分为100分。（本小项满分为100分，最终得分×本小项权重比例）</w:t>
            </w:r>
          </w:p>
        </w:tc>
        <w:tc>
          <w:tcPr>
            <w:tcW w:w="728"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3</w:t>
            </w:r>
            <w:r>
              <w:rPr>
                <w:rFonts w:hint="eastAsia" w:ascii="宋体" w:hAnsi="宋体" w:eastAsia="宋体" w:cs="宋体"/>
                <w:color w:val="000000" w:themeColor="text1"/>
                <w:kern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90" w:hRule="atLeast"/>
          <w:jc w:val="center"/>
        </w:trPr>
        <w:tc>
          <w:tcPr>
            <w:tcW w:w="937" w:type="dxa"/>
            <w:vMerge w:val="continue"/>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pPr>
          </w:p>
        </w:tc>
        <w:tc>
          <w:tcPr>
            <w:tcW w:w="2300" w:type="dxa"/>
            <w:shd w:val="clear" w:color="auto" w:fill="auto"/>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both"/>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2.服务方案</w:t>
            </w:r>
          </w:p>
        </w:tc>
        <w:tc>
          <w:tcPr>
            <w:tcW w:w="5733" w:type="dxa"/>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1.投标人服务实施方案合理高效、组织结构完善、代发服务区域网点与柜员机数量分布广、具有良好的服务体验和满意度得100分；</w:t>
            </w:r>
          </w:p>
          <w:p>
            <w:pPr>
              <w:pStyle w:val="2"/>
              <w:keepNext w:val="0"/>
              <w:keepLines w:val="0"/>
              <w:pageBreakBefore w:val="0"/>
              <w:kinsoku/>
              <w:wordWrap/>
              <w:overflowPunct/>
              <w:topLinePunct w:val="0"/>
              <w:autoSpaceDE/>
              <w:autoSpaceDN/>
              <w:bidi w:val="0"/>
              <w:adjustRightInd/>
              <w:snapToGrid/>
              <w:spacing w:line="320" w:lineRule="exact"/>
              <w:ind w:left="0" w:leftChars="0" w:firstLine="0" w:firstLineChars="0"/>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2.投标人服务实施方案较合理、组织结构较完善、代发服务区域网点与柜员机数量分布一般、服务体验和满意度一般得90分；</w:t>
            </w:r>
          </w:p>
          <w:p>
            <w:pPr>
              <w:pStyle w:val="2"/>
              <w:keepNext w:val="0"/>
              <w:keepLines w:val="0"/>
              <w:pageBreakBefore w:val="0"/>
              <w:kinsoku/>
              <w:wordWrap/>
              <w:overflowPunct/>
              <w:topLinePunct w:val="0"/>
              <w:autoSpaceDE/>
              <w:autoSpaceDN/>
              <w:bidi w:val="0"/>
              <w:adjustRightInd/>
              <w:snapToGrid/>
              <w:spacing w:line="320" w:lineRule="exact"/>
              <w:ind w:left="0" w:leftChars="0" w:firstLine="0" w:firstLineChars="0"/>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3.投标人服务实施方案基本合理、组织结构基本完整、代发服务区域网点与柜员机数量分布少、服务体验和满意度低得80分；</w:t>
            </w:r>
          </w:p>
          <w:p>
            <w:pPr>
              <w:pStyle w:val="2"/>
              <w:keepNext w:val="0"/>
              <w:keepLines w:val="0"/>
              <w:pageBreakBefore w:val="0"/>
              <w:kinsoku/>
              <w:wordWrap/>
              <w:overflowPunct/>
              <w:topLinePunct w:val="0"/>
              <w:autoSpaceDE/>
              <w:autoSpaceDN/>
              <w:bidi w:val="0"/>
              <w:adjustRightInd/>
              <w:snapToGrid/>
              <w:spacing w:line="320" w:lineRule="exact"/>
              <w:ind w:left="0" w:leftChars="0" w:firstLine="0" w:firstLineChars="0"/>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（本小项满分为100分，最终得分</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×本小项权重比例）</w:t>
            </w:r>
          </w:p>
        </w:tc>
        <w:tc>
          <w:tcPr>
            <w:tcW w:w="728"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3</w:t>
            </w:r>
            <w:r>
              <w:rPr>
                <w:rFonts w:hint="eastAsia" w:ascii="宋体" w:hAnsi="宋体" w:eastAsia="宋体" w:cs="宋体"/>
                <w:color w:val="000000" w:themeColor="text1"/>
                <w:kern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38" w:hRule="atLeast"/>
          <w:jc w:val="center"/>
        </w:trPr>
        <w:tc>
          <w:tcPr>
            <w:tcW w:w="937" w:type="dxa"/>
            <w:vMerge w:val="continue"/>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pPr>
          </w:p>
        </w:tc>
        <w:tc>
          <w:tcPr>
            <w:tcW w:w="2300" w:type="dxa"/>
            <w:shd w:val="clear" w:color="auto" w:fill="auto"/>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both"/>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3.技术保障</w:t>
            </w:r>
          </w:p>
        </w:tc>
        <w:tc>
          <w:tcPr>
            <w:tcW w:w="5733"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具备满足区级财政统发工资业务和直接支付业务需要的资金汇划清算系统，保证资金汇划和结算的准确性、及时性，具备高效的应急处理和纠错措施，保证资金汇划系统和内部网络的安全性，并承诺自身网络安全问题方面的有关责任具备先进的信息反馈系统，能够及时、全面、准确地反馈财政收付业务信息。</w:t>
            </w:r>
          </w:p>
          <w:p>
            <w:pPr>
              <w:pStyle w:val="2"/>
              <w:keepNext w:val="0"/>
              <w:keepLines w:val="0"/>
              <w:pageBreakBefore w:val="0"/>
              <w:kinsoku/>
              <w:wordWrap/>
              <w:overflowPunct/>
              <w:topLinePunct w:val="0"/>
              <w:autoSpaceDE/>
              <w:autoSpaceDN/>
              <w:bidi w:val="0"/>
              <w:adjustRightInd/>
              <w:snapToGrid/>
              <w:spacing w:line="320" w:lineRule="exact"/>
              <w:ind w:left="0" w:leftChars="0" w:firstLine="0" w:firstLineChars="0"/>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满足所有要求的，得满分；有任何一项不满足的，得0分。满分为100分。（本小项满分为100分，最终得分×本小项权重比例）</w:t>
            </w:r>
          </w:p>
        </w:tc>
        <w:tc>
          <w:tcPr>
            <w:tcW w:w="728"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3</w:t>
            </w:r>
            <w:r>
              <w:rPr>
                <w:rFonts w:hint="eastAsia" w:ascii="宋体" w:hAnsi="宋体" w:eastAsia="宋体" w:cs="宋体"/>
                <w:color w:val="000000" w:themeColor="text1"/>
                <w:kern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38" w:hRule="atLeast"/>
          <w:jc w:val="center"/>
        </w:trPr>
        <w:tc>
          <w:tcPr>
            <w:tcW w:w="937" w:type="dxa"/>
            <w:vMerge w:val="continue"/>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pPr>
          </w:p>
        </w:tc>
        <w:tc>
          <w:tcPr>
            <w:tcW w:w="2300" w:type="dxa"/>
            <w:shd w:val="clear" w:color="auto" w:fill="auto"/>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both"/>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4.制度保障和风险控制</w:t>
            </w:r>
          </w:p>
        </w:tc>
        <w:tc>
          <w:tcPr>
            <w:tcW w:w="5733"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1.投标人管理体系、监督机制严谨规范、突发事件应急预案合理可行的得100分；</w:t>
            </w:r>
          </w:p>
          <w:p>
            <w:pPr>
              <w:pStyle w:val="2"/>
              <w:keepNext w:val="0"/>
              <w:keepLines w:val="0"/>
              <w:pageBreakBefore w:val="0"/>
              <w:kinsoku/>
              <w:wordWrap/>
              <w:overflowPunct/>
              <w:topLinePunct w:val="0"/>
              <w:autoSpaceDE/>
              <w:autoSpaceDN/>
              <w:bidi w:val="0"/>
              <w:adjustRightInd/>
              <w:snapToGrid/>
              <w:spacing w:line="320" w:lineRule="exact"/>
              <w:ind w:left="0" w:leftChars="0" w:firstLine="0" w:firstLineChars="0"/>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2.投标人管理体系、监督机制合理、突发事件应急预案较合理可行的得90分；</w:t>
            </w:r>
          </w:p>
          <w:p>
            <w:pPr>
              <w:pStyle w:val="2"/>
              <w:keepNext w:val="0"/>
              <w:keepLines w:val="0"/>
              <w:pageBreakBefore w:val="0"/>
              <w:kinsoku/>
              <w:wordWrap/>
              <w:overflowPunct/>
              <w:topLinePunct w:val="0"/>
              <w:autoSpaceDE/>
              <w:autoSpaceDN/>
              <w:bidi w:val="0"/>
              <w:adjustRightInd/>
              <w:snapToGrid/>
              <w:spacing w:line="320" w:lineRule="exact"/>
              <w:ind w:left="0" w:leftChars="0" w:firstLine="0" w:firstLineChars="0"/>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3.投标人管理体系、监督机制基本规范、突发事件应急预案基本可行的得80分；</w:t>
            </w:r>
          </w:p>
          <w:p>
            <w:pPr>
              <w:pStyle w:val="2"/>
              <w:keepNext w:val="0"/>
              <w:keepLines w:val="0"/>
              <w:pageBreakBefore w:val="0"/>
              <w:kinsoku/>
              <w:wordWrap/>
              <w:overflowPunct/>
              <w:topLinePunct w:val="0"/>
              <w:autoSpaceDE/>
              <w:autoSpaceDN/>
              <w:bidi w:val="0"/>
              <w:adjustRightInd/>
              <w:snapToGrid/>
              <w:spacing w:line="320" w:lineRule="exact"/>
              <w:ind w:left="0" w:leftChars="0" w:firstLine="0" w:firstLineChars="0"/>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（本小项满分为100分，最终得分×本小项权重比例）</w:t>
            </w:r>
          </w:p>
        </w:tc>
        <w:tc>
          <w:tcPr>
            <w:tcW w:w="728"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3</w:t>
            </w:r>
            <w:r>
              <w:rPr>
                <w:rFonts w:hint="eastAsia" w:ascii="宋体" w:hAnsi="宋体" w:eastAsia="宋体" w:cs="宋体"/>
                <w:color w:val="000000" w:themeColor="text1"/>
                <w:kern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38" w:hRule="atLeast"/>
          <w:jc w:val="center"/>
        </w:trPr>
        <w:tc>
          <w:tcPr>
            <w:tcW w:w="937" w:type="dxa"/>
            <w:vMerge w:val="continue"/>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pPr>
          </w:p>
        </w:tc>
        <w:tc>
          <w:tcPr>
            <w:tcW w:w="2300" w:type="dxa"/>
            <w:shd w:val="clear" w:color="auto" w:fill="auto"/>
            <w:tcMar>
              <w:top w:w="15" w:type="dxa"/>
              <w:left w:w="15" w:type="dxa"/>
              <w:right w:w="15" w:type="dxa"/>
            </w:tcMar>
            <w:vAlign w:val="center"/>
          </w:tcPr>
          <w:p>
            <w:pPr>
              <w:keepNext w:val="0"/>
              <w:keepLines w:val="0"/>
              <w:pageBreakBefore w:val="0"/>
              <w:widowControl/>
              <w:numPr>
                <w:ilvl w:val="0"/>
                <w:numId w:val="0"/>
              </w:numPr>
              <w:kinsoku/>
              <w:wordWrap/>
              <w:overflowPunct/>
              <w:topLinePunct w:val="0"/>
              <w:autoSpaceDE/>
              <w:autoSpaceDN/>
              <w:bidi w:val="0"/>
              <w:adjustRightInd/>
              <w:snapToGrid/>
              <w:spacing w:line="320" w:lineRule="exact"/>
              <w:jc w:val="left"/>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5</w:t>
            </w:r>
            <w:r>
              <w:rPr>
                <w:rFonts w:hint="eastAsia" w:ascii="宋体" w:hAnsi="宋体" w:eastAsia="宋体" w:cs="宋体"/>
                <w:color w:val="000000" w:themeColor="text1"/>
                <w:kern w:val="0"/>
                <w:sz w:val="21"/>
                <w:szCs w:val="21"/>
                <w:highlight w:val="none"/>
                <w14:textFill>
                  <w14:solidFill>
                    <w14:schemeClr w14:val="tx1"/>
                  </w14:solidFill>
                </w14:textFill>
              </w:rPr>
              <w:t>.营业网点数量，截止2022年12月31日投标人在</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海陵</w:t>
            </w:r>
            <w:r>
              <w:rPr>
                <w:rFonts w:hint="eastAsia" w:ascii="宋体" w:hAnsi="宋体" w:eastAsia="宋体" w:cs="宋体"/>
                <w:color w:val="000000" w:themeColor="text1"/>
                <w:kern w:val="0"/>
                <w:sz w:val="21"/>
                <w:szCs w:val="21"/>
                <w:highlight w:val="none"/>
                <w14:textFill>
                  <w14:solidFill>
                    <w14:schemeClr w14:val="tx1"/>
                  </w14:solidFill>
                </w14:textFill>
              </w:rPr>
              <w:t>区区域内营业网点数量。</w:t>
            </w:r>
          </w:p>
        </w:tc>
        <w:tc>
          <w:tcPr>
            <w:tcW w:w="5733" w:type="dxa"/>
            <w:shd w:val="clear" w:color="auto" w:fill="auto"/>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320" w:lineRule="exact"/>
              <w:ind w:left="0" w:leftChars="0" w:firstLine="0" w:firstLineChars="0"/>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按投标人在海陵区区域内网点数量排序得分：2个及以上为优，得满分；1个为良，得80分；0个不得分。（每个网点均需提供当地银监部门颁发的有效的《金融许可证》视为有效网点）（本小项满分为100分，最终得分×本小项权重比例）</w:t>
            </w:r>
          </w:p>
        </w:tc>
        <w:tc>
          <w:tcPr>
            <w:tcW w:w="728"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38" w:hRule="atLeast"/>
          <w:jc w:val="center"/>
        </w:trPr>
        <w:tc>
          <w:tcPr>
            <w:tcW w:w="937" w:type="dxa"/>
            <w:vMerge w:val="continue"/>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pPr>
          </w:p>
        </w:tc>
        <w:tc>
          <w:tcPr>
            <w:tcW w:w="2300" w:type="dxa"/>
            <w:shd w:val="clear" w:color="auto" w:fill="auto"/>
            <w:tcMar>
              <w:top w:w="15" w:type="dxa"/>
              <w:left w:w="15" w:type="dxa"/>
              <w:right w:w="15" w:type="dxa"/>
            </w:tcMar>
            <w:vAlign w:val="center"/>
          </w:tcPr>
          <w:p>
            <w:pPr>
              <w:keepNext w:val="0"/>
              <w:keepLines w:val="0"/>
              <w:pageBreakBefore w:val="0"/>
              <w:widowControl/>
              <w:numPr>
                <w:ilvl w:val="0"/>
                <w:numId w:val="0"/>
              </w:numPr>
              <w:kinsoku/>
              <w:wordWrap/>
              <w:overflowPunct/>
              <w:topLinePunct w:val="0"/>
              <w:autoSpaceDE/>
              <w:autoSpaceDN/>
              <w:bidi w:val="0"/>
              <w:adjustRightInd/>
              <w:snapToGrid/>
              <w:spacing w:line="320" w:lineRule="exact"/>
              <w:jc w:val="left"/>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6.近三年代理海陵区财政局国库业务经验。</w:t>
            </w:r>
          </w:p>
        </w:tc>
        <w:tc>
          <w:tcPr>
            <w:tcW w:w="5733" w:type="dxa"/>
            <w:shd w:val="clear" w:color="auto" w:fill="auto"/>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320" w:lineRule="exact"/>
              <w:ind w:left="0" w:leftChars="0" w:firstLine="0" w:firstLineChars="0"/>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商业银行代理的海陵区财政局国库业务主要包括：</w:t>
            </w:r>
          </w:p>
          <w:p>
            <w:pPr>
              <w:pStyle w:val="2"/>
              <w:keepNext w:val="0"/>
              <w:keepLines w:val="0"/>
              <w:pageBreakBefore w:val="0"/>
              <w:kinsoku/>
              <w:wordWrap/>
              <w:overflowPunct/>
              <w:topLinePunct w:val="0"/>
              <w:autoSpaceDE/>
              <w:autoSpaceDN/>
              <w:bidi w:val="0"/>
              <w:adjustRightInd/>
              <w:snapToGrid/>
              <w:spacing w:line="320" w:lineRule="exact"/>
              <w:ind w:left="0" w:leftChars="0" w:firstLine="0" w:firstLineChars="0"/>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财政授权支付、财政直接支付、财政统发工资、非税收缴四项。以近三年投标人代理的上述业务项目数量评分，每项得25分，四项为满分。（不同年份的相同项目不重复计分，须提供相关合同文本或文件资料，不提供不得分）（本小项满分为100分，最终得分X本小项权重比例）</w:t>
            </w:r>
          </w:p>
        </w:tc>
        <w:tc>
          <w:tcPr>
            <w:tcW w:w="728"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4</w:t>
            </w:r>
            <w:r>
              <w:rPr>
                <w:rFonts w:hint="eastAsia" w:ascii="宋体" w:hAnsi="宋体" w:eastAsia="宋体" w:cs="宋体"/>
                <w:color w:val="000000" w:themeColor="text1"/>
                <w:kern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1187" w:hRule="atLeast"/>
          <w:jc w:val="center"/>
        </w:trPr>
        <w:tc>
          <w:tcPr>
            <w:tcW w:w="937" w:type="dxa"/>
            <w:vMerge w:val="restart"/>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经营状况（4</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0</w:t>
            </w:r>
            <w:r>
              <w:rPr>
                <w:rFonts w:hint="eastAsia" w:ascii="宋体" w:hAnsi="宋体" w:eastAsia="宋体" w:cs="宋体"/>
                <w:color w:val="000000" w:themeColor="text1"/>
                <w:kern w:val="0"/>
                <w:sz w:val="21"/>
                <w:szCs w:val="21"/>
                <w:highlight w:val="none"/>
                <w14:textFill>
                  <w14:solidFill>
                    <w14:schemeClr w14:val="tx1"/>
                  </w14:solidFill>
                </w14:textFill>
              </w:rPr>
              <w:t>%）</w:t>
            </w:r>
          </w:p>
        </w:tc>
        <w:tc>
          <w:tcPr>
            <w:tcW w:w="2300"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1.各项贷款, 截止</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2022</w:t>
            </w:r>
            <w:r>
              <w:rPr>
                <w:rFonts w:hint="eastAsia" w:ascii="宋体" w:hAnsi="宋体" w:eastAsia="宋体" w:cs="宋体"/>
                <w:color w:val="000000" w:themeColor="text1"/>
                <w:kern w:val="0"/>
                <w:sz w:val="21"/>
                <w:szCs w:val="21"/>
                <w:highlight w:val="none"/>
                <w14:textFill>
                  <w14:solidFill>
                    <w14:schemeClr w14:val="tx1"/>
                  </w14:solidFill>
                </w14:textFill>
              </w:rPr>
              <w:t>年12月31日投标人的各项贷款余额。</w:t>
            </w:r>
          </w:p>
        </w:tc>
        <w:tc>
          <w:tcPr>
            <w:tcW w:w="5733"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各项贷款余额最高者得满分，投标人之间横向对比评分，数值相对最高者每低1个百分点扣1分，满分为100分。（本小项满分为100分，最终得分</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×本小项权重比例）</w:t>
            </w:r>
          </w:p>
        </w:tc>
        <w:tc>
          <w:tcPr>
            <w:tcW w:w="728"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10</w:t>
            </w:r>
            <w:r>
              <w:rPr>
                <w:rFonts w:hint="eastAsia" w:ascii="宋体" w:hAnsi="宋体" w:eastAsia="宋体" w:cs="宋体"/>
                <w:color w:val="000000" w:themeColor="text1"/>
                <w:kern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1314" w:hRule="atLeast"/>
          <w:jc w:val="center"/>
        </w:trPr>
        <w:tc>
          <w:tcPr>
            <w:tcW w:w="937" w:type="dxa"/>
            <w:vMerge w:val="continue"/>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rPr>
                <w:rFonts w:hint="eastAsia" w:ascii="宋体" w:hAnsi="宋体" w:eastAsia="宋体" w:cs="宋体"/>
                <w:i w:val="0"/>
                <w:color w:val="000000" w:themeColor="text1"/>
                <w:sz w:val="21"/>
                <w:szCs w:val="21"/>
                <w:highlight w:val="none"/>
                <w:u w:val="none"/>
                <w14:textFill>
                  <w14:solidFill>
                    <w14:schemeClr w14:val="tx1"/>
                  </w14:solidFill>
                </w14:textFill>
              </w:rPr>
            </w:pPr>
          </w:p>
        </w:tc>
        <w:tc>
          <w:tcPr>
            <w:tcW w:w="2300"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2.各项存款，截止20</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22</w:t>
            </w:r>
            <w:r>
              <w:rPr>
                <w:rFonts w:hint="eastAsia" w:ascii="宋体" w:hAnsi="宋体" w:eastAsia="宋体" w:cs="宋体"/>
                <w:color w:val="000000" w:themeColor="text1"/>
                <w:kern w:val="0"/>
                <w:sz w:val="21"/>
                <w:szCs w:val="21"/>
                <w:highlight w:val="none"/>
                <w14:textFill>
                  <w14:solidFill>
                    <w14:schemeClr w14:val="tx1"/>
                  </w14:solidFill>
                </w14:textFill>
              </w:rPr>
              <w:t>年12月31日投标人的存款余额。</w:t>
            </w:r>
          </w:p>
        </w:tc>
        <w:tc>
          <w:tcPr>
            <w:tcW w:w="5733"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各项存款总额最高者得满分，投标人之间横向对比评分，数值相对最高者每低1个百分点扣1分，满分为100分。（本小项满分为100分，最终得分×本小项权重比例）</w:t>
            </w:r>
          </w:p>
        </w:tc>
        <w:tc>
          <w:tcPr>
            <w:tcW w:w="728"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10</w:t>
            </w:r>
            <w:r>
              <w:rPr>
                <w:rFonts w:hint="eastAsia" w:ascii="宋体" w:hAnsi="宋体" w:eastAsia="宋体" w:cs="宋体"/>
                <w:color w:val="000000" w:themeColor="text1"/>
                <w:kern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048" w:hRule="atLeast"/>
          <w:jc w:val="center"/>
        </w:trPr>
        <w:tc>
          <w:tcPr>
            <w:tcW w:w="937" w:type="dxa"/>
            <w:vMerge w:val="continue"/>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rPr>
                <w:rFonts w:hint="eastAsia" w:ascii="宋体" w:hAnsi="宋体" w:eastAsia="宋体" w:cs="宋体"/>
                <w:i w:val="0"/>
                <w:color w:val="000000" w:themeColor="text1"/>
                <w:sz w:val="21"/>
                <w:szCs w:val="21"/>
                <w:highlight w:val="none"/>
                <w:u w:val="none"/>
                <w14:textFill>
                  <w14:solidFill>
                    <w14:schemeClr w14:val="tx1"/>
                  </w14:solidFill>
                </w14:textFill>
              </w:rPr>
            </w:pPr>
          </w:p>
        </w:tc>
        <w:tc>
          <w:tcPr>
            <w:tcW w:w="2300"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3.不良贷款率，截止2022年12月31日投标人的不良贷款率（不良贷款余额/各项贷款）。</w:t>
            </w:r>
          </w:p>
        </w:tc>
        <w:tc>
          <w:tcPr>
            <w:tcW w:w="5733"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2022年年末不良贷款率为0.5%及以下的得满分；高于0.5%，低于1%的得80分；高于1%（含1%）的得60分。</w:t>
            </w:r>
          </w:p>
          <w:p>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（本小项满分为100分，最终得分</w:t>
            </w:r>
            <w:r>
              <w:rPr>
                <w:rFonts w:hint="eastAsia" w:ascii="宋体" w:hAnsi="宋体" w:eastAsia="宋体" w:cs="宋体"/>
                <w:color w:val="000000" w:themeColor="text1"/>
                <w:kern w:val="0"/>
                <w:sz w:val="21"/>
                <w:szCs w:val="21"/>
                <w:highlight w:val="none"/>
                <w14:textFill>
                  <w14:solidFill>
                    <w14:schemeClr w14:val="tx1"/>
                  </w14:solidFill>
                </w14:textFill>
              </w:rPr>
              <w:t>×本小项权重比例）</w:t>
            </w:r>
          </w:p>
        </w:tc>
        <w:tc>
          <w:tcPr>
            <w:tcW w:w="728"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10</w:t>
            </w:r>
            <w:r>
              <w:rPr>
                <w:rFonts w:hint="eastAsia" w:ascii="宋体" w:hAnsi="宋体" w:eastAsia="宋体" w:cs="宋体"/>
                <w:color w:val="000000" w:themeColor="text1"/>
                <w:kern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1231" w:hRule="atLeast"/>
          <w:jc w:val="center"/>
        </w:trPr>
        <w:tc>
          <w:tcPr>
            <w:tcW w:w="937" w:type="dxa"/>
            <w:vMerge w:val="continue"/>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left"/>
              <w:rPr>
                <w:rFonts w:hint="eastAsia" w:ascii="宋体" w:hAnsi="宋体" w:eastAsia="宋体" w:cs="宋体"/>
                <w:i w:val="0"/>
                <w:color w:val="000000" w:themeColor="text1"/>
                <w:sz w:val="21"/>
                <w:szCs w:val="21"/>
                <w:highlight w:val="none"/>
                <w:u w:val="none"/>
                <w14:textFill>
                  <w14:solidFill>
                    <w14:schemeClr w14:val="tx1"/>
                  </w14:solidFill>
                </w14:textFill>
              </w:rPr>
            </w:pPr>
          </w:p>
        </w:tc>
        <w:tc>
          <w:tcPr>
            <w:tcW w:w="2300"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color w:val="000000" w:themeColor="text1"/>
                <w:sz w:val="21"/>
                <w:szCs w:val="21"/>
                <w:highlight w:val="none"/>
                <w:u w:val="none"/>
                <w:lang w:val="en-US"/>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4.阳江市银行业机构综合评级。</w:t>
            </w:r>
          </w:p>
        </w:tc>
        <w:tc>
          <w:tcPr>
            <w:tcW w:w="5733"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202</w:t>
            </w:r>
            <w:r>
              <w:rPr>
                <w:rFonts w:hint="eastAsia" w:ascii="宋体" w:hAnsi="宋体" w:cs="宋体"/>
                <w:color w:val="000000" w:themeColor="text1"/>
                <w:kern w:val="0"/>
                <w:sz w:val="21"/>
                <w:szCs w:val="21"/>
                <w:highlight w:val="none"/>
                <w:lang w:val="en-US" w:eastAsia="zh-CN"/>
                <w14:textFill>
                  <w14:solidFill>
                    <w14:schemeClr w14:val="tx1"/>
                  </w14:solidFill>
                </w14:textFill>
              </w:rPr>
              <w:t>2</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年度阳江市银行业机构综合评级为A得满分，B+得50分，B-得0分。（以中国人民银行阳江市中心支行评级通报文件为准）（本小项满分为100分，最终得分×本小项权重比例）</w:t>
            </w:r>
          </w:p>
        </w:tc>
        <w:tc>
          <w:tcPr>
            <w:tcW w:w="728"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color w:val="000000" w:themeColor="text1"/>
                <w:sz w:val="21"/>
                <w:szCs w:val="21"/>
                <w:highlight w:val="none"/>
                <w:u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10</w:t>
            </w:r>
            <w:r>
              <w:rPr>
                <w:rFonts w:hint="eastAsia" w:ascii="宋体" w:hAnsi="宋体" w:eastAsia="宋体" w:cs="宋体"/>
                <w:color w:val="000000" w:themeColor="text1"/>
                <w:kern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67" w:hRule="atLeast"/>
          <w:jc w:val="center"/>
        </w:trPr>
        <w:tc>
          <w:tcPr>
            <w:tcW w:w="8970" w:type="dxa"/>
            <w:gridSpan w:val="3"/>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t>合计</w:t>
            </w:r>
          </w:p>
        </w:tc>
        <w:tc>
          <w:tcPr>
            <w:tcW w:w="728" w:type="dxa"/>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60%</w:t>
            </w:r>
          </w:p>
        </w:tc>
      </w:tr>
    </w:tbl>
    <w:p>
      <w:pPr>
        <w:spacing w:line="360" w:lineRule="auto"/>
        <w:rPr>
          <w:color w:val="000000" w:themeColor="text1"/>
          <w:highlight w:val="none"/>
          <w14:textFill>
            <w14:solidFill>
              <w14:schemeClr w14:val="tx1"/>
            </w14:solidFill>
          </w14:textFill>
        </w:rPr>
      </w:pPr>
    </w:p>
    <w:p>
      <w:pPr>
        <w:spacing w:line="360" w:lineRule="auto"/>
        <w:rPr>
          <w:rFonts w:hint="eastAsia"/>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商务</w:t>
      </w:r>
      <w:r>
        <w:rPr>
          <w:rFonts w:hint="eastAsia"/>
          <w:color w:val="000000" w:themeColor="text1"/>
          <w:highlight w:val="none"/>
          <w14:textFill>
            <w14:solidFill>
              <w14:schemeClr w14:val="tx1"/>
            </w14:solidFill>
          </w14:textFill>
        </w:rPr>
        <w:t>评</w:t>
      </w:r>
      <w:r>
        <w:rPr>
          <w:color w:val="000000" w:themeColor="text1"/>
          <w:highlight w:val="none"/>
          <w14:textFill>
            <w14:solidFill>
              <w14:schemeClr w14:val="tx1"/>
            </w14:solidFill>
          </w14:textFill>
        </w:rPr>
        <w:t>分</w:t>
      </w:r>
      <w:r>
        <w:rPr>
          <w:rFonts w:hint="eastAsia"/>
          <w:color w:val="000000" w:themeColor="text1"/>
          <w:highlight w:val="none"/>
          <w14:textFill>
            <w14:solidFill>
              <w14:schemeClr w14:val="tx1"/>
            </w14:solidFill>
          </w14:textFill>
        </w:rPr>
        <w:t>细则</w:t>
      </w:r>
      <w:r>
        <w:rPr>
          <w:rFonts w:hint="eastAsia"/>
          <w:color w:val="000000" w:themeColor="text1"/>
          <w:highlight w:val="none"/>
          <w:lang w:eastAsia="zh-CN"/>
          <w14:textFill>
            <w14:solidFill>
              <w14:schemeClr w14:val="tx1"/>
            </w14:solidFill>
          </w14:textFill>
        </w:rPr>
        <w:t>：</w:t>
      </w:r>
    </w:p>
    <w:tbl>
      <w:tblPr>
        <w:tblStyle w:val="46"/>
        <w:tblW w:w="97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1"/>
        <w:gridCol w:w="2322"/>
        <w:gridCol w:w="5735"/>
        <w:gridCol w:w="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5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0"/>
                <w:sz w:val="21"/>
                <w:szCs w:val="21"/>
                <w:highlight w:val="none"/>
                <w14:textFill>
                  <w14:solidFill>
                    <w14:schemeClr w14:val="tx1"/>
                  </w14:solidFill>
                </w14:textFill>
              </w:rPr>
            </w:pPr>
            <w:bookmarkStart w:id="1610" w:name="RANGE!A1:D18"/>
            <w:r>
              <w:rPr>
                <w:rFonts w:hint="eastAsia" w:ascii="宋体" w:hAnsi="宋体" w:eastAsia="宋体" w:cs="宋体"/>
                <w:color w:val="000000" w:themeColor="text1"/>
                <w:kern w:val="0"/>
                <w:sz w:val="21"/>
                <w:szCs w:val="21"/>
                <w:highlight w:val="none"/>
                <w14:textFill>
                  <w14:solidFill>
                    <w14:schemeClr w14:val="tx1"/>
                  </w14:solidFill>
                </w14:textFill>
              </w:rPr>
              <w:t>项目</w:t>
            </w:r>
            <w:bookmarkEnd w:id="1610"/>
          </w:p>
        </w:tc>
        <w:tc>
          <w:tcPr>
            <w:tcW w:w="232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评审指标</w:t>
            </w:r>
          </w:p>
        </w:tc>
        <w:tc>
          <w:tcPr>
            <w:tcW w:w="573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评分说明</w:t>
            </w:r>
          </w:p>
        </w:tc>
        <w:tc>
          <w:tcPr>
            <w:tcW w:w="74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jc w:val="center"/>
        </w:trPr>
        <w:tc>
          <w:tcPr>
            <w:tcW w:w="95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对当地经济及财政工作的支持</w:t>
            </w:r>
            <w:r>
              <w:rPr>
                <w:rFonts w:hint="eastAsia" w:ascii="宋体" w:hAnsi="宋体" w:eastAsia="宋体" w:cs="宋体"/>
                <w:color w:val="000000" w:themeColor="text1"/>
                <w:kern w:val="0"/>
                <w:sz w:val="21"/>
                <w:szCs w:val="21"/>
                <w:highlight w:val="none"/>
                <w14:textFill>
                  <w14:solidFill>
                    <w14:schemeClr w14:val="tx1"/>
                  </w14:solidFill>
                </w14:textFill>
              </w:rPr>
              <w:t>（</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40</w:t>
            </w:r>
            <w:r>
              <w:rPr>
                <w:rFonts w:hint="eastAsia" w:ascii="宋体" w:hAnsi="宋体" w:eastAsia="宋体" w:cs="宋体"/>
                <w:color w:val="000000" w:themeColor="text1"/>
                <w:kern w:val="0"/>
                <w:sz w:val="21"/>
                <w:szCs w:val="21"/>
                <w:highlight w:val="none"/>
                <w14:textFill>
                  <w14:solidFill>
                    <w14:schemeClr w14:val="tx1"/>
                  </w14:solidFill>
                </w14:textFill>
              </w:rPr>
              <w:t>%）</w:t>
            </w:r>
          </w:p>
        </w:tc>
        <w:tc>
          <w:tcPr>
            <w:tcW w:w="232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1.</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优惠存款利率承诺，投标人承诺给予的优惠存款利率政策。</w:t>
            </w:r>
          </w:p>
        </w:tc>
        <w:tc>
          <w:tcPr>
            <w:tcW w:w="573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投标人承诺在符合国家利率政策的基础上，给予纳入统发工资的干部职工在代理银行开立的工资存款账户最优惠存款利率。承诺即得满分，不承诺不得分。（需提供书面承诺书）</w:t>
            </w:r>
          </w:p>
        </w:tc>
        <w:tc>
          <w:tcPr>
            <w:tcW w:w="74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8</w:t>
            </w:r>
            <w:r>
              <w:rPr>
                <w:rFonts w:hint="eastAsia" w:ascii="宋体" w:hAnsi="宋体" w:eastAsia="宋体" w:cs="宋体"/>
                <w:color w:val="000000" w:themeColor="text1"/>
                <w:kern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4" w:hRule="atLeast"/>
          <w:jc w:val="center"/>
        </w:trPr>
        <w:tc>
          <w:tcPr>
            <w:tcW w:w="95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kern w:val="0"/>
                <w:sz w:val="21"/>
                <w:szCs w:val="21"/>
                <w:highlight w:val="none"/>
                <w14:textFill>
                  <w14:solidFill>
                    <w14:schemeClr w14:val="tx1"/>
                  </w14:solidFill>
                </w14:textFill>
              </w:rPr>
            </w:pPr>
          </w:p>
        </w:tc>
        <w:tc>
          <w:tcPr>
            <w:tcW w:w="232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2.</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存款利率优惠服务方案。</w:t>
            </w:r>
          </w:p>
        </w:tc>
        <w:tc>
          <w:tcPr>
            <w:tcW w:w="57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投标人给予纳入统发工资的干部职工在代理银行开立的工资存款账户优惠利率方案，方案内容具有：</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1.利率优惠幅度；</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2.可操作性、便捷性服务方案；</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3.不具有金额门槛；</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4.未设置其他门槛性条件。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服务方案全部满足得100分，满足两项以上（含两项）得70分，其他情况得50分。（本小项满分为100分，最终得分×本小项权重比例）</w:t>
            </w:r>
          </w:p>
        </w:tc>
        <w:tc>
          <w:tcPr>
            <w:tcW w:w="74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8</w:t>
            </w:r>
            <w:r>
              <w:rPr>
                <w:rFonts w:hint="eastAsia" w:ascii="宋体" w:hAnsi="宋体" w:eastAsia="宋体" w:cs="宋体"/>
                <w:color w:val="000000" w:themeColor="text1"/>
                <w:kern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8" w:hRule="atLeast"/>
          <w:jc w:val="center"/>
        </w:trPr>
        <w:tc>
          <w:tcPr>
            <w:tcW w:w="95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kern w:val="0"/>
                <w:sz w:val="21"/>
                <w:szCs w:val="21"/>
                <w:highlight w:val="none"/>
                <w14:textFill>
                  <w14:solidFill>
                    <w14:schemeClr w14:val="tx1"/>
                  </w14:solidFill>
                </w14:textFill>
              </w:rPr>
            </w:pPr>
          </w:p>
        </w:tc>
        <w:tc>
          <w:tcPr>
            <w:tcW w:w="232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3.</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支持小微企业贷款投放情况。</w:t>
            </w:r>
          </w:p>
        </w:tc>
        <w:tc>
          <w:tcPr>
            <w:tcW w:w="573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截止2022年12月31日小微企业贷款余额最高者得满分，投标人之间横向对比评分，数值相对最高者每低1个百分点扣1分，满分为100分。（以中国银监会阳江银监分局通报文件或数据为准）（本小项满分为100分，最终得分×本小项权重比例）</w:t>
            </w:r>
          </w:p>
        </w:tc>
        <w:tc>
          <w:tcPr>
            <w:tcW w:w="74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8</w:t>
            </w:r>
            <w:r>
              <w:rPr>
                <w:rFonts w:hint="eastAsia" w:ascii="宋体" w:hAnsi="宋体" w:eastAsia="宋体" w:cs="宋体"/>
                <w:color w:val="000000" w:themeColor="text1"/>
                <w:kern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95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kern w:val="0"/>
                <w:sz w:val="21"/>
                <w:szCs w:val="21"/>
                <w:highlight w:val="none"/>
                <w14:textFill>
                  <w14:solidFill>
                    <w14:schemeClr w14:val="tx1"/>
                  </w14:solidFill>
                </w14:textFill>
              </w:rPr>
            </w:pPr>
          </w:p>
        </w:tc>
        <w:tc>
          <w:tcPr>
            <w:tcW w:w="232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4.</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扶贫小额贷款。</w:t>
            </w:r>
          </w:p>
        </w:tc>
        <w:tc>
          <w:tcPr>
            <w:tcW w:w="573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截止2022年12月31日扶贫小额贷款余额最高者得满分，投标人之间横向对比评分，数值相对最高者每低1个百分点扣1分，满分为100分。（以中国银监会阳江银监分局通报文件或数据为准）（本小项满分为100分，最终得分×本小项权重比例）</w:t>
            </w:r>
          </w:p>
        </w:tc>
        <w:tc>
          <w:tcPr>
            <w:tcW w:w="74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8</w:t>
            </w:r>
            <w:r>
              <w:rPr>
                <w:rFonts w:hint="eastAsia" w:ascii="宋体" w:hAnsi="宋体" w:eastAsia="宋体" w:cs="宋体"/>
                <w:color w:val="000000" w:themeColor="text1"/>
                <w:kern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951"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kern w:val="0"/>
                <w:sz w:val="21"/>
                <w:szCs w:val="21"/>
                <w:highlight w:val="none"/>
                <w14:textFill>
                  <w14:solidFill>
                    <w14:schemeClr w14:val="tx1"/>
                  </w14:solidFill>
                </w14:textFill>
              </w:rPr>
            </w:pPr>
          </w:p>
        </w:tc>
        <w:tc>
          <w:tcPr>
            <w:tcW w:w="232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5</w:t>
            </w:r>
            <w:r>
              <w:rPr>
                <w:rFonts w:hint="eastAsia" w:ascii="宋体" w:hAnsi="宋体" w:eastAsia="宋体" w:cs="宋体"/>
                <w:color w:val="000000" w:themeColor="text1"/>
                <w:kern w:val="0"/>
                <w:sz w:val="21"/>
                <w:szCs w:val="21"/>
                <w:highlight w:val="none"/>
                <w14:textFill>
                  <w14:solidFill>
                    <w14:schemeClr w14:val="tx1"/>
                  </w14:solidFill>
                </w14:textFill>
              </w:rPr>
              <w:t>.</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纳税人信用级别，税务部门评定的2022年度纳税信用评级情况。</w:t>
            </w:r>
          </w:p>
        </w:tc>
        <w:tc>
          <w:tcPr>
            <w:tcW w:w="5735" w:type="dxa"/>
            <w:tcBorders>
              <w:tl2br w:val="nil"/>
              <w:tr2bl w:val="nil"/>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纳税信用评级为A级得满分，为B级得50分，C级及以下得0分。</w:t>
            </w:r>
          </w:p>
          <w:p>
            <w:pPr>
              <w:pStyle w:val="2"/>
              <w:keepNext w:val="0"/>
              <w:keepLines w:val="0"/>
              <w:pageBreakBefore w:val="0"/>
              <w:kinsoku/>
              <w:wordWrap/>
              <w:overflowPunct/>
              <w:topLinePunct w:val="0"/>
              <w:autoSpaceDE/>
              <w:autoSpaceDN/>
              <w:bidi w:val="0"/>
              <w:adjustRightInd/>
              <w:snapToGrid/>
              <w:spacing w:line="320" w:lineRule="exact"/>
              <w:ind w:left="0" w:leftChars="0" w:firstLine="0" w:firstLineChars="0"/>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（以税务部门颁发的相关评级证书或证明文件为准）（本小项满分为100分，最终得分×本小项权重比例）</w:t>
            </w:r>
          </w:p>
        </w:tc>
        <w:tc>
          <w:tcPr>
            <w:tcW w:w="74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8</w:t>
            </w:r>
            <w:r>
              <w:rPr>
                <w:rFonts w:hint="eastAsia" w:ascii="宋体" w:hAnsi="宋体" w:eastAsia="宋体" w:cs="宋体"/>
                <w:color w:val="000000" w:themeColor="text1"/>
                <w:kern w:val="0"/>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008" w:type="dxa"/>
            <w:gridSpan w:val="3"/>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0"/>
                <w:sz w:val="21"/>
                <w:szCs w:val="21"/>
                <w:highlight w:val="none"/>
                <w14:textFill>
                  <w14:solidFill>
                    <w14:schemeClr w14:val="tx1"/>
                  </w14:solidFill>
                </w14:textFill>
              </w:rPr>
            </w:pPr>
          </w:p>
        </w:tc>
        <w:tc>
          <w:tcPr>
            <w:tcW w:w="74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40%</w:t>
            </w:r>
          </w:p>
        </w:tc>
      </w:tr>
    </w:tbl>
    <w:p>
      <w:pP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注：对照每项评价指标要求，投标文件完全不满足要求的，不得分。</w:t>
      </w:r>
    </w:p>
    <w:p>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bookmarkStart w:id="2002" w:name="_GoBack"/>
      <w:bookmarkEnd w:id="2002"/>
    </w:p>
    <w:p>
      <w:pPr>
        <w:pStyle w:val="4"/>
        <w:numPr>
          <w:ilvl w:val="0"/>
          <w:numId w:val="0"/>
        </w:numPr>
        <w:spacing w:beforeLines="0"/>
        <w:rPr>
          <w:color w:val="000000" w:themeColor="text1"/>
          <w:highlight w:val="none"/>
          <w14:textFill>
            <w14:solidFill>
              <w14:schemeClr w14:val="tx1"/>
            </w14:solidFill>
          </w14:textFill>
        </w:rPr>
      </w:pPr>
      <w:bookmarkStart w:id="1611" w:name="_Toc19798"/>
      <w:r>
        <w:rPr>
          <w:rFonts w:hint="eastAsia"/>
          <w:color w:val="000000" w:themeColor="text1"/>
          <w:highlight w:val="none"/>
          <w14:textFill>
            <w14:solidFill>
              <w14:schemeClr w14:val="tx1"/>
            </w14:solidFill>
          </w14:textFill>
        </w:rPr>
        <w:t>第四部分  采购项目合同</w:t>
      </w:r>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Start w:id="1612" w:name="_Hlt97188170"/>
      <w:bookmarkEnd w:id="1612"/>
      <w:r>
        <w:rPr>
          <w:rFonts w:hint="eastAsia"/>
          <w:color w:val="000000" w:themeColor="text1"/>
          <w:highlight w:val="none"/>
          <w14:textFill>
            <w14:solidFill>
              <w14:schemeClr w14:val="tx1"/>
            </w14:solidFill>
          </w14:textFill>
        </w:rPr>
        <w:t>（参考范本）</w:t>
      </w:r>
      <w:bookmarkEnd w:id="1611"/>
    </w:p>
    <w:p>
      <w:pPr>
        <w:rPr>
          <w:bCs/>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jc w:val="center"/>
        <w:rPr>
          <w:rFonts w:hint="eastAsia" w:ascii="宋体" w:hAnsi="宋体"/>
          <w:b/>
          <w:color w:val="000000" w:themeColor="text1"/>
          <w:sz w:val="30"/>
          <w:szCs w:val="30"/>
          <w:highlight w:val="none"/>
          <w14:textFill>
            <w14:solidFill>
              <w14:schemeClr w14:val="tx1"/>
            </w14:solidFill>
          </w14:textFill>
        </w:rPr>
      </w:pPr>
    </w:p>
    <w:p>
      <w:pPr>
        <w:jc w:val="center"/>
        <w:rPr>
          <w:rFonts w:hint="eastAsia" w:ascii="宋体" w:hAnsi="宋体"/>
          <w:b/>
          <w:color w:val="000000" w:themeColor="text1"/>
          <w:sz w:val="36"/>
          <w:szCs w:val="36"/>
          <w:highlight w:val="none"/>
          <w14:textFill>
            <w14:solidFill>
              <w14:schemeClr w14:val="tx1"/>
            </w14:solidFill>
          </w14:textFill>
        </w:rPr>
      </w:pPr>
    </w:p>
    <w:p>
      <w:pPr>
        <w:pStyle w:val="54"/>
        <w:rPr>
          <w:rFonts w:hint="eastAsia" w:ascii="宋体" w:hAnsi="宋体"/>
          <w:b/>
          <w:color w:val="000000" w:themeColor="text1"/>
          <w:sz w:val="36"/>
          <w:szCs w:val="36"/>
          <w:highlight w:val="none"/>
          <w14:textFill>
            <w14:solidFill>
              <w14:schemeClr w14:val="tx1"/>
            </w14:solidFill>
          </w14:textFill>
        </w:rPr>
      </w:pPr>
    </w:p>
    <w:p>
      <w:pPr>
        <w:pStyle w:val="54"/>
        <w:rPr>
          <w:rFonts w:hint="eastAsia" w:ascii="宋体" w:hAnsi="宋体"/>
          <w:b/>
          <w:color w:val="000000" w:themeColor="text1"/>
          <w:sz w:val="36"/>
          <w:szCs w:val="36"/>
          <w:highlight w:val="none"/>
          <w14:textFill>
            <w14:solidFill>
              <w14:schemeClr w14:val="tx1"/>
            </w14:solidFill>
          </w14:textFill>
        </w:rPr>
      </w:pPr>
    </w:p>
    <w:p>
      <w:pPr>
        <w:pStyle w:val="54"/>
        <w:rPr>
          <w:rFonts w:hint="eastAsia" w:ascii="宋体" w:hAnsi="宋体"/>
          <w:b/>
          <w:color w:val="000000" w:themeColor="text1"/>
          <w:sz w:val="36"/>
          <w:szCs w:val="36"/>
          <w:highlight w:val="none"/>
          <w14:textFill>
            <w14:solidFill>
              <w14:schemeClr w14:val="tx1"/>
            </w14:solidFill>
          </w14:textFill>
        </w:rPr>
      </w:pPr>
    </w:p>
    <w:p>
      <w:pPr>
        <w:pStyle w:val="54"/>
        <w:rPr>
          <w:rFonts w:hint="eastAsia" w:ascii="宋体" w:hAnsi="宋体"/>
          <w:b/>
          <w:color w:val="000000" w:themeColor="text1"/>
          <w:sz w:val="36"/>
          <w:szCs w:val="36"/>
          <w:highlight w:val="none"/>
          <w14:textFill>
            <w14:solidFill>
              <w14:schemeClr w14:val="tx1"/>
            </w14:solidFill>
          </w14:textFill>
        </w:rPr>
      </w:pPr>
    </w:p>
    <w:p>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合 同 书</w:t>
      </w:r>
    </w:p>
    <w:p>
      <w:pPr>
        <w:jc w:val="center"/>
        <w:rPr>
          <w:rFonts w:hint="eastAsia" w:ascii="宋体" w:hAnsi="宋体"/>
          <w:b/>
          <w:color w:val="000000" w:themeColor="text1"/>
          <w:sz w:val="28"/>
          <w:szCs w:val="28"/>
          <w:highlight w:val="none"/>
          <w14:textFill>
            <w14:solidFill>
              <w14:schemeClr w14:val="tx1"/>
            </w14:solidFill>
          </w14:textFill>
        </w:rPr>
      </w:pPr>
    </w:p>
    <w:p>
      <w:pPr>
        <w:jc w:val="center"/>
        <w:rPr>
          <w:rFonts w:hint="eastAsia" w:ascii="宋体" w:hAnsi="宋体"/>
          <w:b/>
          <w:color w:val="000000" w:themeColor="text1"/>
          <w:sz w:val="28"/>
          <w:szCs w:val="28"/>
          <w:highlight w:val="none"/>
          <w14:textFill>
            <w14:solidFill>
              <w14:schemeClr w14:val="tx1"/>
            </w14:solidFill>
          </w14:textFill>
        </w:rPr>
      </w:pPr>
    </w:p>
    <w:p>
      <w:pPr>
        <w:jc w:val="center"/>
        <w:rPr>
          <w:rFonts w:hint="eastAsia" w:ascii="宋体" w:hAnsi="宋体"/>
          <w:b/>
          <w:color w:val="000000" w:themeColor="text1"/>
          <w:sz w:val="28"/>
          <w:szCs w:val="28"/>
          <w:highlight w:val="none"/>
          <w14:textFill>
            <w14:solidFill>
              <w14:schemeClr w14:val="tx1"/>
            </w14:solidFill>
          </w14:textFill>
        </w:rPr>
      </w:pPr>
    </w:p>
    <w:p>
      <w:pPr>
        <w:ind w:firstLine="1968" w:firstLineChars="700"/>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采购编号：</w:t>
      </w:r>
      <w:r>
        <w:rPr>
          <w:rFonts w:hint="eastAsia" w:ascii="宋体" w:hAnsi="宋体"/>
          <w:b/>
          <w:color w:val="000000" w:themeColor="text1"/>
          <w:sz w:val="28"/>
          <w:szCs w:val="28"/>
          <w:highlight w:val="none"/>
          <w:u w:val="single"/>
          <w14:textFill>
            <w14:solidFill>
              <w14:schemeClr w14:val="tx1"/>
            </w14:solidFill>
          </w14:textFill>
        </w:rPr>
        <w:t xml:space="preserve">                          </w:t>
      </w:r>
    </w:p>
    <w:p>
      <w:pPr>
        <w:rPr>
          <w:rFonts w:hint="eastAsia" w:ascii="宋体" w:hAnsi="宋体"/>
          <w:b/>
          <w:color w:val="000000" w:themeColor="text1"/>
          <w:sz w:val="28"/>
          <w:szCs w:val="28"/>
          <w:highlight w:val="none"/>
          <w14:textFill>
            <w14:solidFill>
              <w14:schemeClr w14:val="tx1"/>
            </w14:solidFill>
          </w14:textFill>
        </w:rPr>
      </w:pPr>
    </w:p>
    <w:p>
      <w:pPr>
        <w:ind w:firstLine="1968" w:firstLineChars="700"/>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项目名称：</w:t>
      </w:r>
      <w:r>
        <w:rPr>
          <w:rFonts w:hint="eastAsia" w:ascii="宋体" w:hAnsi="宋体"/>
          <w:b/>
          <w:color w:val="000000" w:themeColor="text1"/>
          <w:sz w:val="28"/>
          <w:szCs w:val="28"/>
          <w:highlight w:val="none"/>
          <w:u w:val="single"/>
          <w14:textFill>
            <w14:solidFill>
              <w14:schemeClr w14:val="tx1"/>
            </w14:solidFill>
          </w14:textFill>
        </w:rPr>
        <w:t xml:space="preserve">                           </w:t>
      </w: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注：本合同仅为合同草案文本，合同签订双方可根据项目的具体要求进行修订和细化。</w:t>
      </w:r>
    </w:p>
    <w:p>
      <w:pPr>
        <w:ind w:firstLine="5670" w:firstLineChars="2700"/>
        <w:rPr>
          <w:rFonts w:hint="eastAsia" w:ascii="宋体" w:hAnsi="宋体"/>
          <w:color w:val="000000" w:themeColor="text1"/>
          <w:szCs w:val="21"/>
          <w:highlight w:val="none"/>
          <w14:textFill>
            <w14:solidFill>
              <w14:schemeClr w14:val="tx1"/>
            </w14:solidFill>
          </w14:textFill>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甲    方：</w:t>
      </w:r>
      <w:r>
        <w:rPr>
          <w:rFonts w:hint="eastAsia" w:ascii="宋体" w:hAnsi="宋体" w:eastAsia="宋体" w:cs="宋体"/>
          <w:b/>
          <w:color w:val="000000" w:themeColor="text1"/>
          <w:sz w:val="21"/>
          <w:szCs w:val="21"/>
          <w:highlight w:val="none"/>
          <w:u w:val="single"/>
          <w14:textFill>
            <w14:solidFill>
              <w14:schemeClr w14:val="tx1"/>
            </w14:solidFill>
          </w14:textFill>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乙    方：</w:t>
      </w:r>
      <w:r>
        <w:rPr>
          <w:rFonts w:hint="eastAsia" w:ascii="宋体" w:hAnsi="宋体" w:eastAsia="宋体" w:cs="宋体"/>
          <w:b/>
          <w:color w:val="000000" w:themeColor="text1"/>
          <w:sz w:val="21"/>
          <w:szCs w:val="21"/>
          <w:highlight w:val="none"/>
          <w:u w:val="single"/>
          <w14:textFill>
            <w14:solidFill>
              <w14:schemeClr w14:val="tx1"/>
            </w14:solidFill>
          </w14:textFill>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电    话：                传  真：           地  址：   </w:t>
      </w: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项目名称：                                   采购编号：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555"/>
        <w:jc w:val="lef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根据 </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项目（采购编号：</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）的采购结果</w:t>
      </w:r>
      <w:r>
        <w:rPr>
          <w:rFonts w:hint="eastAsia" w:ascii="宋体" w:hAnsi="宋体" w:eastAsia="宋体" w:cs="宋体"/>
          <w:color w:val="000000" w:themeColor="text1"/>
          <w:sz w:val="21"/>
          <w:szCs w:val="21"/>
          <w:highlight w:val="none"/>
          <w:lang w:val="en-US" w:eastAsia="zh-CN"/>
          <w14:textFill>
            <w14:solidFill>
              <w14:schemeClr w14:val="tx1"/>
            </w14:solidFill>
          </w14:textFill>
        </w:rPr>
        <w:t>及</w:t>
      </w:r>
      <w:r>
        <w:rPr>
          <w:rFonts w:hint="eastAsia" w:ascii="宋体" w:hAnsi="宋体" w:eastAsia="宋体" w:cs="宋体"/>
          <w:color w:val="000000" w:themeColor="text1"/>
          <w:sz w:val="21"/>
          <w:szCs w:val="21"/>
          <w:highlight w:val="none"/>
          <w14:textFill>
            <w14:solidFill>
              <w14:schemeClr w14:val="tx1"/>
            </w14:solidFill>
          </w14:textFill>
        </w:rPr>
        <w:t>招标投标文件中的相关约定，按照《中华人民共和国政府采购法》、</w:t>
      </w:r>
      <w:r>
        <w:rPr>
          <w:rFonts w:hint="eastAsia" w:ascii="宋体" w:hAnsi="宋体" w:cs="宋体"/>
          <w:color w:val="000000" w:themeColor="text1"/>
          <w:sz w:val="21"/>
          <w:szCs w:val="21"/>
          <w:highlight w:val="none"/>
          <w:lang w:eastAsia="zh-CN"/>
          <w14:textFill>
            <w14:solidFill>
              <w14:schemeClr w14:val="tx1"/>
            </w14:solidFill>
          </w14:textFill>
        </w:rPr>
        <w:t>《中华人民共和国民法典》</w:t>
      </w:r>
      <w:r>
        <w:rPr>
          <w:rFonts w:hint="eastAsia" w:ascii="宋体" w:hAnsi="宋体" w:eastAsia="宋体" w:cs="宋体"/>
          <w:color w:val="000000" w:themeColor="text1"/>
          <w:sz w:val="21"/>
          <w:szCs w:val="21"/>
          <w:highlight w:val="none"/>
          <w14:textFill>
            <w14:solidFill>
              <w14:schemeClr w14:val="tx1"/>
            </w14:solidFill>
          </w14:textFill>
        </w:rPr>
        <w:t>的规定，</w:t>
      </w:r>
      <w:r>
        <w:rPr>
          <w:rFonts w:hint="eastAsia" w:ascii="宋体" w:hAnsi="宋体" w:eastAsia="宋体" w:cs="宋体"/>
          <w:color w:val="000000" w:themeColor="text1"/>
          <w:kern w:val="28"/>
          <w:sz w:val="21"/>
          <w:szCs w:val="21"/>
          <w:highlight w:val="none"/>
          <w14:textFill>
            <w14:solidFill>
              <w14:schemeClr w14:val="tx1"/>
            </w14:solidFill>
          </w14:textFill>
        </w:rPr>
        <w:t>经双方协商，</w:t>
      </w:r>
      <w:r>
        <w:rPr>
          <w:rFonts w:hint="eastAsia" w:ascii="宋体" w:hAnsi="宋体" w:eastAsia="宋体" w:cs="宋体"/>
          <w:color w:val="000000" w:themeColor="text1"/>
          <w:sz w:val="21"/>
          <w:szCs w:val="21"/>
          <w:highlight w:val="none"/>
          <w14:textFill>
            <w14:solidFill>
              <w14:schemeClr w14:val="tx1"/>
            </w14:solidFill>
          </w14:textFill>
        </w:rPr>
        <w:t>本着平等互利和诚实信用的原则，</w:t>
      </w:r>
      <w:r>
        <w:rPr>
          <w:rFonts w:hint="eastAsia" w:ascii="宋体" w:hAnsi="宋体" w:eastAsia="宋体" w:cs="宋体"/>
          <w:color w:val="000000" w:themeColor="text1"/>
          <w:kern w:val="28"/>
          <w:sz w:val="21"/>
          <w:szCs w:val="21"/>
          <w:highlight w:val="none"/>
          <w14:textFill>
            <w14:solidFill>
              <w14:schemeClr w14:val="tx1"/>
            </w14:solidFill>
          </w14:textFill>
        </w:rPr>
        <w:t>一致同意签订本合同如下。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一、</w:t>
      </w:r>
      <w:r>
        <w:rPr>
          <w:rFonts w:hint="eastAsia" w:ascii="宋体" w:hAnsi="宋体" w:eastAsia="宋体" w:cs="宋体"/>
          <w:b/>
          <w:bCs/>
          <w:color w:val="000000" w:themeColor="text1"/>
          <w:sz w:val="21"/>
          <w:szCs w:val="21"/>
          <w:highlight w:val="none"/>
          <w14:textFill>
            <w14:solidFill>
              <w14:schemeClr w14:val="tx1"/>
            </w14:solidFill>
          </w14:textFill>
        </w:rPr>
        <w:tab/>
      </w:r>
      <w:r>
        <w:rPr>
          <w:rFonts w:hint="eastAsia" w:ascii="宋体" w:hAnsi="宋体" w:eastAsia="宋体" w:cs="宋体"/>
          <w:b/>
          <w:bCs/>
          <w:color w:val="000000" w:themeColor="text1"/>
          <w:sz w:val="21"/>
          <w:szCs w:val="21"/>
          <w:highlight w:val="none"/>
          <w14:textFill>
            <w14:solidFill>
              <w14:schemeClr w14:val="tx1"/>
            </w14:solidFill>
          </w14:textFill>
        </w:rPr>
        <w:t>合同金额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合同金额为人民币（大写</w:t>
      </w:r>
      <w:r>
        <w:rPr>
          <w:rFonts w:hint="eastAsia" w:ascii="宋体" w:hAnsi="宋体" w:cs="宋体"/>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二、</w:t>
      </w:r>
      <w:r>
        <w:rPr>
          <w:rFonts w:hint="eastAsia" w:ascii="宋体" w:hAnsi="宋体" w:eastAsia="宋体" w:cs="宋体"/>
          <w:b/>
          <w:bCs/>
          <w:color w:val="000000" w:themeColor="text1"/>
          <w:sz w:val="21"/>
          <w:szCs w:val="21"/>
          <w:highlight w:val="none"/>
          <w14:textFill>
            <w14:solidFill>
              <w14:schemeClr w14:val="tx1"/>
            </w14:solidFill>
          </w14:textFill>
        </w:rPr>
        <w:tab/>
      </w:r>
      <w:r>
        <w:rPr>
          <w:rFonts w:hint="eastAsia" w:ascii="宋体" w:hAnsi="宋体" w:eastAsia="宋体" w:cs="宋体"/>
          <w:b/>
          <w:bCs/>
          <w:color w:val="000000" w:themeColor="text1"/>
          <w:sz w:val="21"/>
          <w:szCs w:val="21"/>
          <w:highlight w:val="none"/>
          <w14:textFill>
            <w14:solidFill>
              <w14:schemeClr w14:val="tx1"/>
            </w14:solidFill>
          </w14:textFill>
        </w:rPr>
        <w:t>服务范围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甲方聘请乙方提供以下服务：</w:t>
      </w:r>
    </w:p>
    <w:p>
      <w:pPr>
        <w:keepNext w:val="0"/>
        <w:keepLines w:val="0"/>
        <w:pageBreakBefore w:val="0"/>
        <w:widowControl w:val="0"/>
        <w:numPr>
          <w:ilvl w:val="0"/>
          <w:numId w:val="31"/>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p>
    <w:p>
      <w:pPr>
        <w:keepNext w:val="0"/>
        <w:keepLines w:val="0"/>
        <w:pageBreakBefore w:val="0"/>
        <w:widowControl w:val="0"/>
        <w:numPr>
          <w:ilvl w:val="0"/>
          <w:numId w:val="31"/>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000000" w:themeColor="text1"/>
          <w:sz w:val="21"/>
          <w:szCs w:val="21"/>
          <w:highlight w:val="none"/>
          <w:u w:val="single"/>
          <w14:textFill>
            <w14:solidFill>
              <w14:schemeClr w14:val="tx1"/>
            </w14:solidFill>
          </w14:textFill>
        </w:rPr>
      </w:pP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ab/>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eastAsia="宋体"/>
          <w:b/>
          <w:bCs/>
          <w:color w:val="000000" w:themeColor="text1"/>
          <w:highlight w:val="none"/>
          <w:lang w:val="en-US" w:eastAsia="zh-CN"/>
          <w14:textFill>
            <w14:solidFill>
              <w14:schemeClr w14:val="tx1"/>
            </w14:solidFill>
          </w14:textFill>
        </w:rPr>
        <w:t>三、</w:t>
      </w:r>
      <w:r>
        <w:rPr>
          <w:rFonts w:hint="eastAsia" w:ascii="宋体" w:hAnsi="宋体" w:eastAsia="宋体" w:cs="宋体"/>
          <w:b/>
          <w:bCs/>
          <w:color w:val="000000" w:themeColor="text1"/>
          <w:sz w:val="21"/>
          <w:szCs w:val="21"/>
          <w:highlight w:val="none"/>
          <w14:textFill>
            <w14:solidFill>
              <w14:schemeClr w14:val="tx1"/>
            </w14:solidFill>
          </w14:textFill>
        </w:rPr>
        <w:t>甲方乙方的权利和义务</w:t>
      </w: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14:textFill>
            <w14:solidFill>
              <w14:schemeClr w14:val="tx1"/>
            </w14:solidFill>
          </w14:textFill>
        </w:rPr>
        <w:t>甲方的权利和义务</w:t>
      </w: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14:textFill>
            <w14:solidFill>
              <w14:schemeClr w14:val="tx1"/>
            </w14:solidFill>
          </w14:textFill>
        </w:rPr>
        <w:t>乙方的权利和义务</w:t>
      </w: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四、</w:t>
      </w:r>
      <w:r>
        <w:rPr>
          <w:rFonts w:hint="eastAsia" w:ascii="宋体" w:hAnsi="宋体" w:eastAsia="宋体" w:cs="宋体"/>
          <w:b/>
          <w:bCs/>
          <w:color w:val="000000" w:themeColor="text1"/>
          <w:sz w:val="21"/>
          <w:szCs w:val="21"/>
          <w:highlight w:val="none"/>
          <w14:textFill>
            <w14:solidFill>
              <w14:schemeClr w14:val="tx1"/>
            </w14:solidFill>
          </w14:textFill>
        </w:rPr>
        <w:t>服务期间（项目完成期限）</w:t>
      </w: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14:textFill>
            <w14:solidFill>
              <w14:schemeClr w14:val="tx1"/>
            </w14:solidFill>
          </w14:textFill>
        </w:rPr>
        <w:t xml:space="preserve">委托服务期间自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 xml:space="preserve">年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 xml:space="preserve">月至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 xml:space="preserve">年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月止。</w:t>
      </w: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五、付款方式</w:t>
      </w: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六、 知识产权归属</w:t>
      </w:r>
    </w:p>
    <w:p>
      <w:pPr>
        <w:pStyle w:val="54"/>
        <w:rPr>
          <w:rFonts w:hint="eastAsia"/>
          <w:color w:val="000000" w:themeColor="text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七 、 保 密</w:t>
      </w:r>
    </w:p>
    <w:p>
      <w:pPr>
        <w:pStyle w:val="54"/>
        <w:rPr>
          <w:rFonts w:hint="eastAsia"/>
          <w:color w:val="000000" w:themeColor="text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八、 违约责任与赔偿损失</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乙方提供的服务不符合本合同规定的，甲方有权拒收，并且乙方须向甲方支付本合同总价 5%的违约金。</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乙方未能按本合同规定的交货时间提供服务，从逾期之日起每日按本合同总价 3‰ 的数额向甲方支付违约金；逾期半个月以上的，甲方有权终止合同，由此造成的甲方经济损失由乙方承担。</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甲方无正当理由拒收接受服务，到期拒付服务款项的，甲方向乙方偿付本合同总的5%的违约金。甲方人逾期付款，则每日按本合同总价的 3‰向乙方偿付违约金。</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对于因甲方原因导致变更、中止或者终止政府采购合同的，甲方应当依照以下合同约定对供应商受到的损失予以赔偿或者补偿：</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其它违约责任按</w:t>
      </w:r>
      <w:r>
        <w:rPr>
          <w:rFonts w:hint="eastAsia" w:ascii="宋体" w:hAnsi="宋体" w:cs="宋体"/>
          <w:color w:val="000000" w:themeColor="text1"/>
          <w:sz w:val="21"/>
          <w:szCs w:val="21"/>
          <w:highlight w:val="none"/>
          <w:lang w:eastAsia="zh-CN"/>
          <w14:textFill>
            <w14:solidFill>
              <w14:schemeClr w14:val="tx1"/>
            </w14:solidFill>
          </w14:textFill>
        </w:rPr>
        <w:t>《中华人民共和国民法典》</w:t>
      </w:r>
      <w:r>
        <w:rPr>
          <w:rFonts w:hint="eastAsia" w:ascii="宋体" w:hAnsi="宋体" w:eastAsia="宋体" w:cs="宋体"/>
          <w:color w:val="000000" w:themeColor="text1"/>
          <w:sz w:val="21"/>
          <w:szCs w:val="21"/>
          <w:highlight w:val="none"/>
          <w14:textFill>
            <w14:solidFill>
              <w14:schemeClr w14:val="tx1"/>
            </w14:solidFill>
          </w14:textFill>
        </w:rPr>
        <w:t>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九、 争议的解决</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1.合同执行过程中发生的任何争议，如双方不能通过友好协商解决，按相关法律法规处理。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 不可抗力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1.任何一方由于不可抗力原因不能履行合同时，应在不可抗力事件结束后 1 日内向对方通报，以减轻可能给对方造成的损失，在取得有关机构的不可抗力证明或双方谅解确认后，允许延期履行或修订合同，并根据情况可部分或全部免于承担违约责任。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十一、  税费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1.在中国境内、外发生的与本合同执行有关的一切税费均由乙方负担。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十二、 其它</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本合同所有附件、招标文件、投标文件、中标通知书均为合同的有效组成部分，与本合同具有同等法律效力。</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在执行本合同的过程中，所有经双方签署确认的文件（包括会议纪要、补充协议、往来信函）即成为本合同的有效组成部分。</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如一方地址、电话、传真号码有变更，应在变更当日内书面通知对方，否则，应承担相应责任。</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除甲方事先书面同意外，乙方不得部分或全部转让其应履行的合同项下的义务。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十三、</w:t>
      </w:r>
      <w:r>
        <w:rPr>
          <w:rFonts w:hint="eastAsia" w:ascii="宋体" w:hAnsi="宋体" w:eastAsia="宋体" w:cs="宋体"/>
          <w:b/>
          <w:bCs/>
          <w:color w:val="000000" w:themeColor="text1"/>
          <w:sz w:val="21"/>
          <w:szCs w:val="21"/>
          <w:highlight w:val="none"/>
          <w14:textFill>
            <w14:solidFill>
              <w14:schemeClr w14:val="tx1"/>
            </w14:solidFill>
          </w14:textFill>
        </w:rPr>
        <w:tab/>
      </w:r>
      <w:r>
        <w:rPr>
          <w:rFonts w:hint="eastAsia" w:ascii="宋体" w:hAnsi="宋体" w:eastAsia="宋体" w:cs="宋体"/>
          <w:b/>
          <w:bCs/>
          <w:color w:val="000000" w:themeColor="text1"/>
          <w:sz w:val="21"/>
          <w:szCs w:val="21"/>
          <w:highlight w:val="none"/>
          <w14:textFill>
            <w14:solidFill>
              <w14:schemeClr w14:val="tx1"/>
            </w14:solidFill>
          </w14:textFill>
        </w:rPr>
        <w:t>合同生效</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本合同在甲乙双方法人代表或其授权代表签字盖章后生效。</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合同一式 </w:t>
      </w:r>
      <w:r>
        <w:rPr>
          <w:rFonts w:hint="eastAsia" w:ascii="宋体" w:hAnsi="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份。</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本项目合同订立后，应提供</w:t>
      </w:r>
      <w:r>
        <w:rPr>
          <w:rFonts w:hint="eastAsia" w:ascii="宋体" w:hAnsi="宋体" w:eastAsia="宋体" w:cs="宋体"/>
          <w:color w:val="000000" w:themeColor="text1"/>
          <w:sz w:val="21"/>
          <w:szCs w:val="21"/>
          <w:highlight w:val="none"/>
          <w:lang w:val="en-US" w:eastAsia="zh-CN"/>
          <w14:textFill>
            <w14:solidFill>
              <w14:schemeClr w14:val="tx1"/>
            </w14:solidFill>
          </w14:textFill>
        </w:rPr>
        <w:t>一份</w:t>
      </w:r>
      <w:r>
        <w:rPr>
          <w:rFonts w:hint="eastAsia" w:ascii="宋体" w:hAnsi="宋体" w:eastAsia="宋体" w:cs="宋体"/>
          <w:color w:val="000000" w:themeColor="text1"/>
          <w:sz w:val="21"/>
          <w:szCs w:val="21"/>
          <w:highlight w:val="none"/>
          <w14:textFill>
            <w14:solidFill>
              <w14:schemeClr w14:val="tx1"/>
            </w14:solidFill>
          </w14:textFill>
        </w:rPr>
        <w:t>至</w:t>
      </w:r>
      <w:r>
        <w:rPr>
          <w:rFonts w:hint="eastAsia" w:ascii="宋体" w:hAnsi="宋体" w:cs="宋体"/>
          <w:color w:val="000000" w:themeColor="text1"/>
          <w:sz w:val="21"/>
          <w:szCs w:val="21"/>
          <w:highlight w:val="none"/>
          <w:u w:val="single"/>
          <w:lang w:eastAsia="zh-CN"/>
          <w14:textFill>
            <w14:solidFill>
              <w14:schemeClr w14:val="tx1"/>
            </w14:solidFill>
          </w14:textFill>
        </w:rPr>
        <w:t>广东业信招标有限公司</w:t>
      </w:r>
      <w:r>
        <w:rPr>
          <w:rFonts w:hint="eastAsia" w:ascii="宋体" w:hAnsi="宋体" w:eastAsia="宋体" w:cs="宋体"/>
          <w:color w:val="000000" w:themeColor="text1"/>
          <w:sz w:val="21"/>
          <w:szCs w:val="21"/>
          <w:highlight w:val="none"/>
          <w14:textFill>
            <w14:solidFill>
              <w14:schemeClr w14:val="tx1"/>
            </w14:solidFill>
          </w14:textFill>
        </w:rPr>
        <w:t xml:space="preserve">备案；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pPr>
        <w:pStyle w:val="54"/>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甲方（盖章）：                         乙方（盖章）：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 xml:space="preserve">代表：                                代表：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签定地点：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签定日期：   年   月  日              签定日期：    年   月   日    </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开户名称：</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银行帐号：</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ascii="宋体" w:hAnsi="宋体"/>
          <w:bCs/>
          <w:color w:val="000000" w:themeColor="text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开 户 行：</w:t>
      </w:r>
    </w:p>
    <w:p>
      <w:pPr>
        <w:rPr>
          <w:color w:val="000000" w:themeColor="text1"/>
          <w:highlight w:val="none"/>
          <w14:textFill>
            <w14:solidFill>
              <w14:schemeClr w14:val="tx1"/>
            </w14:solidFill>
          </w14:textFill>
        </w:rPr>
      </w:pPr>
    </w:p>
    <w:p>
      <w:pPr>
        <w:tabs>
          <w:tab w:val="left" w:pos="1004"/>
        </w:tabs>
        <w:spacing w:line="440" w:lineRule="exact"/>
        <w:ind w:right="31" w:rightChars="15"/>
        <w:rPr>
          <w:rFonts w:ascii="宋体" w:hAnsi="宋体"/>
          <w:b/>
          <w:bCs/>
          <w:color w:val="000000" w:themeColor="text1"/>
          <w:szCs w:val="21"/>
          <w:highlight w:val="none"/>
          <w14:textFill>
            <w14:solidFill>
              <w14:schemeClr w14:val="tx1"/>
            </w14:solidFill>
          </w14:textFill>
        </w:rPr>
        <w:sectPr>
          <w:footerReference r:id="rId10" w:type="first"/>
          <w:footerReference r:id="rId9" w:type="default"/>
          <w:pgSz w:w="11906" w:h="16838"/>
          <w:pgMar w:top="1418" w:right="1474" w:bottom="1418" w:left="1474" w:header="851" w:footer="851" w:gutter="0"/>
          <w:cols w:space="720" w:num="1"/>
          <w:titlePg/>
          <w:docGrid w:linePitch="312" w:charSpace="0"/>
        </w:sectPr>
      </w:pPr>
    </w:p>
    <w:p>
      <w:pPr>
        <w:pStyle w:val="4"/>
        <w:numPr>
          <w:ilvl w:val="0"/>
          <w:numId w:val="0"/>
        </w:numPr>
        <w:spacing w:beforeLines="0"/>
        <w:rPr>
          <w:color w:val="000000" w:themeColor="text1"/>
          <w:highlight w:val="none"/>
          <w14:textFill>
            <w14:solidFill>
              <w14:schemeClr w14:val="tx1"/>
            </w14:solidFill>
          </w14:textFill>
        </w:rPr>
      </w:pPr>
      <w:bookmarkStart w:id="1613" w:name="_Toc491658678"/>
      <w:bookmarkStart w:id="1614" w:name="_Toc339020105"/>
      <w:bookmarkStart w:id="1615" w:name="_Toc332206718"/>
      <w:bookmarkStart w:id="1616" w:name="_Toc350438759"/>
      <w:bookmarkStart w:id="1617" w:name="_Toc333238643"/>
      <w:bookmarkStart w:id="1618" w:name="_Toc366072539"/>
      <w:bookmarkStart w:id="1619" w:name="_Toc331512908"/>
      <w:bookmarkStart w:id="1620" w:name="_Toc336681590"/>
      <w:bookmarkStart w:id="1621" w:name="_Toc337632368"/>
      <w:bookmarkStart w:id="1622" w:name="_Toc342060384"/>
      <w:bookmarkStart w:id="1623" w:name="_Toc333935697"/>
      <w:bookmarkStart w:id="1624" w:name="_Toc339019899"/>
      <w:bookmarkStart w:id="1625" w:name="_Toc332270356"/>
      <w:bookmarkStart w:id="1626" w:name="_Toc349143599"/>
      <w:bookmarkStart w:id="1627" w:name="_Toc336681945"/>
      <w:bookmarkStart w:id="1628" w:name="_Toc350756460"/>
      <w:bookmarkStart w:id="1629" w:name="_Toc339020243"/>
      <w:bookmarkStart w:id="1630" w:name="_Toc365985188"/>
      <w:bookmarkStart w:id="1631" w:name="_Toc339441097"/>
      <w:bookmarkStart w:id="1632" w:name="_Toc331684048"/>
      <w:bookmarkStart w:id="1633" w:name="_Toc333237687"/>
      <w:bookmarkStart w:id="1634" w:name="_Toc14261"/>
      <w:bookmarkStart w:id="1635" w:name="_Toc339362310"/>
      <w:bookmarkStart w:id="1636" w:name="_Toc365967082"/>
      <w:bookmarkStart w:id="1637" w:name="_Toc330459995"/>
      <w:bookmarkStart w:id="1638" w:name="_Toc340677080"/>
      <w:bookmarkStart w:id="1639" w:name="_Toc339020025"/>
      <w:bookmarkStart w:id="1640" w:name="_Toc342296770"/>
      <w:bookmarkStart w:id="1641" w:name="_Toc333935356"/>
      <w:bookmarkStart w:id="1642" w:name="_Toc340507452"/>
      <w:bookmarkStart w:id="1643" w:name="_Toc340672879"/>
      <w:bookmarkStart w:id="1644" w:name="_Toc500861025"/>
      <w:bookmarkStart w:id="1645" w:name="_Toc345513911"/>
      <w:bookmarkStart w:id="1646" w:name="_Toc341348348"/>
      <w:bookmarkStart w:id="1647" w:name="_Toc333237798"/>
      <w:bookmarkStart w:id="1648" w:name="_Toc349127636"/>
      <w:r>
        <w:rPr>
          <w:rFonts w:hint="eastAsia"/>
          <w:color w:val="000000" w:themeColor="text1"/>
          <w:highlight w:val="none"/>
          <w14:textFill>
            <w14:solidFill>
              <w14:schemeClr w14:val="tx1"/>
            </w14:solidFill>
          </w14:textFill>
        </w:rPr>
        <w:t>第五部分</w:t>
      </w:r>
      <w:bookmarkStart w:id="1649" w:name="_Hlt97188172"/>
      <w:bookmarkEnd w:id="1649"/>
      <w:r>
        <w:rPr>
          <w:rFonts w:hint="eastAsia"/>
          <w:color w:val="000000" w:themeColor="text1"/>
          <w:highlight w:val="none"/>
          <w14:textFill>
            <w14:solidFill>
              <w14:schemeClr w14:val="tx1"/>
            </w14:solidFill>
          </w14:textFill>
        </w:rPr>
        <w:t>投标文件格式</w:t>
      </w:r>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Start w:id="1650" w:name="_Hlt21938933"/>
      <w:bookmarkEnd w:id="1650"/>
    </w:p>
    <w:p>
      <w:pPr>
        <w:pStyle w:val="5"/>
        <w:numPr>
          <w:ilvl w:val="0"/>
          <w:numId w:val="0"/>
        </w:numPr>
        <w:rPr>
          <w:color w:val="000000" w:themeColor="text1"/>
          <w:sz w:val="24"/>
          <w:highlight w:val="none"/>
          <w14:textFill>
            <w14:solidFill>
              <w14:schemeClr w14:val="tx1"/>
            </w14:solidFill>
          </w14:textFill>
        </w:rPr>
      </w:pPr>
      <w:bookmarkStart w:id="1651" w:name="_Toc18699"/>
      <w:bookmarkStart w:id="1652" w:name="_Toc29474"/>
      <w:r>
        <w:rPr>
          <w:rFonts w:hint="eastAsia"/>
          <w:color w:val="000000" w:themeColor="text1"/>
          <w:sz w:val="24"/>
          <w:highlight w:val="none"/>
          <w14:textFill>
            <w14:solidFill>
              <w14:schemeClr w14:val="tx1"/>
            </w14:solidFill>
          </w14:textFill>
        </w:rPr>
        <w:t>资格审查封面格式</w:t>
      </w:r>
      <w:bookmarkEnd w:id="1651"/>
      <w:bookmarkEnd w:id="1652"/>
    </w:p>
    <w:p>
      <w:pPr>
        <w:pStyle w:val="6"/>
        <w:rPr>
          <w:rFonts w:hAnsi="宋体"/>
          <w:bCs/>
          <w:color w:val="000000" w:themeColor="text1"/>
          <w:sz w:val="21"/>
          <w:highlight w:val="none"/>
          <w14:textFill>
            <w14:solidFill>
              <w14:schemeClr w14:val="tx1"/>
            </w14:solidFill>
          </w14:textFill>
        </w:rPr>
      </w:pPr>
    </w:p>
    <w:p>
      <w:pPr>
        <w:pStyle w:val="6"/>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 xml:space="preserve">1、投标内容应当编有目录、页码，按页码排序并装订成册。  </w:t>
      </w:r>
    </w:p>
    <w:p>
      <w:pPr>
        <w:pStyle w:val="6"/>
        <w:spacing w:line="360" w:lineRule="auto"/>
        <w:rPr>
          <w:rFonts w:hAnsi="宋体"/>
          <w:b/>
          <w:color w:val="000000" w:themeColor="text1"/>
          <w:sz w:val="21"/>
          <w:szCs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2</w:t>
      </w:r>
      <w:r>
        <w:rPr>
          <w:rFonts w:hint="eastAsia" w:hAnsi="宋体"/>
          <w:bCs/>
          <w:color w:val="000000" w:themeColor="text1"/>
          <w:sz w:val="21"/>
          <w:highlight w:val="none"/>
          <w14:textFill>
            <w14:solidFill>
              <w14:schemeClr w14:val="tx1"/>
            </w14:solidFill>
          </w14:textFill>
        </w:rPr>
        <w:t>、文件的封面格式由投</w:t>
      </w:r>
      <w:r>
        <w:rPr>
          <w:rFonts w:hint="eastAsia" w:hAnsi="宋体"/>
          <w:bCs/>
          <w:color w:val="000000" w:themeColor="text1"/>
          <w:sz w:val="21"/>
          <w:szCs w:val="21"/>
          <w:highlight w:val="none"/>
          <w14:textFill>
            <w14:solidFill>
              <w14:schemeClr w14:val="tx1"/>
            </w14:solidFill>
          </w14:textFill>
        </w:rPr>
        <w:t>标人自拟</w:t>
      </w:r>
      <w:r>
        <w:rPr>
          <w:rFonts w:hint="eastAsia" w:hAnsi="宋体"/>
          <w:bCs/>
          <w:color w:val="000000" w:themeColor="text1"/>
          <w:sz w:val="21"/>
          <w:highlight w:val="none"/>
          <w14:textFill>
            <w14:solidFill>
              <w14:schemeClr w14:val="tx1"/>
            </w14:solidFill>
          </w14:textFill>
        </w:rPr>
        <w:t>，并应注明“投标文件、项目编号、项目名称、投标人名称及地址、法定代表人（负责人）或授权代理人、联系电话、传真、邮编，并加盖投标人公章。</w:t>
      </w: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spacing w:line="440" w:lineRule="exact"/>
        <w:jc w:val="center"/>
        <w:rPr>
          <w:rFonts w:hAnsi="宋体"/>
          <w:bCs/>
          <w:color w:val="000000" w:themeColor="text1"/>
          <w:sz w:val="21"/>
          <w:highlight w:val="none"/>
          <w14:textFill>
            <w14:solidFill>
              <w14:schemeClr w14:val="tx1"/>
            </w14:solidFill>
          </w14:textFill>
        </w:rPr>
      </w:pPr>
    </w:p>
    <w:p>
      <w:pPr>
        <w:pStyle w:val="6"/>
        <w:spacing w:line="440" w:lineRule="exact"/>
        <w:jc w:val="center"/>
        <w:rPr>
          <w:rFonts w:hAnsi="宋体"/>
          <w:bCs/>
          <w:color w:val="000000" w:themeColor="text1"/>
          <w:sz w:val="21"/>
          <w:highlight w:val="none"/>
          <w14:textFill>
            <w14:solidFill>
              <w14:schemeClr w14:val="tx1"/>
            </w14:solidFill>
          </w14:textFill>
        </w:rPr>
      </w:pPr>
    </w:p>
    <w:p>
      <w:pPr>
        <w:pStyle w:val="6"/>
        <w:spacing w:line="440" w:lineRule="exact"/>
        <w:jc w:val="center"/>
        <w:rPr>
          <w:rFonts w:hAnsi="宋体"/>
          <w:bCs/>
          <w:color w:val="000000" w:themeColor="text1"/>
          <w:sz w:val="21"/>
          <w:highlight w:val="none"/>
          <w14:textFill>
            <w14:solidFill>
              <w14:schemeClr w14:val="tx1"/>
            </w14:solidFill>
          </w14:textFill>
        </w:rPr>
      </w:pPr>
    </w:p>
    <w:p>
      <w:pPr>
        <w:pStyle w:val="6"/>
        <w:spacing w:line="440" w:lineRule="exact"/>
        <w:jc w:val="center"/>
        <w:rPr>
          <w:rFonts w:hAnsi="宋体"/>
          <w:bCs/>
          <w:color w:val="000000" w:themeColor="text1"/>
          <w:sz w:val="21"/>
          <w:highlight w:val="none"/>
          <w14:textFill>
            <w14:solidFill>
              <w14:schemeClr w14:val="tx1"/>
            </w14:solidFill>
          </w14:textFill>
        </w:rPr>
      </w:pPr>
    </w:p>
    <w:p>
      <w:pPr>
        <w:pStyle w:val="6"/>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bCs/>
          <w:color w:val="000000" w:themeColor="text1"/>
          <w:sz w:val="52"/>
          <w:szCs w:val="52"/>
          <w:highlight w:val="none"/>
          <w14:textFill>
            <w14:solidFill>
              <w14:schemeClr w14:val="tx1"/>
            </w14:solidFill>
          </w14:textFill>
        </w:rPr>
        <w:t>投标文件（□正本、□副本</w:t>
      </w:r>
      <w:r>
        <w:rPr>
          <w:rFonts w:hint="eastAsia" w:hAnsi="宋体"/>
          <w:bCs/>
          <w:color w:val="000000" w:themeColor="text1"/>
          <w:sz w:val="52"/>
          <w:szCs w:val="52"/>
          <w:highlight w:val="none"/>
          <w14:textFill>
            <w14:solidFill>
              <w14:schemeClr w14:val="tx1"/>
            </w14:solidFill>
          </w14:textFill>
        </w:rPr>
        <w:t>）</w:t>
      </w:r>
    </w:p>
    <w:p>
      <w:pPr>
        <w:pStyle w:val="6"/>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color w:val="000000" w:themeColor="text1"/>
          <w:sz w:val="44"/>
          <w:szCs w:val="44"/>
          <w:highlight w:val="none"/>
          <w14:textFill>
            <w14:solidFill>
              <w14:schemeClr w14:val="tx1"/>
            </w14:solidFill>
          </w14:textFill>
        </w:rPr>
        <w:t>（资格审查文件）</w:t>
      </w:r>
    </w:p>
    <w:p>
      <w:pPr>
        <w:pStyle w:val="6"/>
        <w:spacing w:line="360" w:lineRule="auto"/>
        <w:jc w:val="center"/>
        <w:rPr>
          <w:rFonts w:hAnsi="宋体"/>
          <w:bCs/>
          <w:color w:val="000000" w:themeColor="text1"/>
          <w:sz w:val="52"/>
          <w:szCs w:val="52"/>
          <w:highlight w:val="none"/>
          <w14:textFill>
            <w14:solidFill>
              <w14:schemeClr w14:val="tx1"/>
            </w14:solidFill>
          </w14:textFill>
        </w:rPr>
      </w:pPr>
    </w:p>
    <w:p>
      <w:pPr>
        <w:pStyle w:val="6"/>
        <w:spacing w:line="360" w:lineRule="auto"/>
        <w:jc w:val="center"/>
        <w:rPr>
          <w:rFonts w:hAnsi="宋体"/>
          <w:bCs/>
          <w:color w:val="000000" w:themeColor="text1"/>
          <w:sz w:val="52"/>
          <w:szCs w:val="52"/>
          <w:highlight w:val="none"/>
          <w14:textFill>
            <w14:solidFill>
              <w14:schemeClr w14:val="tx1"/>
            </w14:solidFill>
          </w14:textFill>
        </w:rPr>
      </w:pPr>
    </w:p>
    <w:p>
      <w:pPr>
        <w:pStyle w:val="6"/>
        <w:spacing w:line="360" w:lineRule="auto"/>
        <w:jc w:val="center"/>
        <w:rPr>
          <w:rFonts w:hAnsi="宋体"/>
          <w:bCs/>
          <w:color w:val="000000" w:themeColor="text1"/>
          <w:sz w:val="52"/>
          <w:szCs w:val="52"/>
          <w:highlight w:val="none"/>
          <w14:textFill>
            <w14:solidFill>
              <w14:schemeClr w14:val="tx1"/>
            </w14:solidFill>
          </w14:textFill>
        </w:rPr>
      </w:pPr>
    </w:p>
    <w:p>
      <w:pPr>
        <w:pStyle w:val="6"/>
        <w:spacing w:line="360" w:lineRule="auto"/>
        <w:jc w:val="center"/>
        <w:rPr>
          <w:rFonts w:hAnsi="宋体"/>
          <w:bCs/>
          <w:color w:val="000000" w:themeColor="text1"/>
          <w:sz w:val="52"/>
          <w:szCs w:val="52"/>
          <w:highlight w:val="none"/>
          <w14:textFill>
            <w14:solidFill>
              <w14:schemeClr w14:val="tx1"/>
            </w14:solidFill>
          </w14:textFill>
        </w:rPr>
      </w:pPr>
    </w:p>
    <w:p>
      <w:pPr>
        <w:pStyle w:val="6"/>
        <w:spacing w:line="360" w:lineRule="auto"/>
        <w:jc w:val="center"/>
        <w:rPr>
          <w:rFonts w:hAnsi="宋体"/>
          <w:bCs/>
          <w:color w:val="000000" w:themeColor="text1"/>
          <w:sz w:val="52"/>
          <w:szCs w:val="52"/>
          <w:highlight w:val="none"/>
          <w14:textFill>
            <w14:solidFill>
              <w14:schemeClr w14:val="tx1"/>
            </w14:solidFill>
          </w14:textFill>
        </w:rPr>
      </w:pPr>
    </w:p>
    <w:p>
      <w:pPr>
        <w:pStyle w:val="6"/>
        <w:spacing w:line="440" w:lineRule="exact"/>
        <w:jc w:val="center"/>
        <w:rPr>
          <w:rFonts w:hAnsi="宋体"/>
          <w:bCs/>
          <w:color w:val="000000" w:themeColor="text1"/>
          <w:sz w:val="21"/>
          <w:highlight w:val="none"/>
          <w14:textFill>
            <w14:solidFill>
              <w14:schemeClr w14:val="tx1"/>
            </w14:solidFill>
          </w14:textFill>
        </w:rPr>
      </w:pPr>
    </w:p>
    <w:p>
      <w:pPr>
        <w:pStyle w:val="6"/>
        <w:spacing w:line="440" w:lineRule="exact"/>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项目编号：</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项目名称：</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cs="宋体"/>
          <w:color w:val="000000" w:themeColor="text1"/>
          <w:sz w:val="21"/>
          <w:szCs w:val="21"/>
          <w:highlight w:val="none"/>
          <w:u w:val="single"/>
          <w14:textFill>
            <w14:solidFill>
              <w14:schemeClr w14:val="tx1"/>
            </w14:solidFill>
          </w14:textFill>
        </w:rPr>
        <w:t>采购项目名称，由投标人填写</w:t>
      </w:r>
      <w:r>
        <w:rPr>
          <w:rFonts w:hint="eastAsia" w:hAnsi="宋体" w:cs="宋体"/>
          <w:b/>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投标人名称（公章）：</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投标人地址：</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法定代表人（负责人）或授权代理人（签字）</w:t>
      </w:r>
      <w:r>
        <w:rPr>
          <w:rFonts w:hAnsi="宋体"/>
          <w:bCs/>
          <w:color w:val="000000" w:themeColor="text1"/>
          <w:sz w:val="21"/>
          <w:highlight w:val="none"/>
          <w14:textFill>
            <w14:solidFill>
              <w14:schemeClr w14:val="tx1"/>
            </w14:solidFill>
          </w14:textFill>
        </w:rPr>
        <w:t>：</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联系</w:t>
      </w:r>
      <w:r>
        <w:rPr>
          <w:rFonts w:hAnsi="宋体"/>
          <w:bCs/>
          <w:color w:val="000000" w:themeColor="text1"/>
          <w:sz w:val="21"/>
          <w:highlight w:val="none"/>
          <w14:textFill>
            <w14:solidFill>
              <w14:schemeClr w14:val="tx1"/>
            </w14:solidFill>
          </w14:textFill>
        </w:rPr>
        <w:t>电话：</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传真：</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Ansi="宋体"/>
          <w:bCs/>
          <w:color w:val="000000" w:themeColor="text1"/>
          <w:sz w:val="21"/>
          <w:highlight w:val="none"/>
          <w14:textFill>
            <w14:solidFill>
              <w14:schemeClr w14:val="tx1"/>
            </w14:solidFill>
          </w14:textFill>
        </w:rPr>
        <w:t>邮编：</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color w:val="000000" w:themeColor="text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编制日期：</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年</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月</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日</w:t>
      </w: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pStyle w:val="5"/>
        <w:numPr>
          <w:ilvl w:val="7"/>
          <w:numId w:val="6"/>
        </w:numPr>
        <w:tabs>
          <w:tab w:val="clear" w:pos="720"/>
        </w:tabs>
        <w:spacing w:before="240" w:after="240" w:line="360" w:lineRule="exact"/>
        <w:ind w:left="0" w:firstLine="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 xml:space="preserve">  </w:t>
      </w:r>
      <w:bookmarkStart w:id="1653" w:name="_Toc31809"/>
      <w:bookmarkStart w:id="1654" w:name="_Toc20976"/>
      <w:r>
        <w:rPr>
          <w:rFonts w:hint="eastAsia"/>
          <w:color w:val="000000" w:themeColor="text1"/>
          <w:sz w:val="24"/>
          <w:highlight w:val="none"/>
          <w14:textFill>
            <w14:solidFill>
              <w14:schemeClr w14:val="tx1"/>
            </w14:solidFill>
          </w14:textFill>
        </w:rPr>
        <w:t>自查表</w:t>
      </w:r>
      <w:bookmarkEnd w:id="1653"/>
      <w:bookmarkEnd w:id="1654"/>
    </w:p>
    <w:p>
      <w:pPr>
        <w:pStyle w:val="5"/>
        <w:keepLines w:val="0"/>
        <w:numPr>
          <w:ilvl w:val="0"/>
          <w:numId w:val="0"/>
        </w:numPr>
        <w:tabs>
          <w:tab w:val="left" w:pos="4320"/>
        </w:tabs>
        <w:spacing w:before="240" w:after="60" w:line="360" w:lineRule="exact"/>
        <w:rPr>
          <w:rFonts w:ascii="宋体"/>
          <w:b/>
          <w:bCs w:val="0"/>
          <w:color w:val="000000" w:themeColor="text1"/>
          <w:szCs w:val="21"/>
          <w:highlight w:val="none"/>
          <w14:textFill>
            <w14:solidFill>
              <w14:schemeClr w14:val="tx1"/>
            </w14:solidFill>
          </w14:textFill>
        </w:rPr>
      </w:pPr>
      <w:bookmarkStart w:id="1655" w:name="_Toc15898"/>
      <w:r>
        <w:rPr>
          <w:rFonts w:hint="eastAsia" w:ascii="宋体"/>
          <w:b/>
          <w:bCs w:val="0"/>
          <w:color w:val="000000" w:themeColor="text1"/>
          <w:szCs w:val="21"/>
          <w:highlight w:val="none"/>
          <w14:textFill>
            <w14:solidFill>
              <w14:schemeClr w14:val="tx1"/>
            </w14:solidFill>
          </w14:textFill>
        </w:rPr>
        <w:t xml:space="preserve"> </w:t>
      </w:r>
      <w:bookmarkStart w:id="1656" w:name="_Toc16433"/>
      <w:r>
        <w:rPr>
          <w:rFonts w:hint="eastAsia" w:ascii="宋体"/>
          <w:b/>
          <w:bCs w:val="0"/>
          <w:color w:val="000000" w:themeColor="text1"/>
          <w:szCs w:val="21"/>
          <w:highlight w:val="none"/>
          <w14:textFill>
            <w14:solidFill>
              <w14:schemeClr w14:val="tx1"/>
            </w14:solidFill>
          </w14:textFill>
        </w:rPr>
        <w:t>资格性自查表</w:t>
      </w:r>
      <w:bookmarkEnd w:id="1655"/>
      <w:bookmarkEnd w:id="1656"/>
    </w:p>
    <w:p>
      <w:pPr>
        <w:jc w:val="center"/>
        <w:rPr>
          <w:rFonts w:ascii="宋体" w:hAnsi="宋体"/>
          <w:b/>
          <w:bCs/>
          <w:color w:val="000000" w:themeColor="text1"/>
          <w:szCs w:val="21"/>
          <w:highlight w:val="none"/>
          <w14:textFill>
            <w14:solidFill>
              <w14:schemeClr w14:val="tx1"/>
            </w14:solidFill>
          </w14:textFill>
        </w:rPr>
      </w:pPr>
    </w:p>
    <w:tbl>
      <w:tblPr>
        <w:tblStyle w:val="46"/>
        <w:tblW w:w="9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1862"/>
        <w:gridCol w:w="2817"/>
        <w:gridCol w:w="1743"/>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774" w:type="dxa"/>
            <w:gridSpan w:val="2"/>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2817" w:type="dxa"/>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招标文件要求</w:t>
            </w:r>
          </w:p>
        </w:tc>
        <w:tc>
          <w:tcPr>
            <w:tcW w:w="1743" w:type="dxa"/>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2484" w:type="dxa"/>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0" w:hRule="atLeast"/>
          <w:jc w:val="center"/>
        </w:trPr>
        <w:tc>
          <w:tcPr>
            <w:tcW w:w="912" w:type="dxa"/>
            <w:vMerge w:val="restart"/>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资格性</w:t>
            </w:r>
          </w:p>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检查</w:t>
            </w:r>
          </w:p>
        </w:tc>
        <w:tc>
          <w:tcPr>
            <w:tcW w:w="1862" w:type="dxa"/>
            <w:vMerge w:val="restart"/>
            <w:vAlign w:val="center"/>
          </w:tcPr>
          <w:p>
            <w:pPr>
              <w:keepNext w:val="0"/>
              <w:keepLines w:val="0"/>
              <w:pageBreakBefore w:val="0"/>
              <w:widowControl w:val="0"/>
              <w:tabs>
                <w:tab w:val="left" w:pos="146"/>
              </w:tabs>
              <w:kinsoku/>
              <w:wordWrap/>
              <w:overflowPunct/>
              <w:topLinePunct w:val="0"/>
              <w:autoSpaceDE/>
              <w:autoSpaceDN/>
              <w:bidi w:val="0"/>
              <w:adjustRightInd/>
              <w:snapToGrid/>
              <w:spacing w:line="320" w:lineRule="exact"/>
              <w:ind w:left="146"/>
              <w:textAlignment w:val="auto"/>
              <w:rPr>
                <w:rFonts w:ascii="宋体" w:hAnsi="宋体"/>
                <w:b w:val="0"/>
                <w:bCs w:val="0"/>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14:textFill>
                  <w14:solidFill>
                    <w14:schemeClr w14:val="tx1"/>
                  </w14:solidFill>
                </w14:textFill>
              </w:rPr>
              <w:t>投标人资格要求</w:t>
            </w:r>
          </w:p>
        </w:tc>
        <w:tc>
          <w:tcPr>
            <w:tcW w:w="2817" w:type="dxa"/>
            <w:vAlign w:val="center"/>
          </w:tcPr>
          <w:p>
            <w:pPr>
              <w:keepNext w:val="0"/>
              <w:keepLines w:val="0"/>
              <w:pageBreakBefore w:val="0"/>
              <w:widowControl w:val="0"/>
              <w:tabs>
                <w:tab w:val="left" w:pos="0"/>
              </w:tabs>
              <w:kinsoku/>
              <w:wordWrap/>
              <w:overflowPunct/>
              <w:topLinePunct w:val="0"/>
              <w:autoSpaceDE/>
              <w:autoSpaceDN/>
              <w:bidi w:val="0"/>
              <w:adjustRightInd/>
              <w:snapToGrid/>
              <w:spacing w:line="320" w:lineRule="exact"/>
              <w:textAlignment w:val="auto"/>
              <w:rPr>
                <w:rFonts w:ascii="宋体" w:hAnsi="宋体"/>
                <w:b w:val="0"/>
                <w:bCs w:val="0"/>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14:textFill>
                  <w14:solidFill>
                    <w14:schemeClr w14:val="tx1"/>
                  </w14:solidFill>
                </w14:textFill>
              </w:rPr>
              <w:t>投标人应具备《中华人民共和国政府采购法》第二十二条规定的条件</w:t>
            </w:r>
          </w:p>
        </w:tc>
        <w:tc>
          <w:tcPr>
            <w:tcW w:w="1743" w:type="dxa"/>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textAlignment w:val="auto"/>
              <w:rPr>
                <w:rFonts w:ascii="宋体" w:hAnsi="宋体"/>
                <w:b/>
                <w:bCs/>
                <w:color w:val="000000" w:themeColor="text1"/>
                <w:szCs w:val="21"/>
                <w:highlight w:val="none"/>
                <w14:textFill>
                  <w14:solidFill>
                    <w14:schemeClr w14:val="tx1"/>
                  </w14:solidFill>
                </w14:textFill>
              </w:rPr>
            </w:pPr>
          </w:p>
        </w:tc>
        <w:tc>
          <w:tcPr>
            <w:tcW w:w="2484" w:type="dxa"/>
            <w:vAlign w:val="center"/>
          </w:tcPr>
          <w:p>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见投标文件</w:t>
            </w:r>
          </w:p>
          <w:p>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第（  ）页</w:t>
            </w:r>
          </w:p>
          <w:p>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要求：提交合法有效的营业执照复印件加盖公章、</w:t>
            </w:r>
            <w:r>
              <w:rPr>
                <w:rFonts w:hint="eastAsia" w:ascii="宋体" w:hAnsi="宋体"/>
                <w:color w:val="000000" w:themeColor="text1"/>
                <w:kern w:val="0"/>
                <w:szCs w:val="21"/>
                <w:highlight w:val="none"/>
                <w14:textFill>
                  <w14:solidFill>
                    <w14:schemeClr w14:val="tx1"/>
                  </w14:solidFill>
                </w14:textFill>
              </w:rPr>
              <w:t>财务报表</w:t>
            </w:r>
            <w:r>
              <w:rPr>
                <w:rFonts w:hint="eastAsia" w:ascii="宋体" w:hAnsi="宋体"/>
                <w:color w:val="000000" w:themeColor="text1"/>
                <w:szCs w:val="21"/>
                <w:highlight w:val="none"/>
                <w14:textFill>
                  <w14:solidFill>
                    <w14:schemeClr w14:val="tx1"/>
                  </w14:solidFill>
                </w14:textFill>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1" w:hRule="atLeast"/>
          <w:jc w:val="center"/>
        </w:trPr>
        <w:tc>
          <w:tcPr>
            <w:tcW w:w="912" w:type="dxa"/>
            <w:vMerge w:val="continue"/>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hint="eastAsia" w:ascii="宋体" w:hAnsi="宋体"/>
                <w:color w:val="000000" w:themeColor="text1"/>
                <w:szCs w:val="21"/>
                <w:highlight w:val="none"/>
                <w14:textFill>
                  <w14:solidFill>
                    <w14:schemeClr w14:val="tx1"/>
                  </w14:solidFill>
                </w14:textFill>
              </w:rPr>
            </w:pPr>
          </w:p>
        </w:tc>
        <w:tc>
          <w:tcPr>
            <w:tcW w:w="1862" w:type="dxa"/>
            <w:vMerge w:val="continue"/>
            <w:vAlign w:val="center"/>
          </w:tcPr>
          <w:p>
            <w:pPr>
              <w:keepNext w:val="0"/>
              <w:keepLines w:val="0"/>
              <w:pageBreakBefore w:val="0"/>
              <w:widowControl w:val="0"/>
              <w:tabs>
                <w:tab w:val="left" w:pos="146"/>
              </w:tabs>
              <w:kinsoku/>
              <w:wordWrap/>
              <w:overflowPunct/>
              <w:topLinePunct w:val="0"/>
              <w:autoSpaceDE/>
              <w:autoSpaceDN/>
              <w:bidi w:val="0"/>
              <w:adjustRightInd/>
              <w:snapToGrid/>
              <w:spacing w:line="320" w:lineRule="exact"/>
              <w:ind w:left="146"/>
              <w:textAlignment w:val="auto"/>
              <w:rPr>
                <w:rFonts w:hint="eastAsia" w:ascii="宋体" w:hAnsi="宋体"/>
                <w:b w:val="0"/>
                <w:bCs w:val="0"/>
                <w:color w:val="000000" w:themeColor="text1"/>
                <w:szCs w:val="21"/>
                <w:highlight w:val="none"/>
                <w14:textFill>
                  <w14:solidFill>
                    <w14:schemeClr w14:val="tx1"/>
                  </w14:solidFill>
                </w14:textFill>
              </w:rPr>
            </w:pPr>
          </w:p>
        </w:tc>
        <w:tc>
          <w:tcPr>
            <w:tcW w:w="2817" w:type="dxa"/>
            <w:vAlign w:val="center"/>
          </w:tcPr>
          <w:p>
            <w:pPr>
              <w:keepNext w:val="0"/>
              <w:keepLines w:val="0"/>
              <w:pageBreakBefore w:val="0"/>
              <w:widowControl w:val="0"/>
              <w:tabs>
                <w:tab w:val="left" w:pos="0"/>
              </w:tabs>
              <w:kinsoku/>
              <w:wordWrap/>
              <w:overflowPunct/>
              <w:topLinePunct w:val="0"/>
              <w:autoSpaceDE/>
              <w:autoSpaceDN/>
              <w:bidi w:val="0"/>
              <w:adjustRightInd/>
              <w:snapToGrid/>
              <w:spacing w:line="320" w:lineRule="exact"/>
              <w:textAlignment w:val="auto"/>
              <w:rPr>
                <w:rFonts w:hint="eastAsia" w:ascii="宋体" w:hAnsi="宋体"/>
                <w:b w:val="0"/>
                <w:bCs w:val="0"/>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14:textFill>
                  <w14:solidFill>
                    <w14:schemeClr w14:val="tx1"/>
                  </w14:solidFill>
                </w14:textFill>
              </w:rPr>
              <w:t>投标人须是在中华人民共和国境内注册，且经中国人民银行批准设立的，在阳江地区</w:t>
            </w:r>
            <w:r>
              <w:rPr>
                <w:rFonts w:hint="eastAsia" w:ascii="宋体" w:hAnsi="宋体"/>
                <w:b w:val="0"/>
                <w:bCs w:val="0"/>
                <w:color w:val="000000" w:themeColor="text1"/>
                <w:szCs w:val="21"/>
                <w:highlight w:val="none"/>
                <w:lang w:eastAsia="zh-CN"/>
                <w14:textFill>
                  <w14:solidFill>
                    <w14:schemeClr w14:val="tx1"/>
                  </w14:solidFill>
                </w14:textFill>
              </w:rPr>
              <w:t>具备</w:t>
            </w:r>
            <w:r>
              <w:rPr>
                <w:rFonts w:hint="eastAsia" w:ascii="宋体" w:hAnsi="宋体"/>
                <w:b w:val="0"/>
                <w:bCs w:val="0"/>
                <w:color w:val="000000" w:themeColor="text1"/>
                <w:szCs w:val="21"/>
                <w:highlight w:val="none"/>
                <w14:textFill>
                  <w14:solidFill>
                    <w14:schemeClr w14:val="tx1"/>
                  </w14:solidFill>
                </w14:textFill>
              </w:rPr>
              <w:t>经营银行业务资格的金融机构</w:t>
            </w:r>
            <w:r>
              <w:rPr>
                <w:rFonts w:hint="eastAsia" w:ascii="宋体" w:hAnsi="宋体"/>
                <w:b w:val="0"/>
                <w:bCs w:val="0"/>
                <w:color w:val="000000" w:themeColor="text1"/>
                <w:szCs w:val="21"/>
                <w:highlight w:val="none"/>
                <w:lang w:eastAsia="zh-CN"/>
                <w14:textFill>
                  <w14:solidFill>
                    <w14:schemeClr w14:val="tx1"/>
                  </w14:solidFill>
                </w14:textFill>
              </w:rPr>
              <w:t>，并在</w:t>
            </w:r>
            <w:r>
              <w:rPr>
                <w:rFonts w:hint="eastAsia" w:ascii="宋体" w:hAnsi="宋体"/>
                <w:b w:val="0"/>
                <w:bCs w:val="0"/>
                <w:color w:val="000000" w:themeColor="text1"/>
                <w:szCs w:val="21"/>
                <w:highlight w:val="none"/>
                <w14:textFill>
                  <w14:solidFill>
                    <w14:schemeClr w14:val="tx1"/>
                  </w14:solidFill>
                </w14:textFill>
              </w:rPr>
              <w:t>海陵区</w:t>
            </w:r>
            <w:r>
              <w:rPr>
                <w:rFonts w:hint="eastAsia" w:ascii="宋体" w:hAnsi="宋体"/>
                <w:b w:val="0"/>
                <w:bCs w:val="0"/>
                <w:color w:val="000000" w:themeColor="text1"/>
                <w:szCs w:val="21"/>
                <w:highlight w:val="none"/>
                <w:lang w:eastAsia="zh-CN"/>
                <w14:textFill>
                  <w14:solidFill>
                    <w14:schemeClr w14:val="tx1"/>
                  </w14:solidFill>
                </w14:textFill>
              </w:rPr>
              <w:t>内设立金融网点（不含自助银行），</w:t>
            </w:r>
            <w:r>
              <w:rPr>
                <w:rFonts w:hint="eastAsia" w:ascii="宋体" w:hAnsi="宋体"/>
                <w:b w:val="0"/>
                <w:bCs w:val="0"/>
                <w:color w:val="000000" w:themeColor="text1"/>
                <w:szCs w:val="21"/>
                <w:highlight w:val="none"/>
                <w14:textFill>
                  <w14:solidFill>
                    <w14:schemeClr w14:val="tx1"/>
                  </w14:solidFill>
                </w14:textFill>
              </w:rPr>
              <w:t>（</w:t>
            </w:r>
            <w:r>
              <w:rPr>
                <w:rFonts w:hint="eastAsia" w:ascii="宋体" w:hAnsi="宋体"/>
                <w:b w:val="0"/>
                <w:bCs w:val="0"/>
                <w:color w:val="000000" w:themeColor="text1"/>
                <w:szCs w:val="21"/>
                <w:highlight w:val="none"/>
                <w:lang w:eastAsia="zh-CN"/>
                <w14:textFill>
                  <w14:solidFill>
                    <w14:schemeClr w14:val="tx1"/>
                  </w14:solidFill>
                </w14:textFill>
              </w:rPr>
              <w:t>需</w:t>
            </w:r>
            <w:r>
              <w:rPr>
                <w:rFonts w:hint="eastAsia" w:ascii="宋体" w:hAnsi="宋体"/>
                <w:b w:val="0"/>
                <w:bCs w:val="0"/>
                <w:color w:val="000000" w:themeColor="text1"/>
                <w:szCs w:val="21"/>
                <w:highlight w:val="none"/>
                <w14:textFill>
                  <w14:solidFill>
                    <w14:schemeClr w14:val="tx1"/>
                  </w14:solidFill>
                </w14:textFill>
              </w:rPr>
              <w:t>提供中国银行业监督管理部门核发的《金融许可证》）</w:t>
            </w:r>
          </w:p>
        </w:tc>
        <w:tc>
          <w:tcPr>
            <w:tcW w:w="1743" w:type="dxa"/>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textAlignment w:val="auto"/>
              <w:rPr>
                <w:rFonts w:ascii="宋体" w:hAnsi="宋体"/>
                <w:b/>
                <w:bCs/>
                <w:color w:val="000000" w:themeColor="text1"/>
                <w:szCs w:val="21"/>
                <w:highlight w:val="none"/>
                <w14:textFill>
                  <w14:solidFill>
                    <w14:schemeClr w14:val="tx1"/>
                  </w14:solidFill>
                </w14:textFill>
              </w:rPr>
            </w:pPr>
          </w:p>
        </w:tc>
        <w:tc>
          <w:tcPr>
            <w:tcW w:w="2484" w:type="dxa"/>
            <w:vAlign w:val="center"/>
          </w:tcPr>
          <w:p>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912" w:type="dxa"/>
            <w:vMerge w:val="continue"/>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480" w:hanging="480"/>
              <w:jc w:val="center"/>
              <w:textAlignment w:val="auto"/>
              <w:rPr>
                <w:rFonts w:ascii="宋体" w:hAnsi="宋体"/>
                <w:color w:val="000000" w:themeColor="text1"/>
                <w:szCs w:val="21"/>
                <w:highlight w:val="none"/>
                <w14:textFill>
                  <w14:solidFill>
                    <w14:schemeClr w14:val="tx1"/>
                  </w14:solidFill>
                </w14:textFill>
              </w:rPr>
            </w:pPr>
          </w:p>
        </w:tc>
        <w:tc>
          <w:tcPr>
            <w:tcW w:w="1862" w:type="dxa"/>
            <w:vAlign w:val="center"/>
          </w:tcPr>
          <w:p>
            <w:pPr>
              <w:keepNext w:val="0"/>
              <w:keepLines w:val="0"/>
              <w:pageBreakBefore w:val="0"/>
              <w:widowControl w:val="0"/>
              <w:tabs>
                <w:tab w:val="left" w:pos="146"/>
              </w:tabs>
              <w:kinsoku/>
              <w:wordWrap/>
              <w:overflowPunct/>
              <w:topLinePunct w:val="0"/>
              <w:autoSpaceDE/>
              <w:autoSpaceDN/>
              <w:bidi w:val="0"/>
              <w:adjustRightInd/>
              <w:snapToGrid/>
              <w:spacing w:line="320" w:lineRule="exact"/>
              <w:ind w:left="146"/>
              <w:textAlignment w:val="auto"/>
              <w:rPr>
                <w:rFonts w:ascii="宋体" w:hAnsi="宋体"/>
                <w:b w:val="0"/>
                <w:bCs w:val="0"/>
                <w:color w:val="000000" w:themeColor="text1"/>
                <w:szCs w:val="21"/>
                <w:highlight w:val="none"/>
                <w14:textFill>
                  <w14:solidFill>
                    <w14:schemeClr w14:val="tx1"/>
                  </w14:solidFill>
                </w14:textFill>
              </w:rPr>
            </w:pPr>
            <w:r>
              <w:rPr>
                <w:rFonts w:hint="eastAsia" w:ascii="宋体" w:hAnsi="宋体"/>
                <w:b w:val="0"/>
                <w:bCs w:val="0"/>
                <w:color w:val="000000" w:themeColor="text1"/>
                <w:szCs w:val="21"/>
                <w:highlight w:val="none"/>
                <w:lang w:val="en-US" w:eastAsia="zh-CN"/>
                <w14:textFill>
                  <w14:solidFill>
                    <w14:schemeClr w14:val="tx1"/>
                  </w14:solidFill>
                </w14:textFill>
              </w:rPr>
              <w:t>本项目不接受联合体投标，中标单位不得转分包项目</w:t>
            </w:r>
          </w:p>
        </w:tc>
        <w:tc>
          <w:tcPr>
            <w:tcW w:w="2817" w:type="dxa"/>
            <w:vAlign w:val="center"/>
          </w:tcPr>
          <w:p>
            <w:pPr>
              <w:keepNext w:val="0"/>
              <w:keepLines w:val="0"/>
              <w:pageBreakBefore w:val="0"/>
              <w:widowControl w:val="0"/>
              <w:tabs>
                <w:tab w:val="left" w:pos="0"/>
              </w:tabs>
              <w:kinsoku/>
              <w:wordWrap/>
              <w:overflowPunct/>
              <w:topLinePunct w:val="0"/>
              <w:autoSpaceDE/>
              <w:autoSpaceDN/>
              <w:bidi w:val="0"/>
              <w:adjustRightInd/>
              <w:snapToGrid/>
              <w:spacing w:line="320" w:lineRule="exact"/>
              <w:textAlignment w:val="auto"/>
              <w:rPr>
                <w:rFonts w:ascii="宋体" w:hAnsi="宋体"/>
                <w:b w:val="0"/>
                <w:bCs w:val="0"/>
                <w:color w:val="000000" w:themeColor="text1"/>
                <w:sz w:val="24"/>
                <w:szCs w:val="24"/>
                <w:highlight w:val="none"/>
                <w14:textFill>
                  <w14:solidFill>
                    <w14:schemeClr w14:val="tx1"/>
                  </w14:solidFill>
                </w14:textFill>
              </w:rPr>
            </w:pPr>
            <w:r>
              <w:rPr>
                <w:rFonts w:hint="eastAsia" w:ascii="宋体" w:hAnsi="宋体"/>
                <w:b w:val="0"/>
                <w:bCs w:val="0"/>
                <w:color w:val="000000" w:themeColor="text1"/>
                <w:sz w:val="21"/>
                <w:szCs w:val="21"/>
                <w:highlight w:val="none"/>
                <w14:textFill>
                  <w14:solidFill>
                    <w14:schemeClr w14:val="tx1"/>
                  </w14:solidFill>
                </w14:textFill>
              </w:rPr>
              <w:t>按招标文件要求</w:t>
            </w:r>
          </w:p>
        </w:tc>
        <w:tc>
          <w:tcPr>
            <w:tcW w:w="1743" w:type="dxa"/>
            <w:vAlign w:val="center"/>
          </w:tcPr>
          <w:p>
            <w:pPr>
              <w:keepNext w:val="0"/>
              <w:keepLines w:val="0"/>
              <w:pageBreakBefore w:val="0"/>
              <w:widowControl w:val="0"/>
              <w:tabs>
                <w:tab w:val="left" w:pos="480"/>
              </w:tabs>
              <w:kinsoku/>
              <w:wordWrap/>
              <w:overflowPunct/>
              <w:topLinePunct w:val="0"/>
              <w:autoSpaceDE/>
              <w:autoSpaceDN/>
              <w:bidi w:val="0"/>
              <w:adjustRightInd/>
              <w:snapToGrid/>
              <w:spacing w:line="320" w:lineRule="exact"/>
              <w:ind w:left="-107" w:leftChars="-51" w:firstLine="106"/>
              <w:textAlignment w:val="auto"/>
              <w:rPr>
                <w:rFonts w:ascii="宋体" w:hAnsi="宋体"/>
                <w:b/>
                <w:bCs/>
                <w:color w:val="000000" w:themeColor="text1"/>
                <w:szCs w:val="21"/>
                <w:highlight w:val="none"/>
                <w14:textFill>
                  <w14:solidFill>
                    <w14:schemeClr w14:val="tx1"/>
                  </w14:solidFill>
                </w14:textFill>
              </w:rPr>
            </w:pPr>
          </w:p>
        </w:tc>
        <w:tc>
          <w:tcPr>
            <w:tcW w:w="2484" w:type="dxa"/>
            <w:vAlign w:val="center"/>
          </w:tcPr>
          <w:p>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keepNext w:val="0"/>
              <w:keepLines w:val="0"/>
              <w:pageBreakBefore w:val="0"/>
              <w:widowControl w:val="0"/>
              <w:tabs>
                <w:tab w:val="left" w:pos="0"/>
              </w:tabs>
              <w:kinsoku/>
              <w:wordWrap/>
              <w:overflowPunct/>
              <w:topLinePunct w:val="0"/>
              <w:autoSpaceDE/>
              <w:autoSpaceDN/>
              <w:bidi w:val="0"/>
              <w:adjustRightInd/>
              <w:snapToGrid/>
              <w:spacing w:line="320" w:lineRule="exact"/>
              <w:jc w:val="center"/>
              <w:textAlignment w:val="auto"/>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tabs>
          <w:tab w:val="center" w:pos="4483"/>
        </w:tabs>
        <w:rPr>
          <w:rFonts w:hint="eastAsia" w:ascii="宋体" w:hAnsi="宋体"/>
          <w:color w:val="000000" w:themeColor="text1"/>
          <w:szCs w:val="21"/>
          <w:highlight w:val="none"/>
          <w14:textFill>
            <w14:solidFill>
              <w14:schemeClr w14:val="tx1"/>
            </w14:solidFill>
          </w14:textFill>
        </w:rPr>
      </w:pPr>
    </w:p>
    <w:p>
      <w:pPr>
        <w:tabs>
          <w:tab w:val="center" w:pos="4483"/>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注：以上材料将作为投标人资格性审核的重要内容之一，投标人必须严格按照其内容及序列要求在投标文件中对应如实提供，对缺漏和不符合项或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tabs>
          <w:tab w:val="center" w:pos="4483"/>
        </w:tabs>
        <w:ind w:left="525" w:leftChars="50" w:hanging="420" w:hangingChars="2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w:t>
      </w:r>
    </w:p>
    <w:p>
      <w:pPr>
        <w:adjustRightInd w:val="0"/>
        <w:snapToGrid w:val="0"/>
        <w:spacing w:line="300" w:lineRule="auto"/>
        <w:rPr>
          <w:color w:val="000000" w:themeColor="text1"/>
          <w:szCs w:val="2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adjustRightInd w:val="0"/>
        <w:snapToGrid w:val="0"/>
        <w:spacing w:line="300" w:lineRule="auto"/>
        <w:rPr>
          <w:color w:val="000000" w:themeColor="text1"/>
          <w:sz w:val="24"/>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bookmarkStart w:id="1657" w:name="_Toc21470"/>
      <w:r>
        <w:rPr>
          <w:rFonts w:hint="eastAsia"/>
          <w:color w:val="000000" w:themeColor="text1"/>
          <w:highlight w:val="none"/>
          <w14:textFill>
            <w14:solidFill>
              <w14:schemeClr w14:val="tx1"/>
            </w14:solidFill>
          </w14:textFill>
        </w:rPr>
        <w:br w:type="page"/>
      </w:r>
    </w:p>
    <w:p>
      <w:pPr>
        <w:pStyle w:val="5"/>
        <w:numPr>
          <w:ilvl w:val="0"/>
          <w:numId w:val="0"/>
        </w:numPr>
        <w:rPr>
          <w:color w:val="000000" w:themeColor="text1"/>
          <w:highlight w:val="none"/>
          <w14:textFill>
            <w14:solidFill>
              <w14:schemeClr w14:val="tx1"/>
            </w14:solidFill>
          </w14:textFill>
        </w:rPr>
      </w:pPr>
      <w:bookmarkStart w:id="1658" w:name="_Toc23451"/>
      <w:r>
        <w:rPr>
          <w:rFonts w:hint="eastAsia"/>
          <w:color w:val="000000" w:themeColor="text1"/>
          <w:highlight w:val="none"/>
          <w14:textFill>
            <w14:solidFill>
              <w14:schemeClr w14:val="tx1"/>
            </w14:solidFill>
          </w14:textFill>
        </w:rPr>
        <w:t>（一）资格审查文件要求提交的有效证明文件</w:t>
      </w:r>
      <w:bookmarkEnd w:id="1657"/>
      <w:bookmarkEnd w:id="1658"/>
    </w:p>
    <w:p>
      <w:pPr>
        <w:adjustRightInd w:val="0"/>
        <w:snapToGrid w:val="0"/>
        <w:spacing w:line="360" w:lineRule="auto"/>
        <w:jc w:val="left"/>
        <w:rPr>
          <w:rFonts w:ascii="宋体" w:hAnsi="宋体"/>
          <w:b/>
          <w:bCs/>
          <w:cap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pPr>
        <w:pStyle w:val="6"/>
        <w:rPr>
          <w:color w:val="000000" w:themeColor="text1"/>
          <w:highlight w:val="none"/>
          <w14:textFill>
            <w14:solidFill>
              <w14:schemeClr w14:val="tx1"/>
            </w14:solidFill>
          </w14:textFill>
        </w:rPr>
      </w:pP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1、合法有效的营业执照复印件加盖公章；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ascii="宋体" w:hAnsi="宋体"/>
          <w:color w:val="000000" w:themeColor="text1"/>
          <w:kern w:val="0"/>
          <w:szCs w:val="21"/>
          <w:highlight w:val="none"/>
          <w14:textFill>
            <w14:solidFill>
              <w14:schemeClr w14:val="tx1"/>
            </w14:solidFill>
          </w14:textFill>
        </w:rPr>
        <w:t>财务报表</w:t>
      </w:r>
      <w:r>
        <w:rPr>
          <w:rFonts w:hint="eastAsia" w:ascii="宋体" w:hAnsi="宋体"/>
          <w:color w:val="000000" w:themeColor="text1"/>
          <w:szCs w:val="21"/>
          <w:highlight w:val="none"/>
          <w14:textFill>
            <w14:solidFill>
              <w14:schemeClr w14:val="tx1"/>
            </w14:solidFill>
          </w14:textFill>
        </w:rPr>
        <w:t>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3、缴税证明复印件加盖公章；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4、社会保险证明复印件加盖公章；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w:t>
      </w:r>
      <w:r>
        <w:rPr>
          <w:rFonts w:hint="eastAsia" w:hAnsi="黑体"/>
          <w:color w:val="000000" w:themeColor="text1"/>
          <w:szCs w:val="21"/>
          <w:highlight w:val="none"/>
          <w14:textFill>
            <w14:solidFill>
              <w14:schemeClr w14:val="tx1"/>
            </w14:solidFill>
          </w14:textFill>
        </w:rPr>
        <w:t>无重大违法记录声明函</w:t>
      </w:r>
      <w:r>
        <w:rPr>
          <w:rFonts w:hint="eastAsia" w:ascii="宋体" w:hAnsi="宋体"/>
          <w:color w:val="000000" w:themeColor="text1"/>
          <w:szCs w:val="21"/>
          <w:highlight w:val="none"/>
          <w14:textFill>
            <w14:solidFill>
              <w14:schemeClr w14:val="tx1"/>
            </w14:solidFill>
          </w14:textFill>
        </w:rPr>
        <w:t>；</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6、相关资质证明文件：</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w:t>
      </w:r>
      <w:r>
        <w:rPr>
          <w:rFonts w:ascii="宋体" w:hAnsi="宋体"/>
          <w:color w:val="000000" w:themeColor="text1"/>
          <w:szCs w:val="21"/>
          <w:highlight w:val="none"/>
          <w14:textFill>
            <w14:solidFill>
              <w14:schemeClr w14:val="tx1"/>
            </w14:solidFill>
          </w14:textFill>
        </w:rPr>
        <w:t>………</w:t>
      </w:r>
    </w:p>
    <w:p>
      <w:pPr>
        <w:pStyle w:val="6"/>
        <w:rPr>
          <w:rFonts w:hAnsi="宋体"/>
          <w:bCs/>
          <w:color w:val="000000" w:themeColor="text1"/>
          <w:sz w:val="21"/>
          <w:szCs w:val="21"/>
          <w:highlight w:val="none"/>
          <w14:textFill>
            <w14:solidFill>
              <w14:schemeClr w14:val="tx1"/>
            </w14:solidFill>
          </w14:textFill>
        </w:rPr>
      </w:pPr>
    </w:p>
    <w:p>
      <w:pPr>
        <w:pStyle w:val="6"/>
        <w:rPr>
          <w:rFonts w:hAnsi="宋体"/>
          <w:bCs/>
          <w:color w:val="000000" w:themeColor="text1"/>
          <w:sz w:val="21"/>
          <w:szCs w:val="21"/>
          <w:highlight w:val="none"/>
          <w14:textFill>
            <w14:solidFill>
              <w14:schemeClr w14:val="tx1"/>
            </w14:solidFill>
          </w14:textFill>
        </w:rPr>
      </w:pPr>
    </w:p>
    <w:p>
      <w:pPr>
        <w:pStyle w:val="6"/>
        <w:rPr>
          <w:rFonts w:hAnsi="宋体"/>
          <w:bCs/>
          <w:color w:val="000000" w:themeColor="text1"/>
          <w:sz w:val="21"/>
          <w:szCs w:val="21"/>
          <w:highlight w:val="none"/>
          <w14:textFill>
            <w14:solidFill>
              <w14:schemeClr w14:val="tx1"/>
            </w14:solidFill>
          </w14:textFill>
        </w:rPr>
      </w:pPr>
    </w:p>
    <w:p>
      <w:pPr>
        <w:pStyle w:val="6"/>
        <w:rPr>
          <w:rFonts w:hAnsi="宋体"/>
          <w:bCs/>
          <w:color w:val="000000" w:themeColor="text1"/>
          <w:sz w:val="21"/>
          <w:szCs w:val="21"/>
          <w:highlight w:val="none"/>
          <w14:textFill>
            <w14:solidFill>
              <w14:schemeClr w14:val="tx1"/>
            </w14:solidFill>
          </w14:textFill>
        </w:rPr>
      </w:pPr>
    </w:p>
    <w:p>
      <w:pPr>
        <w:pStyle w:val="6"/>
        <w:rPr>
          <w:rFonts w:hAnsi="宋体"/>
          <w:color w:val="000000" w:themeColor="text1"/>
          <w:sz w:val="21"/>
          <w:szCs w:val="2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提供招标文件要求的资格</w:t>
      </w:r>
      <w:r>
        <w:rPr>
          <w:rFonts w:hint="eastAsia" w:hAnsi="宋体"/>
          <w:color w:val="000000" w:themeColor="text1"/>
          <w:sz w:val="21"/>
          <w:szCs w:val="21"/>
          <w:highlight w:val="none"/>
          <w14:textFill>
            <w14:solidFill>
              <w14:schemeClr w14:val="tx1"/>
            </w14:solidFill>
          </w14:textFill>
        </w:rPr>
        <w:t>证明文件复印件加盖公章。</w:t>
      </w: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5"/>
        <w:numPr>
          <w:ilvl w:val="0"/>
          <w:numId w:val="0"/>
        </w:numPr>
        <w:rPr>
          <w:rFonts w:hAnsi="黑体"/>
          <w:color w:val="000000" w:themeColor="text1"/>
          <w:szCs w:val="21"/>
          <w:highlight w:val="none"/>
          <w14:textFill>
            <w14:solidFill>
              <w14:schemeClr w14:val="tx1"/>
            </w14:solidFill>
          </w14:textFill>
        </w:rPr>
      </w:pPr>
      <w:bookmarkStart w:id="1659" w:name="_Toc1097"/>
      <w:bookmarkStart w:id="1660" w:name="_Toc26194"/>
      <w:r>
        <w:rPr>
          <w:rFonts w:hint="eastAsia" w:hAnsi="黑体"/>
          <w:color w:val="000000" w:themeColor="text1"/>
          <w:szCs w:val="21"/>
          <w:highlight w:val="none"/>
          <w14:textFill>
            <w14:solidFill>
              <w14:schemeClr w14:val="tx1"/>
            </w14:solidFill>
          </w14:textFill>
        </w:rPr>
        <w:t>（二）无重大违法记录声明函</w:t>
      </w:r>
      <w:bookmarkEnd w:id="1659"/>
      <w:bookmarkEnd w:id="1660"/>
    </w:p>
    <w:p>
      <w:pPr>
        <w:pStyle w:val="6"/>
        <w:spacing w:line="360" w:lineRule="auto"/>
        <w:ind w:left="420" w:firstLine="0"/>
        <w:rPr>
          <w:color w:val="000000" w:themeColor="text1"/>
          <w:highlight w:val="none"/>
          <w14:textFill>
            <w14:solidFill>
              <w14:schemeClr w14:val="tx1"/>
            </w14:solidFill>
          </w14:textFill>
        </w:rPr>
      </w:pP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致</w:t>
      </w:r>
      <w:r>
        <w:rPr>
          <w:rFonts w:hint="eastAsia"/>
          <w:color w:val="000000" w:themeColor="text1"/>
          <w:szCs w:val="21"/>
          <w:highlight w:val="none"/>
          <w:lang w:eastAsia="zh-CN"/>
          <w14:textFill>
            <w14:solidFill>
              <w14:schemeClr w14:val="tx1"/>
            </w14:solidFill>
          </w14:textFill>
        </w:rPr>
        <w:t>广东业信招标有限公司</w:t>
      </w:r>
      <w:r>
        <w:rPr>
          <w:rFonts w:hint="eastAsia"/>
          <w:color w:val="000000" w:themeColor="text1"/>
          <w:szCs w:val="21"/>
          <w:highlight w:val="none"/>
          <w14:textFill>
            <w14:solidFill>
              <w14:schemeClr w14:val="tx1"/>
            </w14:solidFill>
          </w14:textFill>
        </w:rPr>
        <w:t>：</w:t>
      </w:r>
    </w:p>
    <w:p>
      <w:pPr>
        <w:spacing w:line="360" w:lineRule="auto"/>
        <w:rPr>
          <w:rFonts w:ascii="宋体" w:hAnsi="宋体"/>
          <w:bCs/>
          <w:color w:val="000000" w:themeColor="text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针对贵</w:t>
      </w:r>
      <w:r>
        <w:rPr>
          <w:rFonts w:hint="eastAsia" w:ascii="宋体" w:hAnsi="宋体"/>
          <w:color w:val="000000" w:themeColor="text1"/>
          <w:szCs w:val="21"/>
          <w:highlight w:val="none"/>
          <w14:textFill>
            <w14:solidFill>
              <w14:schemeClr w14:val="tx1"/>
            </w14:solidFill>
          </w14:textFill>
        </w:rPr>
        <w:t>方</w:t>
      </w:r>
      <w:r>
        <w:rPr>
          <w:rFonts w:hint="eastAsia"/>
          <w:color w:val="000000" w:themeColor="text1"/>
          <w:szCs w:val="21"/>
          <w:highlight w:val="none"/>
          <w14:textFill>
            <w14:solidFill>
              <w14:schemeClr w14:val="tx1"/>
            </w14:solidFill>
          </w14:textFill>
        </w:rPr>
        <w:t>组织的（项目名称：</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）（项目编号：</w:t>
      </w:r>
      <w:r>
        <w:rPr>
          <w:rFonts w:hint="eastAsia" w:ascii="宋体" w:hAnsi="宋体"/>
          <w:bCs/>
          <w:color w:val="000000" w:themeColor="text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），我方郑重承诺：</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参加本次政府采购活动前三年内，在经营活动中没有重大违法记录。</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本公司对上述声明的真实性负责。如有虚假，将依法承担相关责任。</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特此声明。</w:t>
      </w: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spacing w:line="360" w:lineRule="auto"/>
        <w:rPr>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投标人名称（公章）：</w:t>
      </w:r>
      <w:r>
        <w:rPr>
          <w:rFonts w:hint="eastAsia"/>
          <w:color w:val="000000" w:themeColor="text1"/>
          <w:szCs w:val="21"/>
          <w:highlight w:val="none"/>
          <w:u w:val="single"/>
          <w14:textFill>
            <w14:solidFill>
              <w14:schemeClr w14:val="tx1"/>
            </w14:solidFill>
          </w14:textFill>
        </w:rPr>
        <w:t xml:space="preserve">                        </w:t>
      </w:r>
    </w:p>
    <w:p>
      <w:pPr>
        <w:spacing w:line="360" w:lineRule="auto"/>
        <w:rPr>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6"/>
        <w:ind w:left="420" w:firstLine="0"/>
        <w:rPr>
          <w:color w:val="000000" w:themeColor="text1"/>
          <w:highlight w:val="none"/>
          <w14:textFill>
            <w14:solidFill>
              <w14:schemeClr w14:val="tx1"/>
            </w14:solidFill>
          </w14:textFill>
        </w:rPr>
      </w:pPr>
    </w:p>
    <w:p>
      <w:pPr>
        <w:pStyle w:val="6"/>
        <w:ind w:left="420" w:firstLine="0"/>
        <w:rPr>
          <w:color w:val="000000" w:themeColor="text1"/>
          <w:highlight w:val="none"/>
          <w14:textFill>
            <w14:solidFill>
              <w14:schemeClr w14:val="tx1"/>
            </w14:solidFill>
          </w14:textFill>
        </w:rPr>
      </w:pPr>
    </w:p>
    <w:p>
      <w:pPr>
        <w:pStyle w:val="6"/>
        <w:ind w:left="420" w:firstLine="0"/>
        <w:rPr>
          <w:color w:val="000000" w:themeColor="text1"/>
          <w:highlight w:val="none"/>
          <w14:textFill>
            <w14:solidFill>
              <w14:schemeClr w14:val="tx1"/>
            </w14:solidFill>
          </w14:textFill>
        </w:rPr>
      </w:pPr>
    </w:p>
    <w:p>
      <w:pPr>
        <w:pStyle w:val="6"/>
        <w:ind w:left="420" w:firstLine="0"/>
        <w:rPr>
          <w:color w:val="000000" w:themeColor="text1"/>
          <w:highlight w:val="none"/>
          <w14:textFill>
            <w14:solidFill>
              <w14:schemeClr w14:val="tx1"/>
            </w14:solidFill>
          </w14:textFill>
        </w:rPr>
      </w:pPr>
    </w:p>
    <w:p>
      <w:pPr>
        <w:pStyle w:val="6"/>
        <w:ind w:left="420" w:firstLine="0"/>
        <w:rPr>
          <w:color w:val="000000" w:themeColor="text1"/>
          <w:highlight w:val="none"/>
          <w14:textFill>
            <w14:solidFill>
              <w14:schemeClr w14:val="tx1"/>
            </w14:solidFill>
          </w14:textFill>
        </w:rPr>
      </w:pPr>
    </w:p>
    <w:p>
      <w:pPr>
        <w:pStyle w:val="6"/>
        <w:ind w:left="420" w:firstLine="0"/>
        <w:rPr>
          <w:color w:val="000000" w:themeColor="text1"/>
          <w:highlight w:val="none"/>
          <w14:textFill>
            <w14:solidFill>
              <w14:schemeClr w14:val="tx1"/>
            </w14:solidFill>
          </w14:textFill>
        </w:rPr>
      </w:pPr>
    </w:p>
    <w:p>
      <w:pPr>
        <w:pStyle w:val="6"/>
        <w:ind w:left="420" w:firstLine="0"/>
        <w:rPr>
          <w:color w:val="000000" w:themeColor="text1"/>
          <w:highlight w:val="none"/>
          <w14:textFill>
            <w14:solidFill>
              <w14:schemeClr w14:val="tx1"/>
            </w14:solidFill>
          </w14:textFill>
        </w:rPr>
      </w:pPr>
    </w:p>
    <w:p>
      <w:pPr>
        <w:pStyle w:val="6"/>
        <w:ind w:firstLine="0"/>
        <w:rPr>
          <w:color w:val="000000" w:themeColor="text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pStyle w:val="5"/>
        <w:numPr>
          <w:ilvl w:val="7"/>
          <w:numId w:val="6"/>
        </w:numPr>
        <w:tabs>
          <w:tab w:val="clear" w:pos="720"/>
        </w:tabs>
        <w:ind w:left="720"/>
        <w:rPr>
          <w:color w:val="000000" w:themeColor="text1"/>
          <w:highlight w:val="none"/>
          <w14:textFill>
            <w14:solidFill>
              <w14:schemeClr w14:val="tx1"/>
            </w14:solidFill>
          </w14:textFill>
        </w:rPr>
      </w:pPr>
      <w:bookmarkStart w:id="1661" w:name="_Toc20785"/>
      <w:bookmarkStart w:id="1662" w:name="_Toc5256"/>
      <w:r>
        <w:rPr>
          <w:rFonts w:hint="eastAsia"/>
          <w:color w:val="000000" w:themeColor="text1"/>
          <w:highlight w:val="none"/>
          <w14:textFill>
            <w14:solidFill>
              <w14:schemeClr w14:val="tx1"/>
            </w14:solidFill>
          </w14:textFill>
        </w:rPr>
        <w:t>投标文件商务及技术部分</w:t>
      </w:r>
      <w:bookmarkEnd w:id="1661"/>
      <w:bookmarkEnd w:id="1662"/>
    </w:p>
    <w:p>
      <w:pPr>
        <w:pStyle w:val="5"/>
        <w:numPr>
          <w:ilvl w:val="0"/>
          <w:numId w:val="0"/>
        </w:numPr>
        <w:rPr>
          <w:color w:val="000000" w:themeColor="text1"/>
          <w:sz w:val="24"/>
          <w:highlight w:val="none"/>
          <w14:textFill>
            <w14:solidFill>
              <w14:schemeClr w14:val="tx1"/>
            </w14:solidFill>
          </w14:textFill>
        </w:rPr>
      </w:pPr>
      <w:bookmarkStart w:id="1663" w:name="_Toc11923"/>
      <w:r>
        <w:rPr>
          <w:rFonts w:hint="eastAsia"/>
          <w:color w:val="000000" w:themeColor="text1"/>
          <w:sz w:val="24"/>
          <w:highlight w:val="none"/>
          <w14:textFill>
            <w14:solidFill>
              <w14:schemeClr w14:val="tx1"/>
            </w14:solidFill>
          </w14:textFill>
        </w:rPr>
        <w:t>商务及技术封面格式</w:t>
      </w:r>
      <w:bookmarkEnd w:id="1663"/>
    </w:p>
    <w:p>
      <w:pPr>
        <w:pStyle w:val="6"/>
        <w:rPr>
          <w:rFonts w:hAnsi="宋体"/>
          <w:bCs/>
          <w:color w:val="000000" w:themeColor="text1"/>
          <w:sz w:val="21"/>
          <w:highlight w:val="none"/>
          <w14:textFill>
            <w14:solidFill>
              <w14:schemeClr w14:val="tx1"/>
            </w14:solidFill>
          </w14:textFill>
        </w:rPr>
      </w:pPr>
    </w:p>
    <w:p>
      <w:pPr>
        <w:pStyle w:val="6"/>
        <w:spacing w:line="360" w:lineRule="auto"/>
        <w:rPr>
          <w:rFonts w:hAnsi="宋体"/>
          <w:bCs/>
          <w:color w:val="000000" w:themeColor="text1"/>
          <w:sz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1</w:t>
      </w:r>
      <w:r>
        <w:rPr>
          <w:rFonts w:hint="eastAsia" w:hAnsi="宋体"/>
          <w:bCs/>
          <w:color w:val="000000" w:themeColor="text1"/>
          <w:sz w:val="21"/>
          <w:highlight w:val="none"/>
          <w14:textFill>
            <w14:solidFill>
              <w14:schemeClr w14:val="tx1"/>
            </w14:solidFill>
          </w14:textFill>
        </w:rPr>
        <w:t xml:space="preserve">、投标内容应当编有目录、页码，按页码排序并装订成册。   </w:t>
      </w:r>
    </w:p>
    <w:p>
      <w:pPr>
        <w:pStyle w:val="6"/>
        <w:spacing w:line="360" w:lineRule="auto"/>
        <w:rPr>
          <w:rFonts w:hAnsi="宋体"/>
          <w:b/>
          <w:color w:val="000000" w:themeColor="text1"/>
          <w:sz w:val="21"/>
          <w:szCs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2</w:t>
      </w:r>
      <w:r>
        <w:rPr>
          <w:rFonts w:hint="eastAsia" w:hAnsi="宋体"/>
          <w:bCs/>
          <w:color w:val="000000" w:themeColor="text1"/>
          <w:sz w:val="21"/>
          <w:highlight w:val="none"/>
          <w14:textFill>
            <w14:solidFill>
              <w14:schemeClr w14:val="tx1"/>
            </w14:solidFill>
          </w14:textFill>
        </w:rPr>
        <w:t>、文件的封面格式由投</w:t>
      </w:r>
      <w:r>
        <w:rPr>
          <w:rFonts w:hint="eastAsia" w:hAnsi="宋体"/>
          <w:bCs/>
          <w:color w:val="000000" w:themeColor="text1"/>
          <w:sz w:val="21"/>
          <w:szCs w:val="21"/>
          <w:highlight w:val="none"/>
          <w14:textFill>
            <w14:solidFill>
              <w14:schemeClr w14:val="tx1"/>
            </w14:solidFill>
          </w14:textFill>
        </w:rPr>
        <w:t>标人自拟</w:t>
      </w:r>
      <w:r>
        <w:rPr>
          <w:rFonts w:hint="eastAsia" w:hAnsi="宋体"/>
          <w:bCs/>
          <w:color w:val="000000" w:themeColor="text1"/>
          <w:sz w:val="21"/>
          <w:highlight w:val="none"/>
          <w14:textFill>
            <w14:solidFill>
              <w14:schemeClr w14:val="tx1"/>
            </w14:solidFill>
          </w14:textFill>
        </w:rPr>
        <w:t>，并应注明“投标文件、项目编号、项目名称、投标人名称及地址、法定代表人（负责人）或授权代理人、联系电话、传真、邮编，并加盖投标人公章。</w:t>
      </w: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spacing w:line="440" w:lineRule="exact"/>
        <w:jc w:val="center"/>
        <w:rPr>
          <w:rFonts w:hAnsi="宋体"/>
          <w:bCs/>
          <w:color w:val="000000" w:themeColor="text1"/>
          <w:sz w:val="21"/>
          <w:highlight w:val="none"/>
          <w14:textFill>
            <w14:solidFill>
              <w14:schemeClr w14:val="tx1"/>
            </w14:solidFill>
          </w14:textFill>
        </w:rPr>
      </w:pPr>
    </w:p>
    <w:p>
      <w:pPr>
        <w:pStyle w:val="6"/>
        <w:spacing w:line="440" w:lineRule="exact"/>
        <w:ind w:firstLine="0"/>
        <w:jc w:val="both"/>
        <w:rPr>
          <w:rFonts w:hAnsi="宋体"/>
          <w:bCs/>
          <w:color w:val="000000" w:themeColor="text1"/>
          <w:sz w:val="21"/>
          <w:highlight w:val="none"/>
          <w14:textFill>
            <w14:solidFill>
              <w14:schemeClr w14:val="tx1"/>
            </w14:solidFill>
          </w14:textFill>
        </w:rPr>
      </w:pPr>
    </w:p>
    <w:p>
      <w:pPr>
        <w:pStyle w:val="6"/>
        <w:spacing w:line="440" w:lineRule="exact"/>
        <w:jc w:val="center"/>
        <w:rPr>
          <w:rFonts w:hAnsi="宋体"/>
          <w:bCs/>
          <w:color w:val="000000" w:themeColor="text1"/>
          <w:sz w:val="21"/>
          <w:highlight w:val="none"/>
          <w14:textFill>
            <w14:solidFill>
              <w14:schemeClr w14:val="tx1"/>
            </w14:solidFill>
          </w14:textFill>
        </w:rPr>
      </w:pPr>
    </w:p>
    <w:p>
      <w:pPr>
        <w:pStyle w:val="6"/>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bCs/>
          <w:color w:val="000000" w:themeColor="text1"/>
          <w:sz w:val="52"/>
          <w:szCs w:val="52"/>
          <w:highlight w:val="none"/>
          <w14:textFill>
            <w14:solidFill>
              <w14:schemeClr w14:val="tx1"/>
            </w14:solidFill>
          </w14:textFill>
        </w:rPr>
        <w:t>投标文件（□正本、□副本</w:t>
      </w:r>
      <w:r>
        <w:rPr>
          <w:rFonts w:hint="eastAsia" w:hAnsi="宋体"/>
          <w:bCs/>
          <w:color w:val="000000" w:themeColor="text1"/>
          <w:sz w:val="52"/>
          <w:szCs w:val="52"/>
          <w:highlight w:val="none"/>
          <w14:textFill>
            <w14:solidFill>
              <w14:schemeClr w14:val="tx1"/>
            </w14:solidFill>
          </w14:textFill>
        </w:rPr>
        <w:t>）</w:t>
      </w:r>
    </w:p>
    <w:p>
      <w:pPr>
        <w:pStyle w:val="6"/>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color w:val="000000" w:themeColor="text1"/>
          <w:sz w:val="44"/>
          <w:szCs w:val="44"/>
          <w:highlight w:val="none"/>
          <w14:textFill>
            <w14:solidFill>
              <w14:schemeClr w14:val="tx1"/>
            </w14:solidFill>
          </w14:textFill>
        </w:rPr>
        <w:t>（商务及技术文件）</w:t>
      </w:r>
    </w:p>
    <w:p>
      <w:pPr>
        <w:pStyle w:val="6"/>
        <w:spacing w:line="360" w:lineRule="auto"/>
        <w:jc w:val="center"/>
        <w:rPr>
          <w:rFonts w:hAnsi="宋体"/>
          <w:bCs/>
          <w:color w:val="000000" w:themeColor="text1"/>
          <w:sz w:val="52"/>
          <w:szCs w:val="52"/>
          <w:highlight w:val="none"/>
          <w14:textFill>
            <w14:solidFill>
              <w14:schemeClr w14:val="tx1"/>
            </w14:solidFill>
          </w14:textFill>
        </w:rPr>
      </w:pPr>
    </w:p>
    <w:p>
      <w:pPr>
        <w:pStyle w:val="6"/>
        <w:spacing w:line="360" w:lineRule="auto"/>
        <w:jc w:val="center"/>
        <w:rPr>
          <w:rFonts w:hAnsi="宋体"/>
          <w:bCs/>
          <w:color w:val="000000" w:themeColor="text1"/>
          <w:sz w:val="52"/>
          <w:szCs w:val="52"/>
          <w:highlight w:val="none"/>
          <w14:textFill>
            <w14:solidFill>
              <w14:schemeClr w14:val="tx1"/>
            </w14:solidFill>
          </w14:textFill>
        </w:rPr>
      </w:pPr>
    </w:p>
    <w:p>
      <w:pPr>
        <w:pStyle w:val="6"/>
        <w:spacing w:line="360" w:lineRule="auto"/>
        <w:jc w:val="center"/>
        <w:rPr>
          <w:rFonts w:hAnsi="宋体"/>
          <w:bCs/>
          <w:color w:val="000000" w:themeColor="text1"/>
          <w:sz w:val="52"/>
          <w:szCs w:val="52"/>
          <w:highlight w:val="none"/>
          <w14:textFill>
            <w14:solidFill>
              <w14:schemeClr w14:val="tx1"/>
            </w14:solidFill>
          </w14:textFill>
        </w:rPr>
      </w:pPr>
    </w:p>
    <w:p>
      <w:pPr>
        <w:pStyle w:val="6"/>
        <w:spacing w:line="360" w:lineRule="auto"/>
        <w:jc w:val="center"/>
        <w:rPr>
          <w:rFonts w:hAnsi="宋体"/>
          <w:bCs/>
          <w:color w:val="000000" w:themeColor="text1"/>
          <w:sz w:val="52"/>
          <w:szCs w:val="52"/>
          <w:highlight w:val="none"/>
          <w14:textFill>
            <w14:solidFill>
              <w14:schemeClr w14:val="tx1"/>
            </w14:solidFill>
          </w14:textFill>
        </w:rPr>
      </w:pPr>
    </w:p>
    <w:p>
      <w:pPr>
        <w:pStyle w:val="6"/>
        <w:spacing w:line="360" w:lineRule="auto"/>
        <w:jc w:val="center"/>
        <w:rPr>
          <w:rFonts w:hAnsi="宋体"/>
          <w:bCs/>
          <w:color w:val="000000" w:themeColor="text1"/>
          <w:sz w:val="52"/>
          <w:szCs w:val="52"/>
          <w:highlight w:val="none"/>
          <w14:textFill>
            <w14:solidFill>
              <w14:schemeClr w14:val="tx1"/>
            </w14:solidFill>
          </w14:textFill>
        </w:rPr>
      </w:pPr>
    </w:p>
    <w:p>
      <w:pPr>
        <w:pStyle w:val="6"/>
        <w:spacing w:line="440" w:lineRule="exact"/>
        <w:jc w:val="center"/>
        <w:rPr>
          <w:rFonts w:hAnsi="宋体"/>
          <w:bCs/>
          <w:color w:val="000000" w:themeColor="text1"/>
          <w:sz w:val="21"/>
          <w:highlight w:val="none"/>
          <w14:textFill>
            <w14:solidFill>
              <w14:schemeClr w14:val="tx1"/>
            </w14:solidFill>
          </w14:textFill>
        </w:rPr>
      </w:pPr>
    </w:p>
    <w:p>
      <w:pPr>
        <w:pStyle w:val="6"/>
        <w:spacing w:line="440" w:lineRule="exact"/>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项目编号：</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项目名称：</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cs="宋体"/>
          <w:color w:val="000000" w:themeColor="text1"/>
          <w:sz w:val="21"/>
          <w:szCs w:val="21"/>
          <w:highlight w:val="none"/>
          <w:u w:val="single"/>
          <w14:textFill>
            <w14:solidFill>
              <w14:schemeClr w14:val="tx1"/>
            </w14:solidFill>
          </w14:textFill>
        </w:rPr>
        <w:t>采购项目名称，由投标人填写</w:t>
      </w:r>
      <w:r>
        <w:rPr>
          <w:rFonts w:hint="eastAsia" w:hAnsi="宋体" w:cs="宋体"/>
          <w:b/>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投标人名称（公章）：</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投标人地址：</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法定代表人（负责人）或授权代理人（签字）</w:t>
      </w:r>
      <w:r>
        <w:rPr>
          <w:rFonts w:hAnsi="宋体"/>
          <w:bCs/>
          <w:color w:val="000000" w:themeColor="text1"/>
          <w:sz w:val="21"/>
          <w:highlight w:val="none"/>
          <w14:textFill>
            <w14:solidFill>
              <w14:schemeClr w14:val="tx1"/>
            </w14:solidFill>
          </w14:textFill>
        </w:rPr>
        <w:t>：</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联系</w:t>
      </w:r>
      <w:r>
        <w:rPr>
          <w:rFonts w:hAnsi="宋体"/>
          <w:bCs/>
          <w:color w:val="000000" w:themeColor="text1"/>
          <w:sz w:val="21"/>
          <w:highlight w:val="none"/>
          <w14:textFill>
            <w14:solidFill>
              <w14:schemeClr w14:val="tx1"/>
            </w14:solidFill>
          </w14:textFill>
        </w:rPr>
        <w:t>电话：</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传真：</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Ansi="宋体"/>
          <w:bCs/>
          <w:color w:val="000000" w:themeColor="text1"/>
          <w:sz w:val="21"/>
          <w:highlight w:val="none"/>
          <w14:textFill>
            <w14:solidFill>
              <w14:schemeClr w14:val="tx1"/>
            </w14:solidFill>
          </w14:textFill>
        </w:rPr>
        <w:t>邮编：</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color w:val="000000" w:themeColor="text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编制日期：</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年</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月</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日</w:t>
      </w: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ind w:firstLine="0"/>
        <w:rPr>
          <w:color w:val="000000" w:themeColor="text1"/>
          <w:highlight w:val="none"/>
          <w14:textFill>
            <w14:solidFill>
              <w14:schemeClr w14:val="tx1"/>
            </w14:solidFill>
          </w14:textFill>
        </w:rPr>
      </w:pPr>
    </w:p>
    <w:p>
      <w:pPr>
        <w:pStyle w:val="5"/>
        <w:keepLines w:val="0"/>
        <w:numPr>
          <w:ilvl w:val="0"/>
          <w:numId w:val="0"/>
        </w:numPr>
        <w:tabs>
          <w:tab w:val="left" w:pos="4320"/>
        </w:tabs>
        <w:spacing w:before="240" w:after="60" w:line="360" w:lineRule="exact"/>
        <w:rPr>
          <w:rFonts w:ascii="宋体"/>
          <w:b/>
          <w:bCs w:val="0"/>
          <w:color w:val="000000" w:themeColor="text1"/>
          <w:szCs w:val="21"/>
          <w:highlight w:val="none"/>
          <w14:textFill>
            <w14:solidFill>
              <w14:schemeClr w14:val="tx1"/>
            </w14:solidFill>
          </w14:textFill>
        </w:rPr>
      </w:pPr>
      <w:bookmarkStart w:id="1664" w:name="_Toc16201"/>
      <w:r>
        <w:rPr>
          <w:rFonts w:hint="eastAsia" w:ascii="宋体"/>
          <w:b/>
          <w:bCs w:val="0"/>
          <w:color w:val="000000" w:themeColor="text1"/>
          <w:szCs w:val="21"/>
          <w:highlight w:val="none"/>
          <w14:textFill>
            <w14:solidFill>
              <w14:schemeClr w14:val="tx1"/>
            </w14:solidFill>
          </w14:textFill>
        </w:rPr>
        <w:t>符合性自查表</w:t>
      </w:r>
      <w:bookmarkEnd w:id="1664"/>
    </w:p>
    <w:p>
      <w:pPr>
        <w:jc w:val="center"/>
        <w:rPr>
          <w:rFonts w:ascii="宋体" w:hAnsi="宋体"/>
          <w:b/>
          <w:bCs/>
          <w:color w:val="000000" w:themeColor="text1"/>
          <w:szCs w:val="21"/>
          <w:highlight w:val="none"/>
          <w14:textFill>
            <w14:solidFill>
              <w14:schemeClr w14:val="tx1"/>
            </w14:solidFill>
          </w14:textFill>
        </w:rPr>
      </w:pPr>
    </w:p>
    <w:tbl>
      <w:tblPr>
        <w:tblStyle w:val="46"/>
        <w:tblW w:w="9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1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tabs>
                <w:tab w:val="left" w:pos="480"/>
              </w:tabs>
              <w:ind w:left="480" w:hanging="480"/>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1991"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4" w:hRule="atLeast"/>
          <w:jc w:val="center"/>
        </w:trPr>
        <w:tc>
          <w:tcPr>
            <w:tcW w:w="1374" w:type="dxa"/>
            <w:vMerge w:val="restart"/>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符合性审查</w:t>
            </w:r>
          </w:p>
        </w:tc>
        <w:tc>
          <w:tcPr>
            <w:tcW w:w="2300" w:type="dxa"/>
            <w:vAlign w:val="center"/>
          </w:tcPr>
          <w:p>
            <w:pPr>
              <w:tabs>
                <w:tab w:val="left" w:pos="146"/>
              </w:tabs>
              <w:ind w:left="146" w:leftChars="0"/>
              <w:rPr>
                <w:rFonts w:hint="default"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须满足要</w:t>
            </w:r>
            <w:r>
              <w:rPr>
                <w:rFonts w:hint="eastAsia" w:ascii="宋体" w:hAnsi="宋体"/>
                <w:b w:val="0"/>
                <w:bCs w:val="0"/>
                <w:color w:val="000000" w:themeColor="text1"/>
                <w:szCs w:val="21"/>
                <w:highlight w:val="none"/>
                <w14:textFill>
                  <w14:solidFill>
                    <w14:schemeClr w14:val="tx1"/>
                  </w14:solidFill>
                </w14:textFill>
              </w:rPr>
              <w:t>求</w:t>
            </w:r>
            <w:r>
              <w:rPr>
                <w:rFonts w:hint="eastAsia"/>
                <w:b w:val="0"/>
                <w:bCs w:val="0"/>
                <w:color w:val="000000" w:themeColor="text1"/>
                <w:sz w:val="21"/>
                <w:szCs w:val="21"/>
                <w:highlight w:val="none"/>
                <w14:textFill>
                  <w14:solidFill>
                    <w14:schemeClr w14:val="tx1"/>
                  </w14:solidFill>
                </w14:textFill>
              </w:rPr>
              <w:t>“★”</w:t>
            </w:r>
            <w:r>
              <w:rPr>
                <w:rFonts w:hint="eastAsia"/>
                <w:b w:val="0"/>
                <w:bCs w:val="0"/>
                <w:color w:val="000000" w:themeColor="text1"/>
                <w:sz w:val="21"/>
                <w:szCs w:val="21"/>
                <w:highlight w:val="none"/>
                <w:lang w:val="en-US" w:eastAsia="zh-CN"/>
                <w14:textFill>
                  <w14:solidFill>
                    <w14:schemeClr w14:val="tx1"/>
                  </w14:solidFill>
                </w14:textFill>
              </w:rPr>
              <w:t>号要求</w:t>
            </w:r>
          </w:p>
        </w:tc>
        <w:tc>
          <w:tcPr>
            <w:tcW w:w="1958" w:type="dxa"/>
            <w:vAlign w:val="center"/>
          </w:tcPr>
          <w:p>
            <w:pPr>
              <w:tabs>
                <w:tab w:val="left" w:pos="0"/>
              </w:tabs>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leftChars="0" w:hanging="480" w:firstLineChars="0"/>
              <w:rPr>
                <w:rFonts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p>
        </w:tc>
        <w:tc>
          <w:tcPr>
            <w:tcW w:w="1991"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jc w:val="center"/>
        </w:trPr>
        <w:tc>
          <w:tcPr>
            <w:tcW w:w="1374" w:type="dxa"/>
            <w:vMerge w:val="continue"/>
            <w:vAlign w:val="center"/>
          </w:tcPr>
          <w:p>
            <w:pPr>
              <w:tabs>
                <w:tab w:val="left" w:pos="480"/>
              </w:tabs>
              <w:ind w:left="480" w:hanging="480"/>
              <w:jc w:val="center"/>
              <w:rPr>
                <w:rFonts w:hint="eastAsia" w:ascii="宋体" w:hAnsi="宋体"/>
                <w:color w:val="000000" w:themeColor="text1"/>
                <w:szCs w:val="21"/>
                <w:highlight w:val="none"/>
                <w14:textFill>
                  <w14:solidFill>
                    <w14:schemeClr w14:val="tx1"/>
                  </w14:solidFill>
                </w14:textFill>
              </w:rPr>
            </w:pPr>
          </w:p>
        </w:tc>
        <w:tc>
          <w:tcPr>
            <w:tcW w:w="2300" w:type="dxa"/>
            <w:vAlign w:val="center"/>
          </w:tcPr>
          <w:p>
            <w:pPr>
              <w:tabs>
                <w:tab w:val="left" w:pos="146"/>
              </w:tabs>
              <w:ind w:left="146" w:leftChars="0"/>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服务期须满足要求</w:t>
            </w:r>
          </w:p>
        </w:tc>
        <w:tc>
          <w:tcPr>
            <w:tcW w:w="1958" w:type="dxa"/>
            <w:vAlign w:val="center"/>
          </w:tcPr>
          <w:p>
            <w:pPr>
              <w:tabs>
                <w:tab w:val="left" w:pos="0"/>
              </w:tabs>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leftChars="0" w:hanging="480" w:firstLineChars="0"/>
              <w:rPr>
                <w:rFonts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p>
        </w:tc>
        <w:tc>
          <w:tcPr>
            <w:tcW w:w="1991"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hint="eastAsia" w:ascii="宋体" w:hAnsi="宋体" w:eastAsia="宋体" w:cs="Times New Roman"/>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4"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保证金须满足要求</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1991"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法定代表人/负责人资格证明书及授权委托书</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按对应格式文件签署、盖章(原件)</w:t>
            </w:r>
          </w:p>
        </w:tc>
        <w:tc>
          <w:tcPr>
            <w:tcW w:w="1975" w:type="dxa"/>
            <w:vAlign w:val="center"/>
          </w:tcPr>
          <w:p>
            <w:pPr>
              <w:pStyle w:val="10"/>
              <w:rPr>
                <w:rFonts w:ascii="宋体" w:hAnsi="宋体"/>
                <w:bCs/>
                <w:color w:val="000000" w:themeColor="text1"/>
                <w:szCs w:val="21"/>
                <w:highlight w:val="none"/>
                <w14:textFill>
                  <w14:solidFill>
                    <w14:schemeClr w14:val="tx1"/>
                  </w14:solidFill>
                </w14:textFill>
              </w:rPr>
            </w:pPr>
          </w:p>
        </w:tc>
        <w:tc>
          <w:tcPr>
            <w:tcW w:w="1991"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其他要求</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按投标资料清单中规定提供“必须提交”的文件资料</w:t>
            </w:r>
          </w:p>
        </w:tc>
        <w:tc>
          <w:tcPr>
            <w:tcW w:w="1975" w:type="dxa"/>
            <w:vAlign w:val="center"/>
          </w:tcPr>
          <w:p>
            <w:pPr>
              <w:tabs>
                <w:tab w:val="left" w:pos="480"/>
              </w:tabs>
              <w:ind w:left="480" w:hanging="480"/>
              <w:rPr>
                <w:color w:val="000000" w:themeColor="text1"/>
                <w:highlight w:val="none"/>
                <w14:textFill>
                  <w14:solidFill>
                    <w14:schemeClr w14:val="tx1"/>
                  </w14:solidFill>
                </w14:textFill>
              </w:rPr>
            </w:pPr>
          </w:p>
        </w:tc>
        <w:tc>
          <w:tcPr>
            <w:tcW w:w="1991"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注：1.以上材料将作为投标人符合性审核的重要内容之一，投标人必须严格按照其内容及序列要求在投标文件中对应如实提供，对缺漏和不符合项或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2.</w:t>
      </w:r>
      <w:r>
        <w:rPr>
          <w:rFonts w:hint="eastAsia" w:ascii="宋体" w:hAnsi="宋体"/>
          <w:bCs/>
          <w:color w:val="000000" w:themeColor="text1"/>
          <w:szCs w:val="21"/>
          <w:highlight w:val="none"/>
          <w14:textFill>
            <w14:solidFill>
              <w14:schemeClr w14:val="tx1"/>
            </w14:solidFill>
          </w14:textFill>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rPr>
          <w:rFonts w:hint="eastAsia" w:ascii="宋体"/>
          <w:b/>
          <w:color w:val="000000" w:themeColor="text1"/>
          <w:szCs w:val="21"/>
          <w:highlight w:val="none"/>
          <w14:textFill>
            <w14:solidFill>
              <w14:schemeClr w14:val="tx1"/>
            </w14:solidFill>
          </w14:textFill>
        </w:rPr>
      </w:pPr>
      <w:bookmarkStart w:id="1665" w:name="_Toc26704"/>
      <w:r>
        <w:rPr>
          <w:rFonts w:hint="eastAsia" w:ascii="宋体"/>
          <w:b/>
          <w:color w:val="000000" w:themeColor="text1"/>
          <w:szCs w:val="21"/>
          <w:highlight w:val="none"/>
          <w14:textFill>
            <w14:solidFill>
              <w14:schemeClr w14:val="tx1"/>
            </w14:solidFill>
          </w14:textFill>
        </w:rPr>
        <w:br w:type="page"/>
      </w:r>
    </w:p>
    <w:p>
      <w:pPr>
        <w:pStyle w:val="5"/>
        <w:keepLines w:val="0"/>
        <w:numPr>
          <w:ilvl w:val="0"/>
          <w:numId w:val="0"/>
        </w:numPr>
        <w:tabs>
          <w:tab w:val="left" w:pos="4320"/>
        </w:tabs>
        <w:spacing w:before="240" w:after="60" w:line="480" w:lineRule="exact"/>
        <w:rPr>
          <w:rFonts w:ascii="宋体"/>
          <w:b/>
          <w:color w:val="000000" w:themeColor="text1"/>
          <w:szCs w:val="21"/>
          <w:highlight w:val="none"/>
          <w14:textFill>
            <w14:solidFill>
              <w14:schemeClr w14:val="tx1"/>
            </w14:solidFill>
          </w14:textFill>
        </w:rPr>
      </w:pPr>
      <w:bookmarkStart w:id="1666" w:name="_Toc29440"/>
      <w:r>
        <w:rPr>
          <w:rFonts w:hint="eastAsia" w:ascii="宋体"/>
          <w:b/>
          <w:color w:val="000000" w:themeColor="text1"/>
          <w:szCs w:val="21"/>
          <w:highlight w:val="none"/>
          <w14:textFill>
            <w14:solidFill>
              <w14:schemeClr w14:val="tx1"/>
            </w14:solidFill>
          </w14:textFill>
        </w:rPr>
        <w:t>评审项目投标资料表</w:t>
      </w:r>
      <w:bookmarkEnd w:id="1665"/>
      <w:bookmarkEnd w:id="1666"/>
    </w:p>
    <w:p>
      <w:pPr>
        <w:jc w:val="center"/>
        <w:rPr>
          <w:rFonts w:ascii="宋体" w:hAnsi="宋体" w:eastAsia="黑体"/>
          <w:b/>
          <w:color w:val="000000" w:themeColor="text1"/>
          <w:kern w:val="44"/>
          <w:szCs w:val="21"/>
          <w:highlight w:val="none"/>
          <w14:textFill>
            <w14:solidFill>
              <w14:schemeClr w14:val="tx1"/>
            </w14:solidFill>
          </w14:textFill>
        </w:rPr>
      </w:pPr>
    </w:p>
    <w:tbl>
      <w:tblPr>
        <w:tblStyle w:val="46"/>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6"/>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评审分项</w:t>
            </w:r>
          </w:p>
        </w:tc>
        <w:tc>
          <w:tcPr>
            <w:tcW w:w="5202" w:type="dxa"/>
            <w:vAlign w:val="center"/>
          </w:tcPr>
          <w:p>
            <w:pPr>
              <w:pStyle w:val="306"/>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评审细则</w:t>
            </w:r>
          </w:p>
        </w:tc>
        <w:tc>
          <w:tcPr>
            <w:tcW w:w="2300" w:type="dxa"/>
            <w:vAlign w:val="center"/>
          </w:tcPr>
          <w:p>
            <w:pPr>
              <w:pStyle w:val="306"/>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40"/>
              <w:jc w:val="both"/>
              <w:rPr>
                <w:rFonts w:ascii="宋体" w:hAnsi="宋体" w:eastAsia="宋体" w:cs="Times New Roman"/>
                <w:color w:val="000000" w:themeColor="text1"/>
                <w:sz w:val="2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3"/>
              <w:ind w:left="420" w:firstLine="420"/>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bl>
    <w:p>
      <w:pPr>
        <w:adjustRightInd w:val="0"/>
        <w:snapToGrid w:val="0"/>
        <w:spacing w:line="300" w:lineRule="auto"/>
        <w:rPr>
          <w:rFonts w:ascii="宋体" w:hAnsi="宋体"/>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bookmarkEnd w:id="1332"/>
    <w:bookmarkEnd w:id="1333"/>
    <w:bookmarkEnd w:id="1334"/>
    <w:bookmarkEnd w:id="1335"/>
    <w:bookmarkEnd w:id="1336"/>
    <w:p>
      <w:pPr>
        <w:tabs>
          <w:tab w:val="center" w:pos="4483"/>
        </w:tabs>
        <w:rPr>
          <w:rFonts w:ascii="宋体" w:hAnsi="宋体"/>
          <w:bCs/>
          <w:color w:val="000000" w:themeColor="text1"/>
          <w:szCs w:val="21"/>
          <w:highlight w:val="none"/>
          <w14:textFill>
            <w14:solidFill>
              <w14:schemeClr w14:val="tx1"/>
            </w14:solidFill>
          </w14:textFill>
        </w:rPr>
      </w:pPr>
      <w:bookmarkStart w:id="1667" w:name="_Toc467236768"/>
      <w:bookmarkStart w:id="1668" w:name="_Toc468606057"/>
      <w:bookmarkStart w:id="1669" w:name="_Toc6397150"/>
      <w:bookmarkStart w:id="1670" w:name="_Toc479991610"/>
      <w:bookmarkStart w:id="1671" w:name="_Toc6727971"/>
      <w:bookmarkStart w:id="1672" w:name="_Toc480020285"/>
      <w:bookmarkStart w:id="1673" w:name="_Toc500861026"/>
      <w:bookmarkStart w:id="1674" w:name="_Toc467987851"/>
      <w:bookmarkStart w:id="1675" w:name="_Toc491658679"/>
      <w:bookmarkStart w:id="1676" w:name="_Toc454701405"/>
      <w:bookmarkStart w:id="1677" w:name="_Toc458262638"/>
      <w:bookmarkStart w:id="1678" w:name="_Toc480021081"/>
      <w:bookmarkStart w:id="1679" w:name="_Toc480010736"/>
      <w:bookmarkStart w:id="1680" w:name="_Toc468157564"/>
    </w:p>
    <w:p>
      <w:pPr>
        <w:pStyle w:val="5"/>
        <w:numPr>
          <w:ilvl w:val="0"/>
          <w:numId w:val="0"/>
        </w:numPr>
        <w:rPr>
          <w:color w:val="000000" w:themeColor="text1"/>
          <w:highlight w:val="none"/>
          <w14:textFill>
            <w14:solidFill>
              <w14:schemeClr w14:val="tx1"/>
            </w14:solidFill>
          </w14:textFill>
        </w:rPr>
      </w:pPr>
      <w:bookmarkStart w:id="1681" w:name="_Toc17669"/>
      <w:bookmarkStart w:id="1682" w:name="_Toc13455"/>
      <w:r>
        <w:rPr>
          <w:rFonts w:hint="eastAsia"/>
          <w:color w:val="000000" w:themeColor="text1"/>
          <w:highlight w:val="none"/>
          <w14:textFill>
            <w14:solidFill>
              <w14:schemeClr w14:val="tx1"/>
            </w14:solidFill>
          </w14:textFill>
        </w:rPr>
        <w:t>（一）法定代表人（负责人）证明书</w:t>
      </w:r>
      <w:bookmarkEnd w:id="1681"/>
      <w:bookmarkEnd w:id="1682"/>
    </w:p>
    <w:p>
      <w:pPr>
        <w:pStyle w:val="6"/>
        <w:rPr>
          <w:color w:val="000000" w:themeColor="text1"/>
          <w:highlight w:val="none"/>
          <w14:textFill>
            <w14:solidFill>
              <w14:schemeClr w14:val="tx1"/>
            </w14:solidFill>
          </w14:textFill>
        </w:rPr>
      </w:pP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u w:val="single"/>
          <w14:textFill>
            <w14:solidFill>
              <w14:schemeClr w14:val="tx1"/>
            </w14:solidFill>
          </w14:textFill>
        </w:rPr>
        <w:t xml:space="preserve">      单位法定代表人（负责人）姓名     </w:t>
      </w:r>
      <w:r>
        <w:rPr>
          <w:rFonts w:hint="eastAsia" w:ascii="宋体" w:hAnsi="宋体"/>
          <w:color w:val="000000" w:themeColor="text1"/>
          <w:highlight w:val="none"/>
          <w14:textFill>
            <w14:solidFill>
              <w14:schemeClr w14:val="tx1"/>
            </w14:solidFill>
          </w14:textFill>
        </w:rPr>
        <w:t>同志，现任</w:t>
      </w:r>
      <w:r>
        <w:rPr>
          <w:rFonts w:hint="eastAsia" w:ascii="宋体" w:hAnsi="宋体"/>
          <w:color w:val="000000" w:themeColor="text1"/>
          <w:highlight w:val="none"/>
          <w:u w:val="single"/>
          <w14:textFill>
            <w14:solidFill>
              <w14:schemeClr w14:val="tx1"/>
            </w14:solidFill>
          </w14:textFill>
        </w:rPr>
        <w:t xml:space="preserve">       投标人名称                  </w:t>
      </w:r>
      <w:r>
        <w:rPr>
          <w:rFonts w:hint="eastAsia" w:ascii="宋体" w:hAnsi="宋体"/>
          <w:color w:val="000000" w:themeColor="text1"/>
          <w:highlight w:val="none"/>
          <w14:textFill>
            <w14:solidFill>
              <w14:schemeClr w14:val="tx1"/>
            </w14:solidFill>
          </w14:textFill>
        </w:rPr>
        <w:t>的</w:t>
      </w:r>
      <w:r>
        <w:rPr>
          <w:rFonts w:hint="eastAsia" w:ascii="宋体" w:hAnsi="宋体"/>
          <w:color w:val="000000" w:themeColor="text1"/>
          <w:highlight w:val="none"/>
          <w:u w:val="single"/>
          <w14:textFill>
            <w14:solidFill>
              <w14:schemeClr w14:val="tx1"/>
            </w14:solidFill>
          </w14:textFill>
        </w:rPr>
        <w:t xml:space="preserve">   职务    </w:t>
      </w:r>
      <w:r>
        <w:rPr>
          <w:rFonts w:hint="eastAsia" w:ascii="宋体" w:hAnsi="宋体"/>
          <w:color w:val="000000" w:themeColor="text1"/>
          <w:highlight w:val="none"/>
          <w14:textFill>
            <w14:solidFill>
              <w14:schemeClr w14:val="tx1"/>
            </w14:solidFill>
          </w14:textFill>
        </w:rPr>
        <w:t>，为法定代表人（负责人），特此证明。</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pPr>
        <w:spacing w:line="560" w:lineRule="exact"/>
        <w:ind w:firstLine="420" w:firstLineChars="200"/>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签发单位：</w:t>
      </w:r>
      <w:r>
        <w:rPr>
          <w:rFonts w:hint="eastAsia" w:ascii="宋体" w:hAnsi="宋体"/>
          <w:color w:val="000000" w:themeColor="text1"/>
          <w:highlight w:val="none"/>
          <w:u w:val="single"/>
          <w14:textFill>
            <w14:solidFill>
              <w14:schemeClr w14:val="tx1"/>
            </w14:solidFill>
          </w14:textFill>
        </w:rPr>
        <w:t xml:space="preserve">（名称并加盖公章）                      </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spacing w:line="560" w:lineRule="exact"/>
        <w:ind w:firstLine="420" w:firstLineChars="200"/>
        <w:rPr>
          <w:rFonts w:ascii="宋体" w:hAnsi="宋体"/>
          <w:color w:val="000000" w:themeColor="text1"/>
          <w:highlight w:val="none"/>
          <w14:textFill>
            <w14:solidFill>
              <w14:schemeClr w14:val="tx1"/>
            </w14:solidFill>
          </w14:textFill>
        </w:rPr>
      </w:pP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附：代表人性别：</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年龄：</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岁    </w:t>
      </w:r>
    </w:p>
    <w:p>
      <w:pPr>
        <w:spacing w:line="480" w:lineRule="exact"/>
        <w:ind w:firstLine="420" w:firstLineChars="200"/>
        <w:rPr>
          <w:rFonts w:ascii="宋体" w:hAnsi="宋体"/>
          <w:color w:val="000000" w:themeColor="text1"/>
          <w:highlight w:val="none"/>
          <w14:textFill>
            <w14:solidFill>
              <w14:schemeClr w14:val="tx1"/>
            </w14:solidFill>
          </w14:textFill>
        </w:rPr>
      </w:pPr>
    </w:p>
    <w:p>
      <w:pPr>
        <w:spacing w:line="48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说明： 内容必须填写真实、清楚，涂改无效，不得转让、买卖。</w:t>
      </w:r>
    </w:p>
    <w:p>
      <w:pPr>
        <w:spacing w:line="480" w:lineRule="exact"/>
        <w:ind w:firstLine="420" w:firstLineChars="200"/>
        <w:rPr>
          <w:rFonts w:ascii="宋体" w:hAnsi="宋体"/>
          <w:color w:val="000000" w:themeColor="text1"/>
          <w:highlight w:val="none"/>
          <w14:textFill>
            <w14:solidFill>
              <w14:schemeClr w14:val="tx1"/>
            </w14:solidFill>
          </w14:textFill>
        </w:rPr>
      </w:pPr>
    </w:p>
    <w:p>
      <w:pPr>
        <w:pStyle w:val="6"/>
        <w:rPr>
          <w:rFonts w:hAnsi="宋体"/>
          <w:color w:val="000000" w:themeColor="text1"/>
          <w:sz w:val="21"/>
          <w:highlight w:val="none"/>
          <w14:textFill>
            <w14:solidFill>
              <w14:schemeClr w14:val="tx1"/>
            </w14:solidFill>
          </w14:textFill>
        </w:rPr>
      </w:pPr>
    </w:p>
    <w:p>
      <w:pPr>
        <w:pStyle w:val="6"/>
        <w:rPr>
          <w:color w:val="000000" w:themeColor="text1"/>
          <w:highlight w:val="none"/>
          <w14:textFill>
            <w14:solidFill>
              <w14:schemeClr w14:val="tx1"/>
            </w14:solidFill>
          </w14:textFill>
        </w:rPr>
        <w:sectPr>
          <w:footerReference r:id="rId12" w:type="first"/>
          <w:footerReference r:id="rId11" w:type="default"/>
          <w:pgSz w:w="11906" w:h="16838"/>
          <w:pgMar w:top="1474" w:right="1418" w:bottom="1474" w:left="1418" w:header="851" w:footer="851" w:gutter="0"/>
          <w:cols w:space="720" w:num="1"/>
          <w:titlePg/>
          <w:docGrid w:linePitch="312" w:charSpace="0"/>
        </w:sectPr>
      </w:pPr>
      <w:r>
        <w:rPr>
          <w:color w:val="000000" w:themeColor="text1"/>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866775</wp:posOffset>
                </wp:positionH>
                <wp:positionV relativeFrom="paragraph">
                  <wp:posOffset>346710</wp:posOffset>
                </wp:positionV>
                <wp:extent cx="3474085" cy="1722755"/>
                <wp:effectExtent l="4445" t="4445" r="7620" b="6350"/>
                <wp:wrapNone/>
                <wp:docPr id="3" name="自选图形 2"/>
                <wp:cNvGraphicFramePr/>
                <a:graphic xmlns:a="http://schemas.openxmlformats.org/drawingml/2006/main">
                  <a:graphicData uri="http://schemas.microsoft.com/office/word/2010/wordprocessingShape">
                    <wps:wsp>
                      <wps:cNvSpPr>
                        <a:spLocks noChangeArrowheads="1"/>
                      </wps:cNvSpPr>
                      <wps:spPr bwMode="auto">
                        <a:xfrm>
                          <a:off x="0" y="0"/>
                          <a:ext cx="3474085" cy="1722755"/>
                        </a:xfrm>
                        <a:prstGeom prst="flowChartAlternateProcess">
                          <a:avLst/>
                        </a:prstGeom>
                        <a:solidFill>
                          <a:srgbClr val="FFFFFF"/>
                        </a:solidFill>
                        <a:ln w="9525">
                          <a:solidFill>
                            <a:srgbClr val="000000"/>
                          </a:solidFill>
                          <a:miter lim="800000"/>
                        </a:ln>
                        <a:effectLst/>
                      </wps:spPr>
                      <wps:txbx>
                        <w:txbxContent>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2" o:spid="_x0000_s1026" o:spt="176" type="#_x0000_t176" style="position:absolute;left:0pt;margin-left:68.25pt;margin-top:27.3pt;height:135.65pt;width:273.55pt;z-index:251660288;mso-width-relative:page;mso-height-relative:page;" fillcolor="#FFFFFF" filled="t" stroked="t"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6YT0S2AAA&#10;AAoBAAAPAAAAAAAAAAEAIAAAACIAAABkcnMvZG93bnJldi54bWxQSwECFAAUAAAACACHTuJAzuWu&#10;NVcCAACkBAAADgAAAAAAAAABACAAAAAnAQAAZHJzL2Uyb0RvYy54bWxQSwUGAAAAAAYABgBZAQAA&#10;8AUAAAAA&#10;">
                <v:fill on="t" focussize="0,0"/>
                <v:stroke color="#000000" miterlimit="8" joinstyle="miter"/>
                <v:imagedata o:title=""/>
                <o:lock v:ext="edit" aspectratio="f"/>
                <v:textbox>
                  <w:txbxContent>
                    <w:p/>
                    <w:p/>
                    <w:p>
                      <w:pPr>
                        <w:jc w:val="center"/>
                      </w:pPr>
                      <w:r>
                        <w:rPr>
                          <w:rFonts w:hint="eastAsia"/>
                        </w:rPr>
                        <w:t>身份证正反面复印件</w:t>
                      </w:r>
                    </w:p>
                  </w:txbxContent>
                </v:textbox>
              </v:shape>
            </w:pict>
          </mc:Fallback>
        </mc:AlternateContent>
      </w:r>
    </w:p>
    <w:p>
      <w:pPr>
        <w:pStyle w:val="5"/>
        <w:numPr>
          <w:ilvl w:val="0"/>
          <w:numId w:val="0"/>
        </w:numPr>
        <w:rPr>
          <w:color w:val="000000" w:themeColor="text1"/>
          <w:highlight w:val="none"/>
          <w14:textFill>
            <w14:solidFill>
              <w14:schemeClr w14:val="tx1"/>
            </w14:solidFill>
          </w14:textFill>
        </w:rPr>
      </w:pPr>
      <w:bookmarkStart w:id="1683" w:name="_Toc27194"/>
      <w:bookmarkStart w:id="1684" w:name="_Toc27501"/>
      <w:r>
        <w:rPr>
          <w:rFonts w:hint="eastAsia"/>
          <w:color w:val="000000" w:themeColor="text1"/>
          <w:highlight w:val="none"/>
          <w14:textFill>
            <w14:solidFill>
              <w14:schemeClr w14:val="tx1"/>
            </w14:solidFill>
          </w14:textFill>
        </w:rPr>
        <w:t>（二）法定代表人（负责人）授权书</w:t>
      </w:r>
      <w:bookmarkEnd w:id="1683"/>
      <w:bookmarkEnd w:id="1684"/>
    </w:p>
    <w:p>
      <w:pPr>
        <w:spacing w:line="360" w:lineRule="auto"/>
        <w:ind w:firstLine="420" w:firstLineChars="200"/>
        <w:rPr>
          <w:rFonts w:ascii="宋体" w:hAnsi="宋体"/>
          <w:bCs/>
          <w:color w:val="000000" w:themeColor="text1"/>
          <w:kern w:val="0"/>
          <w:highlight w:val="none"/>
          <w14:textFill>
            <w14:solidFill>
              <w14:schemeClr w14:val="tx1"/>
            </w14:solidFill>
          </w14:textFill>
        </w:rPr>
      </w:pPr>
    </w:p>
    <w:p>
      <w:pPr>
        <w:spacing w:line="360" w:lineRule="auto"/>
        <w:ind w:firstLine="420" w:firstLineChars="200"/>
        <w:rPr>
          <w:color w:val="000000" w:themeColor="text1"/>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本授权委托书声明：我</w:t>
      </w:r>
      <w:r>
        <w:rPr>
          <w:rFonts w:hint="eastAsia" w:ascii="宋体" w:hAnsi="宋体"/>
          <w:bCs/>
          <w:color w:val="000000" w:themeColor="text1"/>
          <w:kern w:val="0"/>
          <w:highlight w:val="none"/>
          <w:u w:val="single"/>
          <w14:textFill>
            <w14:solidFill>
              <w14:schemeClr w14:val="tx1"/>
            </w14:solidFill>
          </w14:textFill>
        </w:rPr>
        <w:t xml:space="preserve">       （单位法定代表人（负责人）姓名）</w:t>
      </w:r>
      <w:r>
        <w:rPr>
          <w:rFonts w:hint="eastAsia" w:ascii="宋体" w:hAnsi="宋体"/>
          <w:bCs/>
          <w:color w:val="000000" w:themeColor="text1"/>
          <w:kern w:val="0"/>
          <w:highlight w:val="none"/>
          <w14:textFill>
            <w14:solidFill>
              <w14:schemeClr w14:val="tx1"/>
            </w14:solidFill>
          </w14:textFill>
        </w:rPr>
        <w:t xml:space="preserve"> 系</w:t>
      </w:r>
      <w:r>
        <w:rPr>
          <w:rFonts w:hint="eastAsia" w:ascii="宋体" w:hAnsi="宋体"/>
          <w:bCs/>
          <w:color w:val="000000" w:themeColor="text1"/>
          <w:kern w:val="0"/>
          <w:highlight w:val="none"/>
          <w:u w:val="single"/>
          <w14:textFill>
            <w14:solidFill>
              <w14:schemeClr w14:val="tx1"/>
            </w14:solidFill>
          </w14:textFill>
        </w:rPr>
        <w:t xml:space="preserve">       （投标人名称）</w:t>
      </w:r>
      <w:r>
        <w:rPr>
          <w:rFonts w:hint="eastAsia" w:ascii="宋体" w:hAnsi="宋体"/>
          <w:bCs/>
          <w:color w:val="000000" w:themeColor="text1"/>
          <w:kern w:val="0"/>
          <w:highlight w:val="none"/>
          <w14:textFill>
            <w14:solidFill>
              <w14:schemeClr w14:val="tx1"/>
            </w14:solidFill>
          </w14:textFill>
        </w:rPr>
        <w:t>的法定代表人（负责人），现授权委托</w:t>
      </w:r>
      <w:r>
        <w:rPr>
          <w:rFonts w:hint="eastAsia" w:ascii="宋体" w:hAnsi="宋体"/>
          <w:bCs/>
          <w:color w:val="000000" w:themeColor="text1"/>
          <w:kern w:val="0"/>
          <w:highlight w:val="none"/>
          <w:u w:val="single"/>
          <w14:textFill>
            <w14:solidFill>
              <w14:schemeClr w14:val="tx1"/>
            </w14:solidFill>
          </w14:textFill>
        </w:rPr>
        <w:t xml:space="preserve">                        （投标人名称）</w:t>
      </w:r>
      <w:r>
        <w:rPr>
          <w:rFonts w:hint="eastAsia" w:ascii="宋体" w:hAnsi="宋体"/>
          <w:bCs/>
          <w:color w:val="000000" w:themeColor="text1"/>
          <w:kern w:val="0"/>
          <w:highlight w:val="none"/>
          <w14:textFill>
            <w14:solidFill>
              <w14:schemeClr w14:val="tx1"/>
            </w14:solidFill>
          </w14:textFill>
        </w:rPr>
        <w:t>的</w:t>
      </w:r>
      <w:r>
        <w:rPr>
          <w:rFonts w:hint="eastAsia" w:ascii="宋体" w:hAnsi="宋体"/>
          <w:bCs/>
          <w:color w:val="000000" w:themeColor="text1"/>
          <w:kern w:val="0"/>
          <w:highlight w:val="none"/>
          <w:u w:val="single"/>
          <w14:textFill>
            <w14:solidFill>
              <w14:schemeClr w14:val="tx1"/>
            </w14:solidFill>
          </w14:textFill>
        </w:rPr>
        <w:t xml:space="preserve">            （代理人姓名）</w:t>
      </w:r>
      <w:r>
        <w:rPr>
          <w:rFonts w:hint="eastAsia" w:ascii="宋体" w:hAnsi="宋体"/>
          <w:bCs/>
          <w:color w:val="000000" w:themeColor="text1"/>
          <w:kern w:val="0"/>
          <w:highlight w:val="none"/>
          <w14:textFill>
            <w14:solidFill>
              <w14:schemeClr w14:val="tx1"/>
            </w14:solidFill>
          </w14:textFill>
        </w:rPr>
        <w:t>为我公司代理人，以本公司的名义参加</w:t>
      </w:r>
      <w:r>
        <w:rPr>
          <w:rFonts w:hint="eastAsia" w:ascii="宋体" w:hAnsi="宋体"/>
          <w:bCs/>
          <w:color w:val="000000" w:themeColor="text1"/>
          <w:kern w:val="0"/>
          <w:highlight w:val="none"/>
          <w:lang w:eastAsia="zh-CN"/>
          <w14:textFill>
            <w14:solidFill>
              <w14:schemeClr w14:val="tx1"/>
            </w14:solidFill>
          </w14:textFill>
        </w:rPr>
        <w:t>广东业信招标有限公司</w:t>
      </w:r>
      <w:r>
        <w:rPr>
          <w:rFonts w:hint="eastAsia" w:ascii="宋体" w:hAnsi="宋体"/>
          <w:bCs/>
          <w:color w:val="000000" w:themeColor="text1"/>
          <w:kern w:val="0"/>
          <w:highlight w:val="none"/>
          <w14:textFill>
            <w14:solidFill>
              <w14:schemeClr w14:val="tx1"/>
            </w14:solidFill>
          </w14:textFill>
        </w:rPr>
        <w:t>组织的</w:t>
      </w:r>
      <w:r>
        <w:rPr>
          <w:rFonts w:hint="eastAsia"/>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招标（</w:t>
      </w:r>
      <w:r>
        <w:rPr>
          <w:rFonts w:hint="eastAsia"/>
          <w:color w:val="000000" w:themeColor="text1"/>
          <w:szCs w:val="21"/>
          <w:highlight w:val="none"/>
          <w14:textFill>
            <w14:solidFill>
              <w14:schemeClr w14:val="tx1"/>
            </w14:solidFill>
          </w14:textFill>
        </w:rPr>
        <w:t>项目编号：</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w:t>
      </w:r>
      <w:r>
        <w:rPr>
          <w:rFonts w:hint="eastAsia" w:ascii="宋体" w:hAnsi="宋体"/>
          <w:bCs/>
          <w:color w:val="000000" w:themeColor="text1"/>
          <w:kern w:val="0"/>
          <w:highlight w:val="none"/>
          <w14:textFill>
            <w14:solidFill>
              <w14:schemeClr w14:val="tx1"/>
            </w14:solidFill>
          </w14:textFill>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代理人无转移委托权。</w:t>
      </w:r>
    </w:p>
    <w:p>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特此委托。</w:t>
      </w:r>
    </w:p>
    <w:p>
      <w:pPr>
        <w:autoSpaceDE w:val="0"/>
        <w:autoSpaceDN w:val="0"/>
        <w:adjustRightInd w:val="0"/>
        <w:snapToGrid w:val="0"/>
        <w:spacing w:line="440" w:lineRule="exact"/>
        <w:ind w:firstLine="600"/>
        <w:jc w:val="left"/>
        <w:rPr>
          <w:rFonts w:ascii="宋体" w:hAnsi="宋体"/>
          <w:bCs/>
          <w:color w:val="000000" w:themeColor="text1"/>
          <w:kern w:val="0"/>
          <w:highlight w:val="none"/>
          <w14:textFill>
            <w14:solidFill>
              <w14:schemeClr w14:val="tx1"/>
            </w14:solidFill>
          </w14:textFill>
        </w:rPr>
      </w:pP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w:t>
      </w:r>
      <w:r>
        <w:rPr>
          <w:rFonts w:hint="eastAsia" w:ascii="宋体" w:hAnsi="宋体"/>
          <w:bCs/>
          <w:color w:val="000000" w:themeColor="text1"/>
          <w:kern w:val="0"/>
          <w:highlight w:val="none"/>
          <w:u w:val="single"/>
          <w14:textFill>
            <w14:solidFill>
              <w14:schemeClr w14:val="tx1"/>
            </w14:solidFill>
          </w14:textFill>
        </w:rPr>
        <w:t xml:space="preserve">   </w:t>
      </w:r>
      <w:r>
        <w:rPr>
          <w:rFonts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性别：</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年龄：</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职务：</w:t>
      </w:r>
      <w:r>
        <w:rPr>
          <w:rFonts w:hint="eastAsia" w:ascii="宋体" w:hAnsi="宋体"/>
          <w:bCs/>
          <w:color w:val="000000" w:themeColor="text1"/>
          <w:kern w:val="0"/>
          <w:highlight w:val="none"/>
          <w:u w:val="single"/>
          <w14:textFill>
            <w14:solidFill>
              <w14:schemeClr w14:val="tx1"/>
            </w14:solidFill>
          </w14:textFill>
        </w:rPr>
        <w:t xml:space="preserve">           </w:t>
      </w: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投标人：</w:t>
      </w:r>
      <w:r>
        <w:rPr>
          <w:rFonts w:hint="eastAsia" w:ascii="宋体" w:hAnsi="宋体"/>
          <w:bCs/>
          <w:color w:val="000000" w:themeColor="text1"/>
          <w:kern w:val="0"/>
          <w:highlight w:val="none"/>
          <w:u w:val="single"/>
          <w14:textFill>
            <w14:solidFill>
              <w14:schemeClr w14:val="tx1"/>
            </w14:solidFill>
          </w14:textFill>
        </w:rPr>
        <w:t xml:space="preserve">          （名称并加盖公章）                                         </w:t>
      </w: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法定代表人（负责人）：</w:t>
      </w:r>
      <w:r>
        <w:rPr>
          <w:rFonts w:hint="eastAsia" w:ascii="宋体" w:hAnsi="宋体"/>
          <w:bCs/>
          <w:color w:val="000000" w:themeColor="text1"/>
          <w:kern w:val="0"/>
          <w:highlight w:val="none"/>
          <w:u w:val="single"/>
          <w14:textFill>
            <w14:solidFill>
              <w14:schemeClr w14:val="tx1"/>
            </w14:solidFill>
          </w14:textFill>
        </w:rPr>
        <w:t xml:space="preserve">    （签字或盖章）         </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autoSpaceDE w:val="0"/>
        <w:autoSpaceDN w:val="0"/>
        <w:adjustRightInd w:val="0"/>
        <w:snapToGrid w:val="0"/>
        <w:spacing w:line="360" w:lineRule="auto"/>
        <w:ind w:firstLine="630"/>
        <w:rPr>
          <w:rFonts w:ascii="宋体" w:hAnsi="宋体"/>
          <w:bCs/>
          <w:color w:val="000000" w:themeColor="text1"/>
          <w:kern w:val="0"/>
          <w:highlight w:val="none"/>
          <w14:textFill>
            <w14:solidFill>
              <w14:schemeClr w14:val="tx1"/>
            </w14:solidFill>
          </w14:textFill>
        </w:rPr>
      </w:pPr>
    </w:p>
    <w:p>
      <w:pP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1266825</wp:posOffset>
                </wp:positionH>
                <wp:positionV relativeFrom="paragraph">
                  <wp:posOffset>-635</wp:posOffset>
                </wp:positionV>
                <wp:extent cx="3502660" cy="1748155"/>
                <wp:effectExtent l="4445" t="4445" r="17145" b="19050"/>
                <wp:wrapNone/>
                <wp:docPr id="2" name="自选图形 3"/>
                <wp:cNvGraphicFramePr/>
                <a:graphic xmlns:a="http://schemas.openxmlformats.org/drawingml/2006/main">
                  <a:graphicData uri="http://schemas.microsoft.com/office/word/2010/wordprocessingShape">
                    <wps:wsp>
                      <wps:cNvSpPr>
                        <a:spLocks noChangeArrowheads="1"/>
                      </wps:cNvSpPr>
                      <wps:spPr bwMode="auto">
                        <a:xfrm>
                          <a:off x="0" y="0"/>
                          <a:ext cx="3502660" cy="1748155"/>
                        </a:xfrm>
                        <a:prstGeom prst="flowChartAlternateProcess">
                          <a:avLst/>
                        </a:prstGeom>
                        <a:solidFill>
                          <a:srgbClr val="FFFFFF"/>
                        </a:solidFill>
                        <a:ln w="9525">
                          <a:solidFill>
                            <a:srgbClr val="000000"/>
                          </a:solidFill>
                          <a:miter lim="800000"/>
                        </a:ln>
                        <a:effectLst/>
                      </wps:spPr>
                      <wps:txbx>
                        <w:txbxContent>
                          <w:p/>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3" o:spid="_x0000_s1026" o:spt="176" type="#_x0000_t176" style="position:absolute;left:0pt;margin-left:99.75pt;margin-top:-0.05pt;height:137.65pt;width:275.8pt;z-index:251659264;mso-width-relative:page;mso-height-relative:page;" fillcolor="#FFFFFF" filled="t" stroked="t"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j2AqQ1wAA&#10;AAkBAAAPAAAAAAAAAAEAIAAAACIAAABkcnMvZG93bnJldi54bWxQSwECFAAUAAAACACHTuJAsPvz&#10;qFgCAACkBAAADgAAAAAAAAABACAAAAAmAQAAZHJzL2Uyb0RvYy54bWxQSwUGAAAAAAYABgBZAQAA&#10;8AUAAAAA&#10;">
                <v:fill on="t" focussize="0,0"/>
                <v:stroke color="#000000" miterlimit="8" joinstyle="miter"/>
                <v:imagedata o:title=""/>
                <o:lock v:ext="edit" aspectratio="f"/>
                <v:textbox>
                  <w:txbxContent>
                    <w:p/>
                    <w:p/>
                    <w:p/>
                    <w:p>
                      <w:pPr>
                        <w:jc w:val="center"/>
                      </w:pPr>
                      <w:r>
                        <w:rPr>
                          <w:rFonts w:hint="eastAsia"/>
                        </w:rPr>
                        <w:t>身份证正反面复印件</w:t>
                      </w:r>
                    </w:p>
                  </w:txbxContent>
                </v:textbox>
              </v:shape>
            </w:pict>
          </mc:Fallback>
        </mc:AlternateConten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sectPr>
          <w:footerReference r:id="rId13" w:type="default"/>
          <w:pgSz w:w="11906" w:h="16838"/>
          <w:pgMar w:top="1418" w:right="1474" w:bottom="1418" w:left="1474" w:header="851" w:footer="851" w:gutter="0"/>
          <w:cols w:space="720" w:num="1"/>
          <w:titlePg/>
          <w:docGrid w:linePitch="312" w:charSpace="0"/>
        </w:sectPr>
      </w:pPr>
    </w:p>
    <w:p>
      <w:pPr>
        <w:pStyle w:val="5"/>
        <w:numPr>
          <w:ilvl w:val="0"/>
          <w:numId w:val="0"/>
        </w:numPr>
        <w:rPr>
          <w:color w:val="000000" w:themeColor="text1"/>
          <w:highlight w:val="none"/>
          <w14:textFill>
            <w14:solidFill>
              <w14:schemeClr w14:val="tx1"/>
            </w14:solidFill>
          </w14:textFill>
        </w:rPr>
      </w:pPr>
      <w:bookmarkStart w:id="1685" w:name="_Toc333237699"/>
      <w:bookmarkStart w:id="1686" w:name="_Toc333238655"/>
      <w:bookmarkStart w:id="1687" w:name="_Toc331512922"/>
      <w:bookmarkStart w:id="1688" w:name="_Toc342398151"/>
      <w:bookmarkStart w:id="1689" w:name="_Toc366072550"/>
      <w:bookmarkStart w:id="1690" w:name="_Toc350756471"/>
      <w:bookmarkStart w:id="1691" w:name="_Toc339020116"/>
      <w:bookmarkStart w:id="1692" w:name="_Toc330460007"/>
      <w:bookmarkStart w:id="1693" w:name="_Toc365967093"/>
      <w:bookmarkStart w:id="1694" w:name="_Toc339362321"/>
      <w:bookmarkStart w:id="1695" w:name="_Toc331684063"/>
      <w:bookmarkStart w:id="1696" w:name="_Toc336681601"/>
      <w:bookmarkStart w:id="1697" w:name="_Toc343248439"/>
      <w:bookmarkStart w:id="1698" w:name="_Toc365985199"/>
      <w:bookmarkStart w:id="1699" w:name="_Toc342060396"/>
      <w:bookmarkStart w:id="1700" w:name="_Toc343612941"/>
      <w:bookmarkStart w:id="1701" w:name="_Toc333237810"/>
      <w:bookmarkStart w:id="1702" w:name="_Toc342312464"/>
      <w:bookmarkStart w:id="1703" w:name="_Toc339020254"/>
      <w:bookmarkStart w:id="1704" w:name="_Toc340677091"/>
      <w:bookmarkStart w:id="1705" w:name="_Toc345312618"/>
      <w:bookmarkStart w:id="1706" w:name="_Toc350438770"/>
      <w:bookmarkStart w:id="1707" w:name="_Toc14080"/>
      <w:bookmarkStart w:id="1708" w:name="_Toc333935708"/>
      <w:bookmarkStart w:id="1709" w:name="_Toc341348361"/>
      <w:bookmarkStart w:id="1710" w:name="_Toc332270368"/>
      <w:bookmarkStart w:id="1711" w:name="_Toc340507463"/>
      <w:bookmarkStart w:id="1712" w:name="_Toc342296782"/>
      <w:bookmarkStart w:id="1713" w:name="_Toc336681956"/>
      <w:bookmarkStart w:id="1714" w:name="_Toc333935367"/>
      <w:bookmarkStart w:id="1715" w:name="_Toc339019910"/>
      <w:bookmarkStart w:id="1716" w:name="_Toc337632379"/>
      <w:bookmarkStart w:id="1717" w:name="_Toc340672890"/>
      <w:bookmarkStart w:id="1718" w:name="_Toc339441108"/>
      <w:bookmarkStart w:id="1719" w:name="_Toc332206730"/>
      <w:bookmarkStart w:id="1720" w:name="_Toc339020036"/>
      <w:bookmarkStart w:id="1721" w:name="_Toc343247121"/>
      <w:r>
        <w:rPr>
          <w:rFonts w:hint="eastAsia"/>
          <w:color w:val="000000" w:themeColor="text1"/>
          <w:highlight w:val="none"/>
          <w14:textFill>
            <w14:solidFill>
              <w14:schemeClr w14:val="tx1"/>
            </w14:solidFill>
          </w14:textFill>
        </w:rPr>
        <w:t>附件一：投标</w:t>
      </w:r>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r>
        <w:rPr>
          <w:rFonts w:hint="eastAsia"/>
          <w:color w:val="000000" w:themeColor="text1"/>
          <w:highlight w:val="none"/>
          <w14:textFill>
            <w14:solidFill>
              <w14:schemeClr w14:val="tx1"/>
            </w14:solidFill>
          </w14:textFill>
        </w:rPr>
        <w:t>函</w:t>
      </w:r>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p>
    <w:p>
      <w:pPr>
        <w:widowControl/>
        <w:spacing w:line="400" w:lineRule="exact"/>
        <w:jc w:val="left"/>
        <w:rPr>
          <w:rFonts w:ascii="宋体" w:hAnsi="宋体" w:cs="宋体"/>
          <w:b/>
          <w:color w:val="000000" w:themeColor="text1"/>
          <w:kern w:val="0"/>
          <w:sz w:val="24"/>
          <w:highlight w:val="none"/>
          <w:u w:val="single"/>
          <w14:textFill>
            <w14:solidFill>
              <w14:schemeClr w14:val="tx1"/>
            </w14:solidFill>
          </w14:textFill>
        </w:rPr>
      </w:pPr>
      <w:r>
        <w:rPr>
          <w:rFonts w:ascii="宋体" w:hAnsi="宋体"/>
          <w:b/>
          <w:bCs/>
          <w:color w:val="000000" w:themeColor="text1"/>
          <w:highlight w:val="none"/>
          <w14:textFill>
            <w14:solidFill>
              <w14:schemeClr w14:val="tx1"/>
            </w14:solidFill>
          </w14:textFill>
        </w:rPr>
        <w:t>致</w:t>
      </w:r>
      <w:r>
        <w:rPr>
          <w:rFonts w:ascii="宋体" w:hAnsi="宋体"/>
          <w:b/>
          <w:bCs/>
          <w:color w:val="000000" w:themeColor="text1"/>
          <w:highlight w:val="none"/>
          <w:u w:val="single"/>
          <w14:textFill>
            <w14:solidFill>
              <w14:schemeClr w14:val="tx1"/>
            </w14:solidFill>
          </w14:textFill>
        </w:rPr>
        <w:t>（采购人</w:t>
      </w:r>
      <w:r>
        <w:rPr>
          <w:rFonts w:hint="eastAsia" w:ascii="宋体" w:hAnsi="宋体"/>
          <w:b/>
          <w:bCs/>
          <w:color w:val="000000" w:themeColor="text1"/>
          <w:highlight w:val="none"/>
          <w:u w:val="single"/>
          <w14:textFill>
            <w14:solidFill>
              <w14:schemeClr w14:val="tx1"/>
            </w14:solidFill>
          </w14:textFill>
        </w:rPr>
        <w:t>名称</w:t>
      </w:r>
      <w:r>
        <w:rPr>
          <w:rFonts w:ascii="宋体" w:hAnsi="宋体"/>
          <w:b/>
          <w:bCs/>
          <w:color w:val="000000" w:themeColor="text1"/>
          <w:highlight w:val="none"/>
          <w:u w:val="single"/>
          <w14:textFill>
            <w14:solidFill>
              <w14:schemeClr w14:val="tx1"/>
            </w14:solidFill>
          </w14:textFill>
        </w:rPr>
        <w:t>）           </w:t>
      </w:r>
      <w:r>
        <w:rPr>
          <w:rFonts w:ascii="宋体" w:hAnsi="宋体" w:cs="宋体"/>
          <w:b/>
          <w:color w:val="000000" w:themeColor="text1"/>
          <w:kern w:val="0"/>
          <w:sz w:val="24"/>
          <w:highlight w:val="none"/>
          <w14:textFill>
            <w14:solidFill>
              <w14:schemeClr w14:val="tx1"/>
            </w14:solidFill>
          </w14:textFill>
        </w:rPr>
        <w:t xml:space="preserve">： </w:t>
      </w:r>
    </w:p>
    <w:p>
      <w:pPr>
        <w:adjustRightInd w:val="0"/>
        <w:snapToGrid w:val="0"/>
        <w:spacing w:line="400" w:lineRule="exact"/>
        <w:ind w:firstLine="420"/>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根据贵方就</w:t>
      </w:r>
      <w:r>
        <w:rPr>
          <w:rFonts w:hint="eastAsia" w:hAnsi="宋体" w:cs="宋体"/>
          <w:b/>
          <w:color w:val="000000" w:themeColor="text1"/>
          <w:szCs w:val="21"/>
          <w:highlight w:val="none"/>
          <w:u w:val="single"/>
          <w14:textFill>
            <w14:solidFill>
              <w14:schemeClr w14:val="tx1"/>
            </w14:solidFill>
          </w14:textFill>
        </w:rPr>
        <w:t>项目名称</w:t>
      </w:r>
      <w:r>
        <w:rPr>
          <w:rFonts w:hint="eastAsia" w:ascii="宋体" w:hAnsi="宋体" w:cs="宋体"/>
          <w:b/>
          <w:color w:val="000000" w:themeColor="text1"/>
          <w:szCs w:val="21"/>
          <w:highlight w:val="none"/>
          <w:u w:val="single"/>
          <w14:textFill>
            <w14:solidFill>
              <w14:schemeClr w14:val="tx1"/>
            </w14:solidFill>
          </w14:textFill>
        </w:rPr>
        <w:t xml:space="preserve">，由投标人填写    </w:t>
      </w:r>
      <w:r>
        <w:rPr>
          <w:rFonts w:hint="eastAsia" w:ascii="宋体" w:hAnsi="宋体"/>
          <w:b/>
          <w:bCs/>
          <w:color w:val="000000" w:themeColor="text1"/>
          <w:highlight w:val="none"/>
          <w14:textFill>
            <w14:solidFill>
              <w14:schemeClr w14:val="tx1"/>
            </w14:solidFill>
          </w14:textFill>
        </w:rPr>
        <w:t>的投标邀请（项目编号: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），我方正式响应投标并提交投标文件</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份正本和</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份副本，</w:t>
      </w:r>
      <w:r>
        <w:rPr>
          <w:rFonts w:hint="eastAsia" w:ascii="宋体" w:hAnsi="宋体"/>
          <w:b/>
          <w:color w:val="000000" w:themeColor="text1"/>
          <w:kern w:val="0"/>
          <w:szCs w:val="21"/>
          <w:highlight w:val="none"/>
          <w14:textFill>
            <w14:solidFill>
              <w14:schemeClr w14:val="tx1"/>
            </w14:solidFill>
          </w14:textFill>
        </w:rPr>
        <w:t>电子文件</w:t>
      </w:r>
      <w:r>
        <w:rPr>
          <w:rFonts w:hint="eastAsia" w:ascii="宋体" w:hAnsi="宋体"/>
          <w:b/>
          <w:color w:val="000000" w:themeColor="text1"/>
          <w:kern w:val="0"/>
          <w:szCs w:val="21"/>
          <w:highlight w:val="none"/>
          <w:u w:val="single"/>
          <w14:textFill>
            <w14:solidFill>
              <w14:schemeClr w14:val="tx1"/>
            </w14:solidFill>
          </w14:textFill>
        </w:rPr>
        <w:t xml:space="preserve">    </w:t>
      </w:r>
      <w:r>
        <w:rPr>
          <w:rFonts w:hint="eastAsia" w:ascii="宋体" w:hAnsi="宋体"/>
          <w:b/>
          <w:color w:val="000000" w:themeColor="text1"/>
          <w:kern w:val="0"/>
          <w:szCs w:val="21"/>
          <w:highlight w:val="none"/>
          <w14:textFill>
            <w14:solidFill>
              <w14:schemeClr w14:val="tx1"/>
            </w14:solidFill>
          </w14:textFill>
        </w:rPr>
        <w:t>份</w:t>
      </w:r>
      <w:r>
        <w:rPr>
          <w:rFonts w:hint="eastAsia" w:ascii="宋体" w:hAnsi="宋体"/>
          <w:b/>
          <w:bCs/>
          <w:color w:val="000000" w:themeColor="text1"/>
          <w:highlight w:val="none"/>
          <w14:textFill>
            <w14:solidFill>
              <w14:schemeClr w14:val="tx1"/>
            </w14:solidFill>
          </w14:textFill>
        </w:rPr>
        <w:t>。</w:t>
      </w:r>
    </w:p>
    <w:p>
      <w:pPr>
        <w:widowControl/>
        <w:tabs>
          <w:tab w:val="left" w:pos="840"/>
        </w:tabs>
        <w:adjustRightInd w:val="0"/>
        <w:snapToGrid w:val="0"/>
        <w:rPr>
          <w:rFonts w:ascii="宋体" w:hAnsi="宋体"/>
          <w:b/>
          <w:bCs/>
          <w:color w:val="000000" w:themeColor="text1"/>
          <w:highlight w:val="none"/>
          <w14:textFill>
            <w14:solidFill>
              <w14:schemeClr w14:val="tx1"/>
            </w14:solidFill>
          </w14:textFill>
        </w:rPr>
      </w:pPr>
    </w:p>
    <w:p>
      <w:pPr>
        <w:widowControl/>
        <w:tabs>
          <w:tab w:val="left" w:pos="502"/>
        </w:tabs>
        <w:adjustRightInd w:val="0"/>
        <w:snapToGrid w:val="0"/>
        <w:spacing w:line="360" w:lineRule="auto"/>
        <w:ind w:left="374" w:leftChars="177" w:hanging="2" w:hangingChars="1"/>
        <w:rPr>
          <w:rFonts w:ascii="宋体" w:hAnsi="宋体"/>
          <w:b/>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以</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形式提交的投标保证金，金额为大写</w:t>
      </w:r>
      <w:r>
        <w:rPr>
          <w:rFonts w:hint="eastAsia" w:ascii="宋体"/>
          <w:b/>
          <w:color w:val="000000" w:themeColor="text1"/>
          <w:highlight w:val="none"/>
          <w14:textFill>
            <w14:solidFill>
              <w14:schemeClr w14:val="tx1"/>
            </w14:solidFill>
          </w14:textFill>
        </w:rPr>
        <w:t>人民币</w:t>
      </w:r>
      <w:r>
        <w:rPr>
          <w:rFonts w:hint="eastAsia" w:ascii="宋体"/>
          <w:b/>
          <w:color w:val="000000" w:themeColor="text1"/>
          <w:highlight w:val="none"/>
          <w:u w:val="single"/>
          <w14:textFill>
            <w14:solidFill>
              <w14:schemeClr w14:val="tx1"/>
            </w14:solidFill>
          </w14:textFill>
        </w:rPr>
        <w:t xml:space="preserve">             </w:t>
      </w:r>
      <w:r>
        <w:rPr>
          <w:rFonts w:hint="eastAsia" w:ascii="宋体"/>
          <w:b/>
          <w:color w:val="000000" w:themeColor="text1"/>
          <w:highlight w:val="none"/>
          <w14:textFill>
            <w14:solidFill>
              <w14:schemeClr w14:val="tx1"/>
            </w14:solidFill>
          </w14:textFill>
        </w:rPr>
        <w:t>（</w:t>
      </w:r>
      <w:r>
        <w:rPr>
          <w:rFonts w:hint="eastAsia" w:ascii="宋体"/>
          <w:b/>
          <w:bCs/>
          <w:color w:val="000000" w:themeColor="text1"/>
          <w:highlight w:val="none"/>
          <w14:textFill>
            <w14:solidFill>
              <w14:schemeClr w14:val="tx1"/>
            </w14:solidFill>
          </w14:textFill>
        </w:rPr>
        <w:t>￥</w:t>
      </w:r>
      <w:r>
        <w:rPr>
          <w:rFonts w:hint="eastAsia" w:ascii="宋体"/>
          <w:b/>
          <w:bCs/>
          <w:color w:val="000000" w:themeColor="text1"/>
          <w:highlight w:val="none"/>
          <w:u w:val="single"/>
          <w14:textFill>
            <w14:solidFill>
              <w14:schemeClr w14:val="tx1"/>
            </w14:solidFill>
          </w14:textFill>
        </w:rPr>
        <w:t xml:space="preserve">          </w:t>
      </w:r>
      <w:r>
        <w:rPr>
          <w:rFonts w:hint="eastAsia" w:ascii="宋体"/>
          <w:b/>
          <w:bCs/>
          <w:color w:val="000000" w:themeColor="text1"/>
          <w:highlight w:val="none"/>
          <w14:textFill>
            <w14:solidFill>
              <w14:schemeClr w14:val="tx1"/>
            </w14:solidFill>
          </w14:textFill>
        </w:rPr>
        <w:t>）。</w:t>
      </w:r>
    </w:p>
    <w:p>
      <w:pPr>
        <w:widowControl/>
        <w:tabs>
          <w:tab w:val="left" w:pos="502"/>
        </w:tabs>
        <w:adjustRightInd w:val="0"/>
        <w:snapToGrid w:val="0"/>
        <w:spacing w:line="360" w:lineRule="auto"/>
        <w:ind w:left="374" w:leftChars="177" w:hanging="2" w:hangingChars="1"/>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据此函，签字代表宣布同意如下：</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本次投标所报内容完全按照招标文件要求填报，所有内容都是真实、准确的。</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投标人将按招标文件的规定履行全部合同责任和义务。</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投标人已详细审查全部招标文件，包括修改文件（如有的话）以及全部参考资料和有关附件。我们完全理解并同意放弃对这方面有不明及误解的权利。</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本次投标自开标日起有效期为90天。</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如果在规定的开标时间后，投标人在投标有效期内撤回投标文件，投标保证金将被贵</w:t>
      </w:r>
      <w:r>
        <w:rPr>
          <w:rFonts w:hint="eastAsia" w:ascii="宋体" w:hAnsi="宋体"/>
          <w:color w:val="000000" w:themeColor="text1"/>
          <w:szCs w:val="21"/>
          <w:highlight w:val="none"/>
          <w14:textFill>
            <w14:solidFill>
              <w14:schemeClr w14:val="tx1"/>
            </w14:solidFill>
          </w14:textFill>
        </w:rPr>
        <w:t>方</w:t>
      </w:r>
      <w:r>
        <w:rPr>
          <w:rFonts w:hint="eastAsia" w:ascii="宋体" w:hAnsi="宋体"/>
          <w:bCs/>
          <w:color w:val="000000" w:themeColor="text1"/>
          <w:highlight w:val="none"/>
          <w14:textFill>
            <w14:solidFill>
              <w14:schemeClr w14:val="tx1"/>
            </w14:solidFill>
          </w14:textFill>
        </w:rPr>
        <w:t>不予退还。</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投标人同意提供按照贵方可能要求与其投标有关的一切数据或资料，完全理解贵方不一定接受最低价的投标或收到的任何投标。</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与本投标有关的一切正式往来通讯请寄至投标文件封面指定地址、联系方式。</w:t>
      </w: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24"/>
        <w:spacing w:line="400" w:lineRule="exact"/>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注：本投标函为投标人响应本次招标项目的郑重承诺，投标人不得改动且必须满足。</w:t>
      </w:r>
    </w:p>
    <w:p>
      <w:pPr>
        <w:pStyle w:val="24"/>
        <w:spacing w:line="400" w:lineRule="exact"/>
        <w:rPr>
          <w:rFonts w:hAnsi="宋体"/>
          <w:color w:val="000000" w:themeColor="text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bookmarkStart w:id="1722" w:name="_Hlt16935467"/>
      <w:bookmarkEnd w:id="1722"/>
      <w:bookmarkStart w:id="1723" w:name="_Toc341348362"/>
      <w:bookmarkStart w:id="1724" w:name="_Toc340672891"/>
      <w:bookmarkStart w:id="1725" w:name="_Toc330460008"/>
      <w:bookmarkStart w:id="1726" w:name="_Toc337632380"/>
      <w:bookmarkStart w:id="1727" w:name="_Toc342312465"/>
      <w:bookmarkStart w:id="1728" w:name="_Toc339020117"/>
      <w:bookmarkStart w:id="1729" w:name="_Toc339441109"/>
      <w:bookmarkStart w:id="1730" w:name="_Toc342296783"/>
      <w:bookmarkStart w:id="1731" w:name="_Toc331684064"/>
      <w:bookmarkStart w:id="1732" w:name="_Toc366072551"/>
      <w:bookmarkStart w:id="1733" w:name="_Toc365985200"/>
      <w:bookmarkStart w:id="1734" w:name="_Toc350438771"/>
      <w:bookmarkStart w:id="1735" w:name="_Toc333935709"/>
      <w:bookmarkStart w:id="1736" w:name="_Toc345312619"/>
      <w:bookmarkStart w:id="1737" w:name="_Toc333238656"/>
      <w:bookmarkStart w:id="1738" w:name="_Toc331512923"/>
      <w:bookmarkStart w:id="1739" w:name="_Toc339019911"/>
      <w:bookmarkStart w:id="1740" w:name="_Toc339020037"/>
      <w:bookmarkStart w:id="1741" w:name="_Toc339362322"/>
      <w:bookmarkStart w:id="1742" w:name="_Toc333935368"/>
      <w:bookmarkStart w:id="1743" w:name="_Toc336681602"/>
      <w:bookmarkStart w:id="1744" w:name="_Toc365967094"/>
      <w:bookmarkStart w:id="1745" w:name="_Toc333237811"/>
      <w:bookmarkStart w:id="1746" w:name="_Toc340677092"/>
      <w:bookmarkStart w:id="1747" w:name="_Toc333237700"/>
      <w:bookmarkStart w:id="1748" w:name="_Toc343248440"/>
      <w:bookmarkStart w:id="1749" w:name="_Toc332206731"/>
      <w:bookmarkStart w:id="1750" w:name="_Toc339020255"/>
      <w:bookmarkStart w:id="1751" w:name="_Toc343612942"/>
      <w:bookmarkStart w:id="1752" w:name="_Toc332270369"/>
      <w:bookmarkStart w:id="1753" w:name="_Toc340507464"/>
      <w:bookmarkStart w:id="1754" w:name="_Toc342060397"/>
      <w:bookmarkStart w:id="1755" w:name="_Toc78816017"/>
      <w:bookmarkStart w:id="1756" w:name="_Toc336681957"/>
      <w:bookmarkStart w:id="1757" w:name="_Toc350756472"/>
      <w:bookmarkStart w:id="1758" w:name="_Toc342398152"/>
      <w:bookmarkStart w:id="1759" w:name="_Toc343247122"/>
      <w:r>
        <w:rPr>
          <w:rFonts w:hint="eastAsia"/>
          <w:color w:val="000000" w:themeColor="text1"/>
          <w:highlight w:val="none"/>
          <w14:textFill>
            <w14:solidFill>
              <w14:schemeClr w14:val="tx1"/>
            </w14:solidFill>
          </w14:textFill>
        </w:rPr>
        <w:br w:type="page"/>
      </w:r>
    </w:p>
    <w:p>
      <w:pPr>
        <w:pStyle w:val="5"/>
        <w:numPr>
          <w:ilvl w:val="0"/>
          <w:numId w:val="0"/>
        </w:numPr>
        <w:spacing w:line="400" w:lineRule="exact"/>
        <w:rPr>
          <w:color w:val="000000" w:themeColor="text1"/>
          <w:highlight w:val="none"/>
          <w14:textFill>
            <w14:solidFill>
              <w14:schemeClr w14:val="tx1"/>
            </w14:solidFill>
          </w14:textFill>
        </w:rPr>
      </w:pPr>
      <w:bookmarkStart w:id="1760" w:name="_Toc6999"/>
      <w:r>
        <w:rPr>
          <w:rFonts w:hint="eastAsia"/>
          <w:color w:val="000000" w:themeColor="text1"/>
          <w:highlight w:val="none"/>
          <w14:textFill>
            <w14:solidFill>
              <w14:schemeClr w14:val="tx1"/>
            </w14:solidFill>
          </w14:textFill>
        </w:rPr>
        <w:t>附件二：开标一览表</w:t>
      </w:r>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6"/>
        <w:tblW w:w="91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8"/>
        <w:gridCol w:w="3383"/>
        <w:gridCol w:w="2563"/>
        <w:gridCol w:w="10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2158"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p>
        </w:tc>
        <w:tc>
          <w:tcPr>
            <w:tcW w:w="3383"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p>
        </w:tc>
        <w:tc>
          <w:tcPr>
            <w:tcW w:w="2563" w:type="dxa"/>
            <w:vAlign w:val="center"/>
          </w:tcPr>
          <w:p>
            <w:pPr>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服务期</w:t>
            </w:r>
          </w:p>
        </w:tc>
        <w:tc>
          <w:tcPr>
            <w:tcW w:w="1062" w:type="dxa"/>
            <w:vAlign w:val="center"/>
          </w:tcPr>
          <w:p>
            <w:pPr>
              <w:spacing w:line="360" w:lineRule="auto"/>
              <w:jc w:val="center"/>
              <w:rPr>
                <w:rFonts w:hint="default"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2158" w:type="dxa"/>
            <w:vAlign w:val="center"/>
          </w:tcPr>
          <w:p>
            <w:pPr>
              <w:adjustRightInd w:val="0"/>
              <w:snapToGrid w:val="0"/>
              <w:spacing w:line="300" w:lineRule="exact"/>
              <w:jc w:val="center"/>
              <w:rPr>
                <w:rFonts w:ascii="宋体" w:hAnsi="宋体"/>
                <w:bCs/>
                <w:color w:val="000000" w:themeColor="text1"/>
                <w:highlight w:val="none"/>
                <w14:textFill>
                  <w14:solidFill>
                    <w14:schemeClr w14:val="tx1"/>
                  </w14:solidFill>
                </w14:textFill>
              </w:rPr>
            </w:pPr>
          </w:p>
        </w:tc>
        <w:tc>
          <w:tcPr>
            <w:tcW w:w="3383" w:type="dxa"/>
            <w:vAlign w:val="center"/>
          </w:tcPr>
          <w:p>
            <w:pPr>
              <w:adjustRightInd w:val="0"/>
              <w:snapToGrid w:val="0"/>
              <w:spacing w:line="300" w:lineRule="exact"/>
              <w:jc w:val="center"/>
              <w:rPr>
                <w:rFonts w:ascii="宋体" w:hAnsi="宋体"/>
                <w:bCs/>
                <w:color w:val="000000" w:themeColor="text1"/>
                <w:highlight w:val="none"/>
                <w14:textFill>
                  <w14:solidFill>
                    <w14:schemeClr w14:val="tx1"/>
                  </w14:solidFill>
                </w14:textFill>
              </w:rPr>
            </w:pPr>
          </w:p>
        </w:tc>
        <w:tc>
          <w:tcPr>
            <w:tcW w:w="2563" w:type="dxa"/>
            <w:vAlign w:val="center"/>
          </w:tcPr>
          <w:p>
            <w:pPr>
              <w:topLinePunct/>
              <w:jc w:val="left"/>
              <w:rPr>
                <w:rFonts w:ascii="宋体" w:hAnsi="宋体"/>
                <w:bCs/>
                <w:color w:val="000000" w:themeColor="text1"/>
                <w:highlight w:val="none"/>
                <w:u w:val="single"/>
                <w14:textFill>
                  <w14:solidFill>
                    <w14:schemeClr w14:val="tx1"/>
                  </w14:solidFill>
                </w14:textFill>
              </w:rPr>
            </w:pPr>
          </w:p>
        </w:tc>
        <w:tc>
          <w:tcPr>
            <w:tcW w:w="1062" w:type="dxa"/>
            <w:vAlign w:val="center"/>
          </w:tcPr>
          <w:p>
            <w:pPr>
              <w:rPr>
                <w:rFonts w:ascii="宋体" w:hAnsi="宋体"/>
                <w:bCs/>
                <w:color w:val="000000" w:themeColor="text1"/>
                <w:highlight w:val="none"/>
                <w14:textFill>
                  <w14:solidFill>
                    <w14:schemeClr w14:val="tx1"/>
                  </w14:solidFill>
                </w14:textFill>
              </w:rPr>
            </w:pPr>
          </w:p>
        </w:tc>
      </w:tr>
    </w:tbl>
    <w:p>
      <w:pPr>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注：</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投标人填写此表时不得改变表格的形式。</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投标人应将 “开标一览表”（加盖公章并由法定代表人（负责人）或其授权代理人签字），一份单独密封于一信封内，一份装订入投标文件正本。</w:t>
      </w:r>
    </w:p>
    <w:p>
      <w:pPr>
        <w:spacing w:line="360" w:lineRule="auto"/>
        <w:rPr>
          <w:rFonts w:ascii="宋体" w:hAnsi="宋体"/>
          <w:bCs/>
          <w:color w:val="000000" w:themeColor="text1"/>
          <w:highlight w:val="none"/>
          <w:u w:val="singl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pStyle w:val="5"/>
        <w:numPr>
          <w:ilvl w:val="0"/>
          <w:numId w:val="0"/>
        </w:numPr>
        <w:spacing w:line="400" w:lineRule="exact"/>
        <w:rPr>
          <w:color w:val="000000" w:themeColor="text1"/>
          <w:highlight w:val="none"/>
          <w14:textFill>
            <w14:solidFill>
              <w14:schemeClr w14:val="tx1"/>
            </w14:solidFill>
          </w14:textFill>
        </w:rPr>
      </w:pPr>
      <w:bookmarkStart w:id="1761" w:name="_Toc339020118"/>
      <w:bookmarkStart w:id="1762" w:name="_Toc333237812"/>
      <w:bookmarkStart w:id="1763" w:name="_Toc365967095"/>
      <w:bookmarkStart w:id="1764" w:name="_Toc343612943"/>
      <w:bookmarkStart w:id="1765" w:name="_Toc340507465"/>
      <w:bookmarkStart w:id="1766" w:name="_Toc330460009"/>
      <w:bookmarkStart w:id="1767" w:name="_Toc336681603"/>
      <w:bookmarkStart w:id="1768" w:name="_Toc332206732"/>
      <w:bookmarkStart w:id="1769" w:name="_Toc345312620"/>
      <w:bookmarkStart w:id="1770" w:name="_Toc365985201"/>
      <w:bookmarkStart w:id="1771" w:name="_Toc333238657"/>
      <w:bookmarkStart w:id="1772" w:name="_Toc339362323"/>
      <w:bookmarkStart w:id="1773" w:name="_Toc339441110"/>
      <w:bookmarkStart w:id="1774" w:name="_Toc333935710"/>
      <w:bookmarkStart w:id="1775" w:name="_Toc333237701"/>
      <w:bookmarkStart w:id="1776" w:name="_Toc366072552"/>
      <w:bookmarkStart w:id="1777" w:name="_Toc337632381"/>
      <w:bookmarkStart w:id="1778" w:name="_Toc350438772"/>
      <w:bookmarkStart w:id="1779" w:name="_Toc342312466"/>
      <w:bookmarkStart w:id="1780" w:name="_Toc331684065"/>
      <w:bookmarkStart w:id="1781" w:name="_Toc331512924"/>
      <w:bookmarkStart w:id="1782" w:name="_Toc332270370"/>
      <w:bookmarkStart w:id="1783" w:name="_Toc343247123"/>
      <w:bookmarkStart w:id="1784" w:name="_Toc333935369"/>
      <w:bookmarkStart w:id="1785" w:name="_Toc339020256"/>
      <w:bookmarkStart w:id="1786" w:name="_Toc336681958"/>
      <w:bookmarkStart w:id="1787" w:name="_Toc343248441"/>
      <w:bookmarkStart w:id="1788" w:name="_Toc339019912"/>
      <w:bookmarkStart w:id="1789" w:name="_Toc342060398"/>
      <w:bookmarkStart w:id="1790" w:name="_Toc342398153"/>
      <w:bookmarkStart w:id="1791" w:name="_Toc340672892"/>
      <w:bookmarkStart w:id="1792" w:name="_Toc350756473"/>
      <w:bookmarkStart w:id="1793" w:name="_Toc340677093"/>
      <w:bookmarkStart w:id="1794" w:name="_Toc342296784"/>
      <w:bookmarkStart w:id="1795" w:name="_Toc339020038"/>
      <w:bookmarkStart w:id="1796" w:name="_Toc341348363"/>
      <w:bookmarkStart w:id="1797" w:name="_Toc20172"/>
      <w:r>
        <w:rPr>
          <w:rFonts w:hint="eastAsia"/>
          <w:color w:val="000000" w:themeColor="text1"/>
          <w:highlight w:val="none"/>
          <w14:textFill>
            <w14:solidFill>
              <w14:schemeClr w14:val="tx1"/>
            </w14:solidFill>
          </w14:textFill>
        </w:rPr>
        <w:t>附件三：</w:t>
      </w:r>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Start w:id="1798" w:name="_Toc343247124"/>
      <w:bookmarkStart w:id="1799" w:name="_Toc343248442"/>
      <w:bookmarkStart w:id="1800" w:name="_Toc337632382"/>
      <w:bookmarkStart w:id="1801" w:name="_Toc331512925"/>
      <w:bookmarkStart w:id="1802" w:name="_Toc345312621"/>
      <w:bookmarkStart w:id="1803" w:name="_Toc342060399"/>
      <w:bookmarkStart w:id="1804" w:name="_Toc332206733"/>
      <w:bookmarkStart w:id="1805" w:name="_Toc339020119"/>
      <w:bookmarkStart w:id="1806" w:name="_Toc339019913"/>
      <w:bookmarkStart w:id="1807" w:name="_Toc340672893"/>
      <w:bookmarkStart w:id="1808" w:name="_Toc343612944"/>
      <w:bookmarkStart w:id="1809" w:name="_Toc330460010"/>
      <w:bookmarkStart w:id="1810" w:name="_Toc333238658"/>
      <w:bookmarkStart w:id="1811" w:name="_Toc339020039"/>
      <w:bookmarkStart w:id="1812" w:name="_Toc365967096"/>
      <w:bookmarkStart w:id="1813" w:name="_Toc339020257"/>
      <w:bookmarkStart w:id="1814" w:name="_Toc342296785"/>
      <w:bookmarkStart w:id="1815" w:name="_Toc342398154"/>
      <w:bookmarkStart w:id="1816" w:name="_Toc350756474"/>
      <w:bookmarkStart w:id="1817" w:name="_Toc342312467"/>
      <w:bookmarkStart w:id="1818" w:name="_Toc333237702"/>
      <w:bookmarkStart w:id="1819" w:name="_Toc340677094"/>
      <w:bookmarkStart w:id="1820" w:name="_Toc350438773"/>
      <w:bookmarkStart w:id="1821" w:name="_Toc365985202"/>
      <w:bookmarkStart w:id="1822" w:name="_Toc336681604"/>
      <w:bookmarkStart w:id="1823" w:name="_Toc336681959"/>
      <w:bookmarkStart w:id="1824" w:name="_Toc333237813"/>
      <w:bookmarkStart w:id="1825" w:name="_Toc331684066"/>
      <w:bookmarkStart w:id="1826" w:name="_Toc332270371"/>
      <w:bookmarkStart w:id="1827" w:name="_Toc339362324"/>
      <w:bookmarkStart w:id="1828" w:name="_Toc366072553"/>
      <w:bookmarkStart w:id="1829" w:name="_Toc340507466"/>
      <w:bookmarkStart w:id="1830" w:name="_Toc339441111"/>
      <w:bookmarkStart w:id="1831" w:name="_Toc333935711"/>
      <w:bookmarkStart w:id="1832" w:name="_Toc341348364"/>
      <w:bookmarkStart w:id="1833" w:name="_Toc333935370"/>
      <w:r>
        <w:rPr>
          <w:rFonts w:hint="eastAsia"/>
          <w:color w:val="000000" w:themeColor="text1"/>
          <w:highlight w:val="none"/>
          <w14:textFill>
            <w14:solidFill>
              <w14:schemeClr w14:val="tx1"/>
            </w14:solidFill>
          </w14:textFill>
        </w:rPr>
        <w:t>商务条款偏离一览表</w:t>
      </w:r>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6"/>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2）对招标文件中商务条款按上列格式逐条说明。</w:t>
      </w:r>
    </w:p>
    <w:p>
      <w:pPr>
        <w:adjustRightInd w:val="0"/>
        <w:snapToGrid w:val="0"/>
        <w:spacing w:line="360" w:lineRule="auto"/>
        <w:ind w:firstLine="632" w:firstLineChars="300"/>
        <w:rPr>
          <w:rFonts w:ascii="宋体" w:hAnsi="宋体"/>
          <w:b/>
          <w:bCs/>
          <w:color w:val="000000" w:themeColor="text1"/>
          <w:highlight w:val="none"/>
          <w14:textFill>
            <w14:solidFill>
              <w14:schemeClr w14:val="tx1"/>
            </w14:solidFill>
          </w14:textFill>
        </w:rPr>
      </w:pPr>
    </w:p>
    <w:p>
      <w:pPr>
        <w:adjustRightInd w:val="0"/>
        <w:snapToGrid w:val="0"/>
        <w:spacing w:line="360" w:lineRule="auto"/>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投标人声明：表中未列全的商务条款，我方均表示完全响应招标文件商务条款的所有要求。</w:t>
      </w: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sectPr>
          <w:footerReference r:id="rId14" w:type="default"/>
          <w:pgSz w:w="11906" w:h="16838"/>
          <w:pgMar w:top="1418" w:right="1474" w:bottom="1418" w:left="1474" w:header="851" w:footer="851" w:gutter="0"/>
          <w:cols w:space="720" w:num="1"/>
          <w:titlePg/>
          <w:docGrid w:linePitch="312" w:charSpace="0"/>
        </w:sectPr>
      </w:pPr>
    </w:p>
    <w:p>
      <w:pPr>
        <w:pStyle w:val="5"/>
        <w:numPr>
          <w:ilvl w:val="0"/>
          <w:numId w:val="0"/>
        </w:numPr>
        <w:spacing w:line="400" w:lineRule="exact"/>
        <w:rPr>
          <w:color w:val="000000" w:themeColor="text1"/>
          <w:highlight w:val="none"/>
          <w14:textFill>
            <w14:solidFill>
              <w14:schemeClr w14:val="tx1"/>
            </w14:solidFill>
          </w14:textFill>
        </w:rPr>
      </w:pPr>
      <w:bookmarkStart w:id="1834" w:name="_Toc12782"/>
      <w:bookmarkStart w:id="1835" w:name="_Toc365967097"/>
      <w:bookmarkStart w:id="1836" w:name="_Toc342398155"/>
      <w:bookmarkStart w:id="1837" w:name="_Toc340507467"/>
      <w:bookmarkStart w:id="1838" w:name="_Toc350438774"/>
      <w:bookmarkStart w:id="1839" w:name="_Toc350756475"/>
      <w:bookmarkStart w:id="1840" w:name="_Toc339441112"/>
      <w:bookmarkStart w:id="1841" w:name="_Toc366072554"/>
      <w:bookmarkStart w:id="1842" w:name="_Toc343612945"/>
      <w:bookmarkStart w:id="1843" w:name="_Toc336681960"/>
      <w:bookmarkStart w:id="1844" w:name="_Toc337632383"/>
      <w:bookmarkStart w:id="1845" w:name="_Toc343247125"/>
      <w:bookmarkStart w:id="1846" w:name="_Toc333237814"/>
      <w:bookmarkStart w:id="1847" w:name="_Toc342296786"/>
      <w:bookmarkStart w:id="1848" w:name="_Toc365985203"/>
      <w:bookmarkStart w:id="1849" w:name="_Toc333935712"/>
      <w:bookmarkStart w:id="1850" w:name="_Toc340672894"/>
      <w:bookmarkStart w:id="1851" w:name="_Toc331512926"/>
      <w:bookmarkStart w:id="1852" w:name="_Toc333935371"/>
      <w:bookmarkStart w:id="1853" w:name="_Toc332270372"/>
      <w:bookmarkStart w:id="1854" w:name="_Toc339362325"/>
      <w:bookmarkStart w:id="1855" w:name="_Toc339020258"/>
      <w:bookmarkStart w:id="1856" w:name="_Toc333237703"/>
      <w:bookmarkStart w:id="1857" w:name="_Toc343248443"/>
      <w:bookmarkStart w:id="1858" w:name="_Toc333238659"/>
      <w:bookmarkStart w:id="1859" w:name="_Toc336681605"/>
      <w:bookmarkStart w:id="1860" w:name="_Toc339019914"/>
      <w:bookmarkStart w:id="1861" w:name="_Toc339020040"/>
      <w:bookmarkStart w:id="1862" w:name="_Toc332206734"/>
      <w:bookmarkStart w:id="1863" w:name="_Toc330460011"/>
      <w:bookmarkStart w:id="1864" w:name="_Toc341348365"/>
      <w:bookmarkStart w:id="1865" w:name="_Toc340677095"/>
      <w:bookmarkStart w:id="1866" w:name="_Toc339020120"/>
      <w:bookmarkStart w:id="1867" w:name="_Toc342060400"/>
      <w:bookmarkStart w:id="1868" w:name="_Toc342312468"/>
      <w:bookmarkStart w:id="1869" w:name="_Toc345312622"/>
      <w:bookmarkStart w:id="1870" w:name="_Toc331684067"/>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四</w:t>
      </w:r>
      <w:r>
        <w:rPr>
          <w:rFonts w:hint="eastAsia"/>
          <w:color w:val="000000" w:themeColor="text1"/>
          <w:highlight w:val="none"/>
          <w14:textFill>
            <w14:solidFill>
              <w14:schemeClr w14:val="tx1"/>
            </w14:solidFill>
          </w14:textFill>
        </w:rPr>
        <w:t>：技术条款偏离一览表</w:t>
      </w:r>
      <w:bookmarkEnd w:id="1834"/>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6"/>
        <w:tblW w:w="9271" w:type="dxa"/>
        <w:jc w:val="center"/>
        <w:tblLayout w:type="fixed"/>
        <w:tblCellMar>
          <w:top w:w="0" w:type="dxa"/>
          <w:left w:w="54" w:type="dxa"/>
          <w:bottom w:w="0" w:type="dxa"/>
          <w:right w:w="54" w:type="dxa"/>
        </w:tblCellMar>
      </w:tblPr>
      <w:tblGrid>
        <w:gridCol w:w="661"/>
        <w:gridCol w:w="1116"/>
        <w:gridCol w:w="2845"/>
        <w:gridCol w:w="3190"/>
        <w:gridCol w:w="850"/>
        <w:gridCol w:w="609"/>
      </w:tblGrid>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招标文件条目</w:t>
            </w: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2）对招标文件中技术条款按上列格式逐条说明。</w:t>
      </w:r>
    </w:p>
    <w:p>
      <w:pPr>
        <w:adjustRightInd w:val="0"/>
        <w:snapToGrid w:val="0"/>
        <w:spacing w:line="360" w:lineRule="auto"/>
        <w:ind w:firstLine="630" w:firstLineChars="300"/>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
          <w:bCs/>
          <w:color w:val="000000" w:themeColor="text1"/>
          <w:highlight w:val="none"/>
          <w14:textFill>
            <w14:solidFill>
              <w14:schemeClr w14:val="tx1"/>
            </w14:solidFill>
          </w14:textFill>
        </w:rPr>
      </w:pPr>
    </w:p>
    <w:p>
      <w:pPr>
        <w:adjustRightInd w:val="0"/>
        <w:snapToGrid w:val="0"/>
        <w:spacing w:line="360" w:lineRule="auto"/>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投标人声明：表中未列全的技术条款，我方均表示完全响应招标文件技术条款的所有要求。</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p>
      <w:pPr>
        <w:pStyle w:val="5"/>
        <w:numPr>
          <w:ilvl w:val="1"/>
          <w:numId w:val="0"/>
        </w:numPr>
        <w:spacing w:line="400" w:lineRule="exact"/>
        <w:rPr>
          <w:color w:val="000000" w:themeColor="text1"/>
          <w:highlight w:val="none"/>
          <w14:textFill>
            <w14:solidFill>
              <w14:schemeClr w14:val="tx1"/>
            </w14:solidFill>
          </w14:textFill>
        </w:rPr>
        <w:sectPr>
          <w:pgSz w:w="11906" w:h="16838"/>
          <w:pgMar w:top="1474" w:right="1418" w:bottom="1474" w:left="1418" w:header="851" w:footer="850" w:gutter="0"/>
          <w:cols w:space="0" w:num="1"/>
          <w:titlePg/>
          <w:docGrid w:linePitch="312" w:charSpace="0"/>
        </w:sectPr>
      </w:pPr>
      <w:bookmarkStart w:id="1871" w:name="_Toc332206738"/>
      <w:bookmarkStart w:id="1872" w:name="_Toc340672898"/>
      <w:bookmarkStart w:id="1873" w:name="_Toc339441116"/>
      <w:bookmarkStart w:id="1874" w:name="_Toc333238663"/>
      <w:bookmarkStart w:id="1875" w:name="_Toc365985210"/>
      <w:bookmarkStart w:id="1876" w:name="_Toc331684071"/>
      <w:bookmarkStart w:id="1877" w:name="_Toc339362329"/>
      <w:bookmarkStart w:id="1878" w:name="_Toc342398159"/>
      <w:bookmarkStart w:id="1879" w:name="_Toc343248447"/>
      <w:bookmarkStart w:id="1880" w:name="_Toc343612949"/>
      <w:bookmarkStart w:id="1881" w:name="_Toc330460015"/>
      <w:bookmarkStart w:id="1882" w:name="_Toc340507471"/>
      <w:bookmarkStart w:id="1883" w:name="_Toc350756479"/>
      <w:bookmarkStart w:id="1884" w:name="_Toc336681964"/>
      <w:bookmarkStart w:id="1885" w:name="_Toc339020044"/>
      <w:bookmarkStart w:id="1886" w:name="_Toc333237818"/>
      <w:bookmarkStart w:id="1887" w:name="_Toc340677099"/>
      <w:bookmarkStart w:id="1888" w:name="_Toc333935716"/>
      <w:bookmarkStart w:id="1889" w:name="_Toc342060404"/>
      <w:bookmarkStart w:id="1890" w:name="_Toc342312472"/>
      <w:bookmarkStart w:id="1891" w:name="_Toc332270376"/>
      <w:bookmarkStart w:id="1892" w:name="_Toc331512930"/>
      <w:bookmarkStart w:id="1893" w:name="_Toc336681609"/>
      <w:bookmarkStart w:id="1894" w:name="_Toc342296790"/>
      <w:bookmarkStart w:id="1895" w:name="_Toc337632387"/>
      <w:bookmarkStart w:id="1896" w:name="_Toc343247129"/>
      <w:bookmarkStart w:id="1897" w:name="_Toc341348369"/>
      <w:bookmarkStart w:id="1898" w:name="_Toc339020124"/>
      <w:bookmarkStart w:id="1899" w:name="_Toc333935375"/>
      <w:bookmarkStart w:id="1900" w:name="_Toc339019918"/>
      <w:bookmarkStart w:id="1901" w:name="_Toc366072561"/>
      <w:bookmarkStart w:id="1902" w:name="_Toc365967104"/>
      <w:bookmarkStart w:id="1903" w:name="_Toc339020262"/>
      <w:bookmarkStart w:id="1904" w:name="_Toc350438778"/>
      <w:bookmarkStart w:id="1905" w:name="_Toc345312626"/>
      <w:bookmarkStart w:id="1906" w:name="_Toc432695228"/>
      <w:bookmarkStart w:id="1907" w:name="_Toc333237707"/>
    </w:p>
    <w:p>
      <w:pPr>
        <w:pStyle w:val="5"/>
        <w:numPr>
          <w:ilvl w:val="1"/>
          <w:numId w:val="0"/>
        </w:numPr>
        <w:spacing w:line="400" w:lineRule="exact"/>
        <w:rPr>
          <w:color w:val="000000" w:themeColor="text1"/>
          <w:highlight w:val="none"/>
          <w14:textFill>
            <w14:solidFill>
              <w14:schemeClr w14:val="tx1"/>
            </w14:solidFill>
          </w14:textFill>
        </w:rPr>
      </w:pPr>
      <w:bookmarkStart w:id="1908" w:name="_Toc29499"/>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五</w:t>
      </w:r>
      <w:r>
        <w:rPr>
          <w:rFonts w:hint="eastAsia"/>
          <w:color w:val="000000" w:themeColor="text1"/>
          <w:highlight w:val="none"/>
          <w14:textFill>
            <w14:solidFill>
              <w14:schemeClr w14:val="tx1"/>
            </w14:solidFill>
          </w14:textFill>
        </w:rPr>
        <w:t>：同类业绩一览表</w:t>
      </w:r>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p>
    <w:p>
      <w:pPr>
        <w:adjustRightInd w:val="0"/>
        <w:snapToGrid w:val="0"/>
        <w:spacing w:line="360" w:lineRule="auto"/>
        <w:jc w:val="left"/>
        <w:rPr>
          <w:rFonts w:ascii="宋体" w:hAnsi="宋体"/>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szCs w:val="2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tbl>
      <w:tblPr>
        <w:tblStyle w:val="46"/>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序号</w:t>
            </w:r>
          </w:p>
        </w:tc>
        <w:tc>
          <w:tcPr>
            <w:tcW w:w="1215"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项目名称</w:t>
            </w:r>
          </w:p>
        </w:tc>
        <w:tc>
          <w:tcPr>
            <w:tcW w:w="1267"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内容</w:t>
            </w:r>
          </w:p>
        </w:tc>
        <w:tc>
          <w:tcPr>
            <w:tcW w:w="1117"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数量</w:t>
            </w:r>
          </w:p>
        </w:tc>
        <w:tc>
          <w:tcPr>
            <w:tcW w:w="1400"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中标金额（元）</w:t>
            </w:r>
          </w:p>
        </w:tc>
        <w:tc>
          <w:tcPr>
            <w:tcW w:w="1233"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完成日期</w:t>
            </w:r>
          </w:p>
        </w:tc>
        <w:tc>
          <w:tcPr>
            <w:tcW w:w="1183"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用户单位</w:t>
            </w:r>
          </w:p>
        </w:tc>
        <w:tc>
          <w:tcPr>
            <w:tcW w:w="1220"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联系电话</w:t>
            </w:r>
          </w:p>
        </w:tc>
        <w:tc>
          <w:tcPr>
            <w:tcW w:w="817"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r>
    </w:tbl>
    <w:p>
      <w:pPr>
        <w:pStyle w:val="6"/>
        <w:snapToGrid w:val="0"/>
        <w:spacing w:line="360" w:lineRule="auto"/>
        <w:ind w:firstLine="0"/>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注：如本表格式内容不能满足需要，投标人可自行划表填写，但必须体现以上内容。</w:t>
      </w:r>
    </w:p>
    <w:p>
      <w:pPr>
        <w:pStyle w:val="6"/>
        <w:snapToGrid w:val="0"/>
        <w:spacing w:line="360" w:lineRule="auto"/>
        <w:rPr>
          <w:rFonts w:hAnsi="宋体"/>
          <w:bCs/>
          <w:color w:val="000000" w:themeColor="text1"/>
          <w:sz w:val="21"/>
          <w:highlight w:val="none"/>
          <w14:textFill>
            <w14:solidFill>
              <w14:schemeClr w14:val="tx1"/>
            </w14:solidFill>
          </w14:textFill>
        </w:rPr>
      </w:pPr>
    </w:p>
    <w:p>
      <w:pPr>
        <w:pStyle w:val="6"/>
        <w:snapToGrid w:val="0"/>
        <w:spacing w:line="360" w:lineRule="auto"/>
        <w:rPr>
          <w:rFonts w:hAnsi="宋体"/>
          <w:bCs/>
          <w:color w:val="000000" w:themeColor="text1"/>
          <w:sz w:val="21"/>
          <w:highlight w:val="none"/>
          <w14:textFill>
            <w14:solidFill>
              <w14:schemeClr w14:val="tx1"/>
            </w14:solidFill>
          </w14:textFill>
        </w:rPr>
      </w:pPr>
    </w:p>
    <w:p>
      <w:pPr>
        <w:pStyle w:val="6"/>
        <w:snapToGrid w:val="0"/>
        <w:spacing w:line="360" w:lineRule="auto"/>
        <w:rPr>
          <w:rFonts w:hAnsi="宋体"/>
          <w:bCs/>
          <w:color w:val="000000" w:themeColor="text1"/>
          <w:sz w:val="21"/>
          <w:highlight w:val="none"/>
          <w14:textFill>
            <w14:solidFill>
              <w14:schemeClr w14:val="tx1"/>
            </w14:solidFill>
          </w14:textFill>
        </w:rPr>
      </w:pPr>
    </w:p>
    <w:p>
      <w:pPr>
        <w:pStyle w:val="6"/>
        <w:snapToGrid w:val="0"/>
        <w:spacing w:line="360" w:lineRule="auto"/>
        <w:rPr>
          <w:rFonts w:hAnsi="宋体"/>
          <w:bCs/>
          <w:color w:val="000000" w:themeColor="text1"/>
          <w:sz w:val="2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5"/>
        <w:numPr>
          <w:ilvl w:val="1"/>
          <w:numId w:val="0"/>
        </w:numPr>
        <w:jc w:val="both"/>
        <w:rPr>
          <w:color w:val="000000" w:themeColor="text1"/>
          <w:highlight w:val="none"/>
          <w14:textFill>
            <w14:solidFill>
              <w14:schemeClr w14:val="tx1"/>
            </w14:solidFill>
          </w14:textFill>
        </w:rPr>
        <w:sectPr>
          <w:pgSz w:w="11906" w:h="16838"/>
          <w:pgMar w:top="1474" w:right="1418" w:bottom="1474" w:left="1418" w:header="851" w:footer="851" w:gutter="0"/>
          <w:cols w:space="720" w:num="1"/>
          <w:titlePg/>
          <w:docGrid w:linePitch="312" w:charSpace="0"/>
        </w:sectPr>
      </w:pPr>
    </w:p>
    <w:p>
      <w:pPr>
        <w:pStyle w:val="5"/>
        <w:numPr>
          <w:ilvl w:val="0"/>
          <w:numId w:val="0"/>
        </w:numPr>
        <w:spacing w:line="400" w:lineRule="exact"/>
        <w:rPr>
          <w:rFonts w:hAnsi="黑体" w:cs="黑体"/>
          <w:color w:val="000000" w:themeColor="text1"/>
          <w:highlight w:val="none"/>
          <w14:textFill>
            <w14:solidFill>
              <w14:schemeClr w14:val="tx1"/>
            </w14:solidFill>
          </w14:textFill>
        </w:rPr>
      </w:pPr>
      <w:bookmarkStart w:id="1909" w:name="_Toc430771089"/>
      <w:bookmarkStart w:id="1910" w:name="_Toc1451"/>
      <w:bookmarkStart w:id="1911" w:name="_Toc432682754"/>
      <w:bookmarkStart w:id="1912" w:name="_Toc432695229"/>
      <w:bookmarkStart w:id="1913" w:name="_Toc342296791"/>
      <w:bookmarkStart w:id="1914" w:name="_Toc342398160"/>
      <w:bookmarkStart w:id="1915" w:name="_Toc333935376"/>
      <w:bookmarkStart w:id="1916" w:name="_Toc343247130"/>
      <w:bookmarkStart w:id="1917" w:name="_Toc333238664"/>
      <w:bookmarkStart w:id="1918" w:name="_Toc341348370"/>
      <w:bookmarkStart w:id="1919" w:name="_Toc339441117"/>
      <w:bookmarkStart w:id="1920" w:name="_Toc333935717"/>
      <w:bookmarkStart w:id="1921" w:name="_Toc366072562"/>
      <w:bookmarkStart w:id="1922" w:name="_Toc365985211"/>
      <w:bookmarkStart w:id="1923" w:name="_Toc102451601"/>
      <w:bookmarkStart w:id="1924" w:name="_Toc340672899"/>
      <w:bookmarkStart w:id="1925" w:name="_Toc337632388"/>
      <w:bookmarkStart w:id="1926" w:name="_Toc342060405"/>
      <w:bookmarkStart w:id="1927" w:name="_Toc339020125"/>
      <w:bookmarkStart w:id="1928" w:name="_Toc332270377"/>
      <w:bookmarkStart w:id="1929" w:name="_Toc333237708"/>
      <w:bookmarkStart w:id="1930" w:name="_Toc339020045"/>
      <w:bookmarkStart w:id="1931" w:name="_Toc330460016"/>
      <w:bookmarkStart w:id="1932" w:name="_Toc340677100"/>
      <w:bookmarkStart w:id="1933" w:name="_Toc336681610"/>
      <w:bookmarkStart w:id="1934" w:name="_Toc332206739"/>
      <w:bookmarkStart w:id="1935" w:name="_Toc333237819"/>
      <w:bookmarkStart w:id="1936" w:name="_Toc342312473"/>
      <w:bookmarkStart w:id="1937" w:name="_Toc339020263"/>
      <w:bookmarkStart w:id="1938" w:name="_Toc343612950"/>
      <w:bookmarkStart w:id="1939" w:name="_Toc340507472"/>
      <w:bookmarkStart w:id="1940" w:name="_Toc331684072"/>
      <w:bookmarkStart w:id="1941" w:name="_Toc339019919"/>
      <w:bookmarkStart w:id="1942" w:name="_Toc350438779"/>
      <w:bookmarkStart w:id="1943" w:name="_Toc365967105"/>
      <w:bookmarkStart w:id="1944" w:name="_Toc350756480"/>
      <w:bookmarkStart w:id="1945" w:name="_Toc345312627"/>
      <w:bookmarkStart w:id="1946" w:name="_Toc331512931"/>
      <w:bookmarkStart w:id="1947" w:name="_Toc336681965"/>
      <w:bookmarkStart w:id="1948" w:name="_Toc339362330"/>
      <w:bookmarkStart w:id="1949" w:name="_Toc343248448"/>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六</w:t>
      </w:r>
      <w:r>
        <w:rPr>
          <w:rFonts w:hint="eastAsia"/>
          <w:color w:val="000000" w:themeColor="text1"/>
          <w:highlight w:val="none"/>
          <w14:textFill>
            <w14:solidFill>
              <w14:schemeClr w14:val="tx1"/>
            </w14:solidFill>
          </w14:textFill>
        </w:rPr>
        <w:t>：</w:t>
      </w:r>
      <w:r>
        <w:rPr>
          <w:rFonts w:hint="eastAsia" w:hAnsi="黑体" w:cs="黑体"/>
          <w:color w:val="000000" w:themeColor="text1"/>
          <w:highlight w:val="none"/>
          <w14:textFill>
            <w14:solidFill>
              <w14:schemeClr w14:val="tx1"/>
            </w14:solidFill>
          </w14:textFill>
        </w:rPr>
        <w:t>中小微企业声明函</w:t>
      </w:r>
      <w:bookmarkEnd w:id="1909"/>
      <w:bookmarkEnd w:id="1910"/>
      <w:bookmarkEnd w:id="1911"/>
      <w:bookmarkEnd w:id="1912"/>
    </w:p>
    <w:p>
      <w:pPr>
        <w:spacing w:line="440" w:lineRule="exact"/>
        <w:ind w:firstLine="420"/>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本公司郑重声明，根据</w:t>
      </w:r>
      <w:r>
        <w:rPr>
          <w:rFonts w:ascii="宋体" w:hAnsi="宋体"/>
          <w:color w:val="000000" w:themeColor="text1"/>
          <w:szCs w:val="21"/>
          <w:highlight w:val="none"/>
          <w14:textFill>
            <w14:solidFill>
              <w14:schemeClr w14:val="tx1"/>
            </w14:solidFill>
          </w14:textFill>
        </w:rPr>
        <w:t>《政府采购促进中小企业发展管理办法》（财库﹝2020﹞46 号）</w:t>
      </w:r>
      <w:r>
        <w:rPr>
          <w:rFonts w:hint="eastAsia" w:ascii="宋体" w:hAnsi="宋体" w:cs="宋体"/>
          <w:color w:val="000000" w:themeColor="text1"/>
          <w:highlight w:val="none"/>
          <w14:textFill>
            <w14:solidFill>
              <w14:schemeClr w14:val="tx1"/>
            </w14:solidFill>
          </w14:textFill>
        </w:rPr>
        <w:t>的规定，本公司为</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（请填写：中型、小型、微型）企业。即，本公司同时满足以下条件：</w:t>
      </w:r>
    </w:p>
    <w:p>
      <w:pPr>
        <w:spacing w:line="440" w:lineRule="exact"/>
        <w:ind w:firstLine="420"/>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1.</w:t>
      </w:r>
      <w:r>
        <w:rPr>
          <w:rFonts w:hint="eastAsia" w:ascii="宋体" w:hAnsi="宋体" w:cs="宋体"/>
          <w:color w:val="000000" w:themeColor="text1"/>
          <w:highlight w:val="none"/>
          <w14:textFill>
            <w14:solidFill>
              <w14:schemeClr w14:val="tx1"/>
            </w14:solidFill>
          </w14:textFill>
        </w:rPr>
        <w:t>根据《工业和信息化部、国家统计局、国家发展和改革委员会、财政部关于印发中小企业划型标准规定的通知》（工信部联企业</w:t>
      </w:r>
      <w:r>
        <w:rPr>
          <w:rFonts w:ascii="宋体" w:hAnsi="宋体" w:cs="宋体"/>
          <w:color w:val="000000" w:themeColor="text1"/>
          <w:highlight w:val="none"/>
          <w14:textFill>
            <w14:solidFill>
              <w14:schemeClr w14:val="tx1"/>
            </w14:solidFill>
          </w14:textFill>
        </w:rPr>
        <w:t xml:space="preserve">[2011]300 </w:t>
      </w:r>
      <w:r>
        <w:rPr>
          <w:rFonts w:hint="eastAsia" w:ascii="宋体" w:hAnsi="宋体" w:cs="宋体"/>
          <w:color w:val="000000" w:themeColor="text1"/>
          <w:highlight w:val="none"/>
          <w14:textFill>
            <w14:solidFill>
              <w14:schemeClr w14:val="tx1"/>
            </w14:solidFill>
          </w14:textFill>
        </w:rPr>
        <w:t>号）规定的划分标准：第四条第</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项</w:t>
      </w:r>
      <w:r>
        <w:rPr>
          <w:rFonts w:ascii="宋体" w:hAnsi="宋体" w:cs="宋体"/>
          <w:color w:val="000000" w:themeColor="text1"/>
          <w:highlight w:val="none"/>
          <w:u w:val="single"/>
          <w14:textFill>
            <w14:solidFill>
              <w14:schemeClr w14:val="tx1"/>
            </w14:solidFill>
          </w14:textFill>
        </w:rPr>
        <w:t>_________</w:t>
      </w:r>
      <w:r>
        <w:rPr>
          <w:rFonts w:hint="eastAsia" w:ascii="宋体" w:hAnsi="宋体" w:cs="宋体"/>
          <w:color w:val="000000" w:themeColor="text1"/>
          <w:highlight w:val="none"/>
          <w14:textFill>
            <w14:solidFill>
              <w14:schemeClr w14:val="tx1"/>
            </w14:solidFill>
          </w14:textFill>
        </w:rPr>
        <w:t>行业，本公司（此处填写从业人员或营业收入的具体数据），为</w:t>
      </w:r>
      <w:r>
        <w:rPr>
          <w:rFonts w:ascii="宋体" w:hAnsi="宋体" w:cs="宋体"/>
          <w:color w:val="000000" w:themeColor="text1"/>
          <w:highlight w:val="none"/>
          <w:u w:val="single"/>
          <w14:textFill>
            <w14:solidFill>
              <w14:schemeClr w14:val="tx1"/>
            </w14:solidFill>
          </w14:textFill>
        </w:rPr>
        <w:t xml:space="preserve"> ______</w:t>
      </w:r>
      <w:r>
        <w:rPr>
          <w:rFonts w:hint="eastAsia" w:ascii="宋体" w:hAnsi="宋体" w:cs="宋体"/>
          <w:color w:val="000000" w:themeColor="text1"/>
          <w:highlight w:val="none"/>
          <w14:textFill>
            <w14:solidFill>
              <w14:schemeClr w14:val="tx1"/>
            </w14:solidFill>
          </w14:textFill>
        </w:rPr>
        <w:t>（请填写：中型、小型、微型）企业。</w:t>
      </w:r>
    </w:p>
    <w:p>
      <w:pPr>
        <w:spacing w:line="440" w:lineRule="exact"/>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2.</w:t>
      </w:r>
      <w:r>
        <w:rPr>
          <w:rFonts w:hint="eastAsia" w:ascii="宋体" w:hAnsi="宋体" w:cs="宋体"/>
          <w:color w:val="000000" w:themeColor="text1"/>
          <w:highlight w:val="none"/>
          <w14:textFill>
            <w14:solidFill>
              <w14:schemeClr w14:val="tx1"/>
            </w14:solidFill>
          </w14:textFill>
        </w:rPr>
        <w:t>本公司参加</w:t>
      </w:r>
      <w:r>
        <w:rPr>
          <w:rFonts w:hint="eastAsia" w:ascii="宋体" w:hAnsi="宋体"/>
          <w:color w:val="000000" w:themeColor="text1"/>
          <w:highlight w:val="none"/>
          <w14:textFill>
            <w14:solidFill>
              <w14:schemeClr w14:val="tx1"/>
            </w14:solidFill>
          </w14:textFill>
        </w:rPr>
        <w:t>（项目名称：）</w:t>
      </w:r>
      <w:r>
        <w:rPr>
          <w:rFonts w:hint="eastAsia" w:ascii="宋体" w:hAnsi="宋体" w:cs="宋体"/>
          <w:color w:val="000000" w:themeColor="text1"/>
          <w:highlight w:val="none"/>
          <w14:textFill>
            <w14:solidFill>
              <w14:schemeClr w14:val="tx1"/>
            </w14:solidFill>
          </w14:textFill>
        </w:rPr>
        <w:t>（项目编号：）采购活动提供本企业制造的货物，由本企业承担工程、提供服务，或者提供其他</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spacing w:line="440" w:lineRule="exact"/>
        <w:rPr>
          <w:rFonts w:ascii="宋体"/>
          <w:color w:val="000000" w:themeColor="text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日期：</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年</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月</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日</w:t>
      </w:r>
    </w:p>
    <w:p>
      <w:pPr>
        <w:spacing w:line="440" w:lineRule="exact"/>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说明：提供其他中小微企业制造的货物，必须同时提供该中小微企业的声明函。</w:t>
      </w: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p>
      <w:pPr>
        <w:pStyle w:val="5"/>
        <w:keepLines w:val="0"/>
        <w:numPr>
          <w:ilvl w:val="0"/>
          <w:numId w:val="0"/>
        </w:numPr>
        <w:tabs>
          <w:tab w:val="left" w:pos="851"/>
        </w:tabs>
        <w:spacing w:before="0" w:after="0" w:line="360" w:lineRule="auto"/>
        <w:rPr>
          <w:rFonts w:ascii="宋体" w:eastAsia="宋体"/>
          <w:color w:val="000000" w:themeColor="text1"/>
          <w:szCs w:val="21"/>
          <w:highlight w:val="none"/>
          <w14:textFill>
            <w14:solidFill>
              <w14:schemeClr w14:val="tx1"/>
            </w14:solidFill>
          </w14:textFill>
        </w:rPr>
      </w:pPr>
      <w:bookmarkStart w:id="1950" w:name="_Toc18435"/>
      <w:bookmarkStart w:id="1951" w:name="_Toc32373"/>
      <w:bookmarkStart w:id="1952" w:name="_Toc434832511"/>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七</w:t>
      </w:r>
      <w:r>
        <w:rPr>
          <w:rFonts w:hint="eastAsia"/>
          <w:color w:val="000000" w:themeColor="text1"/>
          <w:highlight w:val="none"/>
          <w14:textFill>
            <w14:solidFill>
              <w14:schemeClr w14:val="tx1"/>
            </w14:solidFill>
          </w14:textFill>
        </w:rPr>
        <w:t>：</w:t>
      </w:r>
      <w:r>
        <w:rPr>
          <w:rFonts w:hint="eastAsia" w:hAnsi="黑体" w:cs="黑体"/>
          <w:color w:val="000000" w:themeColor="text1"/>
          <w:highlight w:val="none"/>
          <w14:textFill>
            <w14:solidFill>
              <w14:schemeClr w14:val="tx1"/>
            </w14:solidFill>
          </w14:textFill>
        </w:rPr>
        <w:t>残疾人福利性单位声明函</w:t>
      </w:r>
      <w:bookmarkEnd w:id="1950"/>
      <w:bookmarkEnd w:id="1951"/>
    </w:p>
    <w:p>
      <w:pPr>
        <w:spacing w:line="360" w:lineRule="auto"/>
        <w:jc w:val="center"/>
        <w:rPr>
          <w:rFonts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残疾人福利性单位声明函</w:t>
      </w:r>
    </w:p>
    <w:p>
      <w:pPr>
        <w:spacing w:line="360" w:lineRule="auto"/>
        <w:jc w:val="center"/>
        <w:rPr>
          <w:rFonts w:ascii="宋体" w:hAnsi="宋体"/>
          <w:b/>
          <w:color w:val="000000" w:themeColor="text1"/>
          <w:sz w:val="24"/>
          <w:highlight w:val="none"/>
          <w14:textFill>
            <w14:solidFill>
              <w14:schemeClr w14:val="tx1"/>
            </w14:solidFill>
          </w14:textFill>
        </w:rPr>
      </w:pPr>
    </w:p>
    <w:p>
      <w:pPr>
        <w:spacing w:line="480" w:lineRule="auto"/>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 </w:t>
      </w: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投标人法定代表人（负责人）或授权代理人（签字）：</w:t>
      </w:r>
      <w:r>
        <w:rPr>
          <w:rFonts w:hint="eastAsia" w:ascii="宋体" w:hAnsi="宋体"/>
          <w:bCs/>
          <w:color w:val="000000" w:themeColor="text1"/>
          <w:szCs w:val="2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投标人名称（公章）：</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p>
    <w:p>
      <w:pPr>
        <w:pStyle w:val="6"/>
        <w:spacing w:line="360" w:lineRule="auto"/>
        <w:ind w:firstLine="0"/>
        <w:rPr>
          <w:rFonts w:hAnsi="宋体" w:cs="宋体"/>
          <w:color w:val="000000" w:themeColor="text1"/>
          <w:kern w:val="2"/>
          <w:sz w:val="21"/>
          <w:szCs w:val="24"/>
          <w:highlight w:val="none"/>
          <w14:textFill>
            <w14:solidFill>
              <w14:schemeClr w14:val="tx1"/>
            </w14:solidFill>
          </w14:textFill>
        </w:rPr>
      </w:pPr>
      <w:r>
        <w:rPr>
          <w:rFonts w:hAnsi="宋体"/>
          <w:color w:val="000000" w:themeColor="text1"/>
          <w:sz w:val="21"/>
          <w:szCs w:val="21"/>
          <w:highlight w:val="none"/>
          <w14:textFill>
            <w14:solidFill>
              <w14:schemeClr w14:val="tx1"/>
            </w14:solidFill>
          </w14:textFill>
        </w:rPr>
        <w:t>日期：</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年</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月</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日</w:t>
      </w: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5"/>
        <w:numPr>
          <w:ilvl w:val="1"/>
          <w:numId w:val="0"/>
        </w:numPr>
        <w:spacing w:line="400" w:lineRule="exact"/>
        <w:rPr>
          <w:color w:val="000000" w:themeColor="text1"/>
          <w:highlight w:val="none"/>
          <w14:textFill>
            <w14:solidFill>
              <w14:schemeClr w14:val="tx1"/>
            </w14:solidFill>
          </w14:textFill>
        </w:rPr>
      </w:pPr>
      <w:bookmarkStart w:id="1953" w:name="_Toc432695230"/>
      <w:bookmarkStart w:id="1954" w:name="_Toc24046"/>
      <w:bookmarkStart w:id="1955" w:name="_Toc9858"/>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八</w:t>
      </w:r>
      <w:r>
        <w:rPr>
          <w:rFonts w:hint="eastAsia"/>
          <w:color w:val="000000" w:themeColor="text1"/>
          <w:highlight w:val="none"/>
          <w14:textFill>
            <w14:solidFill>
              <w14:schemeClr w14:val="tx1"/>
            </w14:solidFill>
          </w14:textFill>
        </w:rPr>
        <w:t>：中标服务费承诺</w:t>
      </w:r>
      <w:bookmarkEnd w:id="1953"/>
      <w:bookmarkEnd w:id="1954"/>
      <w:bookmarkEnd w:id="1955"/>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致</w:t>
      </w:r>
      <w:r>
        <w:rPr>
          <w:rFonts w:hint="eastAsia" w:ascii="宋体" w:hAnsi="宋体"/>
          <w:color w:val="000000" w:themeColor="text1"/>
          <w:highlight w:val="none"/>
          <w:u w:val="single"/>
          <w:lang w:eastAsia="zh-CN"/>
          <w14:textFill>
            <w14:solidFill>
              <w14:schemeClr w14:val="tx1"/>
            </w14:solidFill>
          </w14:textFill>
        </w:rPr>
        <w:t>广东业信招标有限公司</w:t>
      </w:r>
      <w:r>
        <w:rPr>
          <w:rFonts w:hint="eastAsia" w:ascii="宋体" w:hAnsi="宋体"/>
          <w:color w:val="000000" w:themeColor="text1"/>
          <w:highlight w:val="none"/>
          <w14:textFill>
            <w14:solidFill>
              <w14:schemeClr w14:val="tx1"/>
            </w14:solidFill>
          </w14:textFill>
        </w:rPr>
        <w:t>：</w:t>
      </w:r>
    </w:p>
    <w:p>
      <w:pPr>
        <w:spacing w:line="360" w:lineRule="auto"/>
        <w:rPr>
          <w:rFonts w:ascii="宋体" w:hAnsi="宋体"/>
          <w:color w:val="000000" w:themeColor="text1"/>
          <w:highlight w:val="none"/>
          <w14:textFill>
            <w14:solidFill>
              <w14:schemeClr w14:val="tx1"/>
            </w14:solidFill>
          </w14:textFill>
        </w:rPr>
      </w:pP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针对贵方组织的（项目名称：</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）招标（项目编号: </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），我方承诺：</w:t>
      </w: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 若我方中标，将严格遵照本项目招标文件的规定向代理采购机构缴纳中标服务费。</w:t>
      </w: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 若我方中标后拒绝如数缴纳或未按本项目招标文件规定的期限缴纳中标服务费，则视为我方自动放弃该中标结果，贵</w:t>
      </w:r>
      <w:r>
        <w:rPr>
          <w:rFonts w:hint="eastAsia" w:ascii="宋体" w:hAnsi="宋体"/>
          <w:color w:val="000000" w:themeColor="text1"/>
          <w:szCs w:val="21"/>
          <w:highlight w:val="none"/>
          <w14:textFill>
            <w14:solidFill>
              <w14:schemeClr w14:val="tx1"/>
            </w14:solidFill>
          </w14:textFill>
        </w:rPr>
        <w:t>方</w:t>
      </w:r>
      <w:r>
        <w:rPr>
          <w:rFonts w:hint="eastAsia" w:ascii="宋体" w:hAnsi="宋体"/>
          <w:color w:val="000000" w:themeColor="text1"/>
          <w:highlight w:val="none"/>
          <w14:textFill>
            <w14:solidFill>
              <w14:schemeClr w14:val="tx1"/>
            </w14:solidFill>
          </w14:textFill>
        </w:rPr>
        <w:t>有权不予退还我方的投标保证金并重新确定中标结果，</w:t>
      </w:r>
      <w:r>
        <w:rPr>
          <w:rFonts w:hint="eastAsia" w:ascii="宋体"/>
          <w:color w:val="000000" w:themeColor="text1"/>
          <w:highlight w:val="none"/>
          <w14:textFill>
            <w14:solidFill>
              <w14:schemeClr w14:val="tx1"/>
            </w14:solidFill>
          </w14:textFill>
        </w:rPr>
        <w:t>我方对此无任何异议。</w:t>
      </w:r>
    </w:p>
    <w:p>
      <w:pPr>
        <w:spacing w:line="440" w:lineRule="exact"/>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pPr>
        <w:spacing w:line="440" w:lineRule="exact"/>
        <w:ind w:firstLine="420" w:firstLineChars="200"/>
        <w:rPr>
          <w:rFonts w:ascii="宋体" w:hAns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rPr>
          <w:color w:val="000000" w:themeColor="text1"/>
          <w:highlight w:val="none"/>
          <w14:textFill>
            <w14:solidFill>
              <w14:schemeClr w14:val="tx1"/>
            </w14:solidFill>
          </w14:textFill>
        </w:rPr>
        <w:sectPr>
          <w:pgSz w:w="11906" w:h="16838"/>
          <w:pgMar w:top="1474" w:right="1418" w:bottom="1474" w:left="1418" w:header="851" w:footer="851" w:gutter="0"/>
          <w:cols w:space="720" w:num="1"/>
          <w:titlePg/>
          <w:docGrid w:linePitch="312" w:charSpace="0"/>
        </w:sectPr>
      </w:pPr>
    </w:p>
    <w:p>
      <w:pPr>
        <w:pStyle w:val="5"/>
        <w:numPr>
          <w:ilvl w:val="1"/>
          <w:numId w:val="0"/>
        </w:numPr>
        <w:spacing w:line="400" w:lineRule="exact"/>
        <w:rPr>
          <w:color w:val="000000" w:themeColor="text1"/>
          <w:highlight w:val="none"/>
          <w14:textFill>
            <w14:solidFill>
              <w14:schemeClr w14:val="tx1"/>
            </w14:solidFill>
          </w14:textFill>
        </w:rPr>
      </w:pPr>
      <w:bookmarkStart w:id="1956" w:name="_Toc326065622"/>
      <w:bookmarkStart w:id="1957" w:name="_Toc342296792"/>
      <w:bookmarkStart w:id="1958" w:name="_Toc342060406"/>
      <w:bookmarkStart w:id="1959" w:name="_Toc330460017"/>
      <w:bookmarkStart w:id="1960" w:name="_Toc333935718"/>
      <w:bookmarkStart w:id="1961" w:name="_Toc342398161"/>
      <w:bookmarkStart w:id="1962" w:name="_Toc365967106"/>
      <w:bookmarkStart w:id="1963" w:name="_Toc343612951"/>
      <w:bookmarkStart w:id="1964" w:name="_Toc337632389"/>
      <w:bookmarkStart w:id="1965" w:name="_Toc332270378"/>
      <w:bookmarkStart w:id="1966" w:name="_Toc333935377"/>
      <w:bookmarkStart w:id="1967" w:name="_Toc366072563"/>
      <w:bookmarkStart w:id="1968" w:name="_Toc345312628"/>
      <w:bookmarkStart w:id="1969" w:name="_Toc340507473"/>
      <w:bookmarkStart w:id="1970" w:name="_Toc365985212"/>
      <w:bookmarkStart w:id="1971" w:name="_Toc339020264"/>
      <w:bookmarkStart w:id="1972" w:name="_Toc333237709"/>
      <w:bookmarkStart w:id="1973" w:name="_Toc339362331"/>
      <w:bookmarkStart w:id="1974" w:name="_Toc350756481"/>
      <w:bookmarkStart w:id="1975" w:name="_Toc336681966"/>
      <w:bookmarkStart w:id="1976" w:name="_Toc333238665"/>
      <w:bookmarkStart w:id="1977" w:name="_Toc339441118"/>
      <w:bookmarkStart w:id="1978" w:name="_Toc340677101"/>
      <w:bookmarkStart w:id="1979" w:name="_Toc333237820"/>
      <w:bookmarkStart w:id="1980" w:name="_Toc10463"/>
      <w:bookmarkStart w:id="1981" w:name="_Toc336681611"/>
      <w:bookmarkStart w:id="1982" w:name="_Toc339020046"/>
      <w:bookmarkStart w:id="1983" w:name="_Toc432695231"/>
      <w:bookmarkStart w:id="1984" w:name="_Toc340672900"/>
      <w:bookmarkStart w:id="1985" w:name="_Toc331512932"/>
      <w:bookmarkStart w:id="1986" w:name="_Toc26502"/>
      <w:bookmarkStart w:id="1987" w:name="_Toc343247131"/>
      <w:bookmarkStart w:id="1988" w:name="_Toc341348371"/>
      <w:bookmarkStart w:id="1989" w:name="_Toc342312474"/>
      <w:bookmarkStart w:id="1990" w:name="_Toc339020126"/>
      <w:bookmarkStart w:id="1991" w:name="_Toc339019920"/>
      <w:bookmarkStart w:id="1992" w:name="_Toc331684073"/>
      <w:bookmarkStart w:id="1993" w:name="_Toc350438780"/>
      <w:bookmarkStart w:id="1994" w:name="_Toc332206740"/>
      <w:bookmarkStart w:id="1995" w:name="_Toc343248449"/>
      <w:r>
        <w:rPr>
          <w:rFonts w:hint="eastAsia"/>
          <w:color w:val="000000" w:themeColor="text1"/>
          <w:highlight w:val="none"/>
          <w14:textFill>
            <w14:solidFill>
              <w14:schemeClr w14:val="tx1"/>
            </w14:solidFill>
          </w14:textFill>
        </w:rPr>
        <w:t>附件</w:t>
      </w:r>
      <w:r>
        <w:rPr>
          <w:rFonts w:hint="eastAsia"/>
          <w:color w:val="000000" w:themeColor="text1"/>
          <w:highlight w:val="none"/>
          <w:lang w:val="en-US" w:eastAsia="zh-CN"/>
          <w14:textFill>
            <w14:solidFill>
              <w14:schemeClr w14:val="tx1"/>
            </w14:solidFill>
          </w14:textFill>
        </w:rPr>
        <w:t>九</w:t>
      </w:r>
      <w:r>
        <w:rPr>
          <w:rFonts w:hint="eastAsia"/>
          <w:color w:val="000000" w:themeColor="text1"/>
          <w:highlight w:val="none"/>
          <w14:textFill>
            <w14:solidFill>
              <w14:schemeClr w14:val="tx1"/>
            </w14:solidFill>
          </w14:textFill>
        </w:rPr>
        <w:t>：</w:t>
      </w:r>
      <w:bookmarkEnd w:id="1956"/>
      <w:r>
        <w:rPr>
          <w:rFonts w:hint="eastAsia"/>
          <w:color w:val="000000" w:themeColor="text1"/>
          <w:highlight w:val="none"/>
          <w14:textFill>
            <w14:solidFill>
              <w14:schemeClr w14:val="tx1"/>
            </w14:solidFill>
          </w14:textFill>
        </w:rPr>
        <w:t>投标人提交的其它商务和技术资料</w:t>
      </w:r>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p>
    <w:p>
      <w:pPr>
        <w:adjustRightInd w:val="0"/>
        <w:snapToGrid w:val="0"/>
        <w:spacing w:line="360" w:lineRule="auto"/>
        <w:jc w:val="left"/>
        <w:rPr>
          <w:rFonts w:ascii="宋体" w:hAnsi="宋体"/>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szCs w:val="2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p>
    <w:p>
      <w:pPr>
        <w:pStyle w:val="6"/>
        <w:spacing w:line="360" w:lineRule="auto"/>
        <w:rPr>
          <w:rFonts w:hAnsi="宋体"/>
          <w:bCs/>
          <w:color w:val="000000" w:themeColor="text1"/>
          <w:sz w:val="21"/>
          <w:highlight w:val="none"/>
          <w14:textFill>
            <w14:solidFill>
              <w14:schemeClr w14:val="tx1"/>
            </w14:solidFill>
          </w14:textFill>
        </w:rPr>
      </w:pPr>
    </w:p>
    <w:p>
      <w:pPr>
        <w:pStyle w:val="6"/>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本节无格式要求，投标人可根据自身实际情况以及招标文件评分细则规定的详细评审内容和应当提供的证明材料进行编制。</w:t>
      </w:r>
    </w:p>
    <w:p>
      <w:pPr>
        <w:pStyle w:val="6"/>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一、</w:t>
      </w:r>
      <w:r>
        <w:rPr>
          <w:rFonts w:hAnsi="宋体"/>
          <w:bCs/>
          <w:color w:val="000000" w:themeColor="text1"/>
          <w:sz w:val="21"/>
          <w:highlight w:val="none"/>
          <w14:textFill>
            <w14:solidFill>
              <w14:schemeClr w14:val="tx1"/>
            </w14:solidFill>
          </w14:textFill>
        </w:rPr>
        <w:t>...</w:t>
      </w:r>
    </w:p>
    <w:p>
      <w:pPr>
        <w:pStyle w:val="6"/>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二、</w:t>
      </w:r>
      <w:r>
        <w:rPr>
          <w:rFonts w:hAnsi="宋体"/>
          <w:bCs/>
          <w:color w:val="000000" w:themeColor="text1"/>
          <w:sz w:val="21"/>
          <w:highlight w:val="none"/>
          <w14:textFill>
            <w14:solidFill>
              <w14:schemeClr w14:val="tx1"/>
            </w14:solidFill>
          </w14:textFill>
        </w:rPr>
        <w:t>...</w:t>
      </w:r>
    </w:p>
    <w:p>
      <w:pPr>
        <w:pStyle w:val="6"/>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三、</w:t>
      </w:r>
      <w:r>
        <w:rPr>
          <w:rFonts w:hAnsi="宋体"/>
          <w:bCs/>
          <w:color w:val="000000" w:themeColor="text1"/>
          <w:sz w:val="21"/>
          <w:highlight w:val="none"/>
          <w14:textFill>
            <w14:solidFill>
              <w14:schemeClr w14:val="tx1"/>
            </w14:solidFill>
          </w14:textFill>
        </w:rPr>
        <w:t>...</w:t>
      </w:r>
    </w:p>
    <w:p>
      <w:pPr>
        <w:pStyle w:val="6"/>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四、</w:t>
      </w:r>
      <w:r>
        <w:rPr>
          <w:rFonts w:hAnsi="宋体"/>
          <w:bCs/>
          <w:color w:val="000000" w:themeColor="text1"/>
          <w:sz w:val="21"/>
          <w:highlight w:val="none"/>
          <w14:textFill>
            <w14:solidFill>
              <w14:schemeClr w14:val="tx1"/>
            </w14:solidFill>
          </w14:textFill>
        </w:rPr>
        <w:t>...</w:t>
      </w:r>
    </w:p>
    <w:p>
      <w:pPr>
        <w:adjustRightInd w:val="0"/>
        <w:snapToGrid w:val="0"/>
        <w:spacing w:line="440" w:lineRule="exact"/>
        <w:rPr>
          <w:rFonts w:ascii="宋体" w:hAnsi="宋体"/>
          <w:bCs/>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6"/>
        <w:spacing w:line="360" w:lineRule="auto"/>
        <w:rPr>
          <w:color w:val="000000" w:themeColor="text1"/>
          <w:highlight w:val="none"/>
          <w14:textFill>
            <w14:solidFill>
              <w14:schemeClr w14:val="tx1"/>
            </w14:solidFill>
          </w14:textFill>
        </w:rPr>
      </w:pPr>
    </w:p>
    <w:p>
      <w:pPr>
        <w:adjustRightInd w:val="0"/>
        <w:snapToGrid w:val="0"/>
        <w:spacing w:line="44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（投标人认为本节无须提交的，应注明“本节空白”字样）。</w:t>
      </w: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ind w:firstLine="0"/>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5"/>
        <w:numPr>
          <w:ilvl w:val="0"/>
          <w:numId w:val="0"/>
        </w:numPr>
        <w:rPr>
          <w:color w:val="000000" w:themeColor="text1"/>
          <w:sz w:val="52"/>
          <w:highlight w:val="none"/>
          <w14:textFill>
            <w14:solidFill>
              <w14:schemeClr w14:val="tx1"/>
            </w14:solidFill>
          </w14:textFill>
        </w:rPr>
      </w:pPr>
      <w:bookmarkStart w:id="1996" w:name="_Toc456888293"/>
      <w:bookmarkStart w:id="1997" w:name="_Toc456887842"/>
      <w:bookmarkStart w:id="1998" w:name="_Toc550"/>
      <w:r>
        <w:rPr>
          <w:rFonts w:hint="eastAsia"/>
          <w:color w:val="000000" w:themeColor="text1"/>
          <w:sz w:val="52"/>
          <w:highlight w:val="none"/>
          <w14:textFill>
            <w14:solidFill>
              <w14:schemeClr w14:val="tx1"/>
            </w14:solidFill>
          </w14:textFill>
        </w:rPr>
        <w:t>其 他 格 式</w:t>
      </w:r>
      <w:bookmarkEnd w:id="1952"/>
      <w:bookmarkEnd w:id="1996"/>
      <w:bookmarkEnd w:id="1997"/>
      <w:bookmarkEnd w:id="1998"/>
    </w:p>
    <w:p>
      <w:pPr>
        <w:jc w:val="center"/>
        <w:rPr>
          <w:rFonts w:ascii="宋体" w:hAnsi="宋体"/>
          <w:b/>
          <w:color w:val="000000" w:themeColor="text1"/>
          <w:sz w:val="28"/>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（以下文件勿装订在投标文件内</w:t>
      </w:r>
      <w:r>
        <w:rPr>
          <w:rFonts w:ascii="宋体" w:hAnsi="宋体"/>
          <w:b/>
          <w:color w:val="000000" w:themeColor="text1"/>
          <w:sz w:val="36"/>
          <w:highlight w:val="none"/>
          <w14:textFill>
            <w14:solidFill>
              <w14:schemeClr w14:val="tx1"/>
            </w14:solidFill>
          </w14:textFill>
        </w:rPr>
        <w:t>）</w:t>
      </w: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pStyle w:val="7"/>
        <w:numPr>
          <w:ilvl w:val="0"/>
          <w:numId w:val="0"/>
        </w:numPr>
        <w:spacing w:afterLines="50"/>
        <w:jc w:val="center"/>
        <w:rPr>
          <w:rFonts w:ascii="宋体" w:hAnsi="宋体" w:eastAsia="宋体"/>
          <w:b/>
          <w:color w:val="000000" w:themeColor="text1"/>
          <w:sz w:val="28"/>
          <w:highlight w:val="none"/>
          <w14:textFill>
            <w14:solidFill>
              <w14:schemeClr w14:val="tx1"/>
            </w14:solidFill>
          </w14:textFill>
        </w:rPr>
      </w:pPr>
      <w:bookmarkStart w:id="1999" w:name="_Toc32700"/>
      <w:bookmarkStart w:id="2000" w:name="_Toc456888294"/>
      <w:bookmarkStart w:id="2001" w:name="_Toc456887843"/>
      <w:r>
        <w:rPr>
          <w:rFonts w:hint="eastAsia" w:ascii="宋体" w:hAnsi="宋体" w:eastAsia="宋体"/>
          <w:b/>
          <w:color w:val="000000" w:themeColor="text1"/>
          <w:sz w:val="28"/>
          <w:highlight w:val="none"/>
          <w14:textFill>
            <w14:solidFill>
              <w14:schemeClr w14:val="tx1"/>
            </w14:solidFill>
          </w14:textFill>
        </w:rPr>
        <w:t>投标保证金退付书</w:t>
      </w:r>
      <w:bookmarkEnd w:id="1999"/>
      <w:bookmarkEnd w:id="2000"/>
      <w:bookmarkEnd w:id="2001"/>
    </w:p>
    <w:p>
      <w:pPr>
        <w:pStyle w:val="6"/>
        <w:rPr>
          <w:color w:val="000000" w:themeColor="text1"/>
          <w:highlight w:val="none"/>
          <w14:textFill>
            <w14:solidFill>
              <w14:schemeClr w14:val="tx1"/>
            </w14:solidFill>
          </w14:textFill>
        </w:rPr>
      </w:pPr>
    </w:p>
    <w:p>
      <w:pPr>
        <w:spacing w:line="288" w:lineRule="auto"/>
        <w:rPr>
          <w:rFonts w:hint="eastAsia" w:ascii="宋体" w:hAnsi="宋体" w:eastAsia="宋体"/>
          <w:b/>
          <w:color w:val="000000" w:themeColor="text1"/>
          <w:szCs w:val="21"/>
          <w:highlight w:val="none"/>
          <w:lang w:eastAsia="zh-CN"/>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致：</w:t>
      </w:r>
      <w:r>
        <w:rPr>
          <w:rFonts w:hint="eastAsia" w:ascii="宋体" w:hAnsi="宋体"/>
          <w:b/>
          <w:color w:val="000000" w:themeColor="text1"/>
          <w:szCs w:val="21"/>
          <w:highlight w:val="none"/>
          <w:lang w:eastAsia="zh-CN"/>
          <w14:textFill>
            <w14:solidFill>
              <w14:schemeClr w14:val="tx1"/>
            </w14:solidFill>
          </w14:textFill>
        </w:rPr>
        <w:t>广东业信招标有限公司</w:t>
      </w:r>
    </w:p>
    <w:p>
      <w:pPr>
        <w:spacing w:line="288"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本公司为本项目的投标已提交了足额投标保证金，请贵方在符合退还条件时请代划入下列账户：</w:t>
      </w:r>
    </w:p>
    <w:tbl>
      <w:tblPr>
        <w:tblStyle w:val="46"/>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项目名称</w:t>
            </w:r>
          </w:p>
        </w:tc>
        <w:tc>
          <w:tcPr>
            <w:tcW w:w="6095" w:type="dxa"/>
            <w:gridSpan w:val="3"/>
          </w:tcPr>
          <w:p>
            <w:pPr>
              <w:ind w:right="206" w:rightChars="98"/>
              <w:rPr>
                <w:rStyle w:val="303"/>
                <w:rFonts w:ascii="宋体" w:hAnsi="宋体"/>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项目编号</w:t>
            </w:r>
          </w:p>
        </w:tc>
        <w:tc>
          <w:tcPr>
            <w:tcW w:w="6095" w:type="dxa"/>
            <w:gridSpan w:val="3"/>
          </w:tcPr>
          <w:p>
            <w:pPr>
              <w:ind w:right="206" w:rightChars="98"/>
              <w:rPr>
                <w:rStyle w:val="303"/>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收款单位</w:t>
            </w:r>
          </w:p>
        </w:tc>
        <w:tc>
          <w:tcPr>
            <w:tcW w:w="2836" w:type="dxa"/>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收款单位名称</w:t>
            </w:r>
          </w:p>
        </w:tc>
        <w:tc>
          <w:tcPr>
            <w:tcW w:w="6095" w:type="dxa"/>
            <w:gridSpan w:val="3"/>
          </w:tcPr>
          <w:p>
            <w:pPr>
              <w:ind w:right="206" w:rightChars="98"/>
              <w:jc w:val="center"/>
              <w:rPr>
                <w:rStyle w:val="303"/>
                <w:color w:val="000000" w:themeColor="text1"/>
                <w:spacing w:val="10"/>
                <w:sz w:val="21"/>
                <w:szCs w:val="21"/>
                <w:highlight w:val="none"/>
                <w:u w:val="single"/>
                <w:lang w:val="zh-CN"/>
                <w14:textFill>
                  <w14:solidFill>
                    <w14:schemeClr w14:val="tx1"/>
                  </w14:solidFill>
                </w14:textFill>
              </w:rPr>
            </w:pPr>
            <w:r>
              <w:rPr>
                <w:rStyle w:val="303"/>
                <w:color w:val="000000" w:themeColor="text1"/>
                <w:spacing w:val="10"/>
                <w:sz w:val="21"/>
                <w:szCs w:val="21"/>
                <w:highlight w:val="none"/>
                <w:u w:val="single"/>
                <w:lang w:val="zh-CN"/>
                <w14:textFill>
                  <w14:solidFill>
                    <w14:schemeClr w14:val="tx1"/>
                  </w14:solidFill>
                </w14:textFill>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收款单位地址</w:t>
            </w:r>
          </w:p>
        </w:tc>
        <w:tc>
          <w:tcPr>
            <w:tcW w:w="6095" w:type="dxa"/>
            <w:gridSpan w:val="3"/>
          </w:tcPr>
          <w:p>
            <w:pPr>
              <w:ind w:right="206" w:rightChars="98"/>
              <w:jc w:val="center"/>
              <w:rPr>
                <w:rStyle w:val="303"/>
                <w:color w:val="000000" w:themeColor="text1"/>
                <w:spacing w:val="10"/>
                <w:sz w:val="21"/>
                <w:szCs w:val="21"/>
                <w:highlight w:val="none"/>
                <w:lang w:val="zh-CN"/>
                <w14:textFill>
                  <w14:solidFill>
                    <w14:schemeClr w14:val="tx1"/>
                  </w14:solidFill>
                </w14:textFill>
              </w:rPr>
            </w:pPr>
            <w:r>
              <w:rPr>
                <w:rStyle w:val="303"/>
                <w:color w:val="000000" w:themeColor="text1"/>
                <w:spacing w:val="10"/>
                <w:sz w:val="21"/>
                <w:szCs w:val="21"/>
                <w:highlight w:val="none"/>
                <w:u w:val="single"/>
                <w:lang w:val="zh-CN"/>
                <w14:textFill>
                  <w14:solidFill>
                    <w14:schemeClr w14:val="tx1"/>
                  </w14:solidFill>
                </w14:textFill>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开户银行</w:t>
            </w:r>
            <w:r>
              <w:rPr>
                <w:rStyle w:val="303"/>
                <w:color w:val="000000" w:themeColor="text1"/>
                <w:spacing w:val="10"/>
                <w:sz w:val="21"/>
                <w:szCs w:val="21"/>
                <w:highlight w:val="none"/>
                <w:lang w:val="zh-CN"/>
                <w14:textFill>
                  <w14:solidFill>
                    <w14:schemeClr w14:val="tx1"/>
                  </w14:solidFill>
                </w14:textFill>
              </w:rPr>
              <w:t>（含汇入地点）</w:t>
            </w:r>
          </w:p>
        </w:tc>
        <w:tc>
          <w:tcPr>
            <w:tcW w:w="6095" w:type="dxa"/>
            <w:gridSpan w:val="3"/>
            <w:vAlign w:val="center"/>
          </w:tcPr>
          <w:p>
            <w:pPr>
              <w:ind w:right="206" w:rightChars="98" w:firstLine="460" w:firstLineChars="200"/>
              <w:rPr>
                <w:rStyle w:val="303"/>
                <w:color w:val="000000" w:themeColor="text1"/>
                <w:spacing w:val="10"/>
                <w:sz w:val="21"/>
                <w:szCs w:val="21"/>
                <w:highlight w:val="none"/>
                <w:lang w:val="zh-CN"/>
                <w14:textFill>
                  <w14:solidFill>
                    <w14:schemeClr w14:val="tx1"/>
                  </w14:solidFill>
                </w14:textFill>
              </w:rPr>
            </w:pPr>
            <w:r>
              <w:rPr>
                <w:rStyle w:val="303"/>
                <w:color w:val="000000" w:themeColor="text1"/>
                <w:spacing w:val="10"/>
                <w:sz w:val="21"/>
                <w:szCs w:val="21"/>
                <w:highlight w:val="none"/>
                <w:lang w:val="zh-CN"/>
                <w14:textFill>
                  <w14:solidFill>
                    <w14:schemeClr w14:val="tx1"/>
                  </w14:solidFill>
                </w14:textFill>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银行账号</w:t>
            </w:r>
          </w:p>
        </w:tc>
        <w:tc>
          <w:tcPr>
            <w:tcW w:w="6095" w:type="dxa"/>
            <w:gridSpan w:val="3"/>
          </w:tcPr>
          <w:p>
            <w:pPr>
              <w:ind w:right="206" w:rightChars="98"/>
              <w:jc w:val="center"/>
              <w:rPr>
                <w:rStyle w:val="303"/>
                <w:color w:val="000000" w:themeColor="text1"/>
                <w:spacing w:val="10"/>
                <w:sz w:val="21"/>
                <w:szCs w:val="21"/>
                <w:highlight w:val="none"/>
                <w:u w:val="single"/>
                <w:lang w:val="zh-CN"/>
                <w14:textFill>
                  <w14:solidFill>
                    <w14:schemeClr w14:val="tx1"/>
                  </w14:solidFill>
                </w14:textFill>
              </w:rPr>
            </w:pPr>
            <w:r>
              <w:rPr>
                <w:rStyle w:val="303"/>
                <w:color w:val="000000" w:themeColor="text1"/>
                <w:spacing w:val="10"/>
                <w:sz w:val="21"/>
                <w:szCs w:val="21"/>
                <w:highlight w:val="none"/>
                <w:u w:val="single"/>
                <w:lang w:val="zh-CN"/>
                <w14:textFill>
                  <w14:solidFill>
                    <w14:schemeClr w14:val="tx1"/>
                  </w14:solidFill>
                </w14:textFill>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总金额（投标保证金）</w:t>
            </w:r>
          </w:p>
        </w:tc>
        <w:tc>
          <w:tcPr>
            <w:tcW w:w="6095" w:type="dxa"/>
            <w:gridSpan w:val="3"/>
            <w:vAlign w:val="center"/>
          </w:tcPr>
          <w:p>
            <w:pPr>
              <w:ind w:right="206" w:rightChars="98"/>
              <w:jc w:val="center"/>
              <w:rPr>
                <w:rStyle w:val="303"/>
                <w:color w:val="000000" w:themeColor="text1"/>
                <w:spacing w:val="10"/>
                <w:sz w:val="21"/>
                <w:szCs w:val="21"/>
                <w:highlight w:val="none"/>
                <w:lang w:val="zh-CN"/>
                <w14:textFill>
                  <w14:solidFill>
                    <w14:schemeClr w14:val="tx1"/>
                  </w14:solidFill>
                </w14:textFill>
              </w:rPr>
            </w:pPr>
            <w:r>
              <w:rPr>
                <w:color w:val="000000" w:themeColor="text1"/>
                <w:szCs w:val="21"/>
                <w:highlight w:val="none"/>
                <w:shd w:val="clear" w:color="auto" w:fill="FFFFFF"/>
                <w14:textFill>
                  <w14:solidFill>
                    <w14:schemeClr w14:val="tx1"/>
                  </w14:solidFill>
                </w14:textFill>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vMerge w:val="restart"/>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财务联系人</w:t>
            </w:r>
          </w:p>
        </w:tc>
        <w:tc>
          <w:tcPr>
            <w:tcW w:w="1498" w:type="dxa"/>
            <w:vMerge w:val="restart"/>
            <w:vAlign w:val="center"/>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1481" w:type="dxa"/>
            <w:vAlign w:val="center"/>
          </w:tcPr>
          <w:p>
            <w:pPr>
              <w:ind w:right="206" w:rightChars="98"/>
              <w:jc w:val="center"/>
              <w:rPr>
                <w:rStyle w:val="303"/>
                <w:color w:val="000000" w:themeColor="text1"/>
                <w:spacing w:val="10"/>
                <w:sz w:val="21"/>
                <w:szCs w:val="21"/>
                <w:highlight w:val="none"/>
                <w:lang w:val="zh-CN"/>
                <w14:textFill>
                  <w14:solidFill>
                    <w14:schemeClr w14:val="tx1"/>
                  </w14:solidFill>
                </w14:textFill>
              </w:rPr>
            </w:pPr>
            <w:r>
              <w:rPr>
                <w:rStyle w:val="303"/>
                <w:color w:val="000000" w:themeColor="text1"/>
                <w:spacing w:val="10"/>
                <w:sz w:val="21"/>
                <w:szCs w:val="21"/>
                <w:highlight w:val="none"/>
                <w:lang w:val="zh-CN"/>
                <w14:textFill>
                  <w14:solidFill>
                    <w14:schemeClr w14:val="tx1"/>
                  </w14:solidFill>
                </w14:textFill>
              </w:rPr>
              <w:t>联系电话</w:t>
            </w:r>
          </w:p>
        </w:tc>
        <w:tc>
          <w:tcPr>
            <w:tcW w:w="3116" w:type="dxa"/>
            <w:vAlign w:val="center"/>
          </w:tcPr>
          <w:p>
            <w:pPr>
              <w:ind w:right="206" w:rightChars="98"/>
              <w:rPr>
                <w:rStyle w:val="303"/>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vMerge w:val="continue"/>
          </w:tcPr>
          <w:p>
            <w:pPr>
              <w:ind w:right="206" w:rightChars="98"/>
              <w:jc w:val="center"/>
              <w:rPr>
                <w:rStyle w:val="303"/>
                <w:b/>
                <w:color w:val="000000" w:themeColor="text1"/>
                <w:spacing w:val="10"/>
                <w:sz w:val="21"/>
                <w:szCs w:val="21"/>
                <w:highlight w:val="none"/>
                <w:lang w:val="zh-CN"/>
                <w14:textFill>
                  <w14:solidFill>
                    <w14:schemeClr w14:val="tx1"/>
                  </w14:solidFill>
                </w14:textFill>
              </w:rPr>
            </w:pPr>
          </w:p>
        </w:tc>
        <w:tc>
          <w:tcPr>
            <w:tcW w:w="1498" w:type="dxa"/>
            <w:vMerge w:val="continue"/>
            <w:vAlign w:val="center"/>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1481" w:type="dxa"/>
            <w:vAlign w:val="center"/>
          </w:tcPr>
          <w:p>
            <w:pPr>
              <w:ind w:right="206" w:rightChars="98"/>
              <w:jc w:val="center"/>
              <w:rPr>
                <w:rStyle w:val="303"/>
                <w:color w:val="000000" w:themeColor="text1"/>
                <w:spacing w:val="10"/>
                <w:sz w:val="21"/>
                <w:szCs w:val="21"/>
                <w:highlight w:val="none"/>
                <w:lang w:val="zh-CN"/>
                <w14:textFill>
                  <w14:solidFill>
                    <w14:schemeClr w14:val="tx1"/>
                  </w14:solidFill>
                </w14:textFill>
              </w:rPr>
            </w:pPr>
            <w:r>
              <w:rPr>
                <w:rStyle w:val="303"/>
                <w:color w:val="000000" w:themeColor="text1"/>
                <w:spacing w:val="10"/>
                <w:sz w:val="21"/>
                <w:szCs w:val="21"/>
                <w:highlight w:val="none"/>
                <w:lang w:val="zh-CN"/>
                <w14:textFill>
                  <w14:solidFill>
                    <w14:schemeClr w14:val="tx1"/>
                  </w14:solidFill>
                </w14:textFill>
              </w:rPr>
              <w:t>传真</w:t>
            </w:r>
          </w:p>
        </w:tc>
        <w:tc>
          <w:tcPr>
            <w:tcW w:w="3116" w:type="dxa"/>
            <w:vAlign w:val="center"/>
          </w:tcPr>
          <w:p>
            <w:pPr>
              <w:ind w:right="206" w:rightChars="98"/>
              <w:rPr>
                <w:rStyle w:val="303"/>
                <w:color w:val="000000" w:themeColor="text1"/>
                <w:spacing w:val="10"/>
                <w:sz w:val="21"/>
                <w:szCs w:val="21"/>
                <w:highlight w:val="none"/>
                <w:lang w:val="zh-CN"/>
                <w14:textFill>
                  <w14:solidFill>
                    <w14:schemeClr w14:val="tx1"/>
                  </w14:solidFill>
                </w14:textFill>
              </w:rPr>
            </w:pPr>
          </w:p>
        </w:tc>
      </w:tr>
    </w:tbl>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注：保证金退还账户必须为对公账户。</w:t>
      </w:r>
    </w:p>
    <w:tbl>
      <w:tblPr>
        <w:tblStyle w:val="46"/>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投标保证金银行汇款单复印件</w:t>
            </w:r>
          </w:p>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（请投标投标人在此处贴上）</w:t>
            </w:r>
          </w:p>
        </w:tc>
      </w:tr>
    </w:tbl>
    <w:p>
      <w:pPr>
        <w:rPr>
          <w:rFonts w:ascii="宋体" w:hAnsi="宋体"/>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注：本退付书须放入唱标信封内，勿装订在投标文件内。</w:t>
      </w:r>
    </w:p>
    <w:p>
      <w:pPr>
        <w:rPr>
          <w:rFonts w:ascii="宋体" w:hAnsi="宋体"/>
          <w:b/>
          <w:color w:val="000000" w:themeColor="text1"/>
          <w:szCs w:val="21"/>
          <w:highlight w:val="none"/>
          <w14:textFill>
            <w14:solidFill>
              <w14:schemeClr w14:val="tx1"/>
            </w14:solidFill>
          </w14:textFill>
        </w:rPr>
      </w:pPr>
    </w:p>
    <w:p>
      <w:pPr>
        <w:jc w:val="center"/>
        <w:rPr>
          <w:rFonts w:hint="eastAsia"/>
          <w:b/>
          <w:bCs/>
          <w:color w:val="000000" w:themeColor="text1"/>
          <w:sz w:val="44"/>
          <w:szCs w:val="44"/>
          <w:highlight w:val="none"/>
          <w14:textFill>
            <w14:solidFill>
              <w14:schemeClr w14:val="tx1"/>
            </w14:solidFill>
          </w14:textFill>
        </w:rPr>
      </w:pPr>
    </w:p>
    <w:p>
      <w:pPr>
        <w:jc w:val="center"/>
        <w:rPr>
          <w:rFonts w:hint="eastAsia"/>
          <w:b/>
          <w:bCs/>
          <w:color w:val="000000" w:themeColor="text1"/>
          <w:szCs w:val="21"/>
          <w:highlight w:val="none"/>
          <w14:textFill>
            <w14:solidFill>
              <w14:schemeClr w14:val="tx1"/>
            </w14:solidFill>
          </w14:textFill>
        </w:rPr>
      </w:pPr>
      <w:r>
        <w:rPr>
          <w:rFonts w:hint="eastAsia"/>
          <w:b/>
          <w:bCs/>
          <w:color w:val="000000" w:themeColor="text1"/>
          <w:sz w:val="44"/>
          <w:szCs w:val="44"/>
          <w:highlight w:val="none"/>
          <w14:textFill>
            <w14:solidFill>
              <w14:schemeClr w14:val="tx1"/>
            </w14:solidFill>
          </w14:textFill>
        </w:rPr>
        <w:t>购买标书登记表</w:t>
      </w:r>
    </w:p>
    <w:p>
      <w:pPr>
        <w:jc w:val="center"/>
        <w:rPr>
          <w:rFonts w:hint="eastAsia"/>
          <w:color w:val="000000" w:themeColor="text1"/>
          <w:szCs w:val="21"/>
          <w:highlight w:val="none"/>
          <w14:textFill>
            <w14:solidFill>
              <w14:schemeClr w14:val="tx1"/>
            </w14:solidFill>
          </w14:textFill>
        </w:rPr>
      </w:pPr>
    </w:p>
    <w:tbl>
      <w:tblPr>
        <w:tblStyle w:val="4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项目名称</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招标编号</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购买时间</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投标商名称</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地址</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电话</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传真</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联系人</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手机</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职务</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电子邮件</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拟投设备</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制造厂商</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经营范围</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bl>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询问函、质疑函格式</w:t>
      </w:r>
    </w:p>
    <w:p>
      <w:pPr>
        <w:pStyle w:val="42"/>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snapToGrid w:val="0"/>
        <w:spacing w:line="360" w:lineRule="auto"/>
        <w:ind w:firstLine="424" w:firstLineChars="201"/>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说明：本部分格式为投标供应商提交询问函、质疑函、投诉函时使用，不属于投标文件格式的组成部分。</w:t>
      </w:r>
    </w:p>
    <w:p>
      <w:pPr>
        <w:pStyle w:val="42"/>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pStyle w:val="42"/>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1：询问函格式</w:t>
      </w:r>
    </w:p>
    <w:p>
      <w:pPr>
        <w:pStyle w:val="42"/>
        <w:spacing w:before="0" w:beforeAutospacing="0" w:after="0" w:afterAutospacing="0" w:line="360" w:lineRule="auto"/>
        <w:jc w:val="center"/>
        <w:rPr>
          <w:rStyle w:val="49"/>
          <w:rFonts w:cs="Times New Roman"/>
          <w:color w:val="000000" w:themeColor="text1"/>
          <w:highlight w:val="none"/>
          <w14:textFill>
            <w14:solidFill>
              <w14:schemeClr w14:val="tx1"/>
            </w14:solidFill>
          </w14:textFill>
        </w:rPr>
      </w:pPr>
      <w:r>
        <w:rPr>
          <w:rStyle w:val="49"/>
          <w:rFonts w:hint="eastAsia" w:cs="Times New Roman"/>
          <w:b w:val="0"/>
          <w:color w:val="000000" w:themeColor="text1"/>
          <w:highlight w:val="none"/>
          <w14:textFill>
            <w14:solidFill>
              <w14:schemeClr w14:val="tx1"/>
            </w14:solidFill>
          </w14:textFill>
        </w:rPr>
        <w:t>询问函</w:t>
      </w:r>
    </w:p>
    <w:p>
      <w:pPr>
        <w:widowControl/>
        <w:tabs>
          <w:tab w:val="left" w:pos="6300"/>
        </w:tabs>
        <w:snapToGrid w:val="0"/>
        <w:spacing w:line="360" w:lineRule="auto"/>
        <w:jc w:val="left"/>
        <w:rPr>
          <w:rFonts w:ascii="宋体" w:hAnsi="宋体"/>
          <w:color w:val="000000" w:themeColor="text1"/>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广东业信招标有限公司</w:t>
      </w:r>
      <w:r>
        <w:rPr>
          <w:rFonts w:hint="eastAsia" w:ascii="宋体" w:hAnsi="宋体"/>
          <w:color w:val="000000" w:themeColor="text1"/>
          <w:sz w:val="24"/>
          <w:highlight w:val="none"/>
          <w14:textFill>
            <w14:solidFill>
              <w14:schemeClr w14:val="tx1"/>
            </w14:solidFill>
          </w14:textFill>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我单位已报名并准备参与</w:t>
      </w:r>
      <w:r>
        <w:rPr>
          <w:rFonts w:hint="eastAsia" w:ascii="宋体" w:hAnsi="宋体"/>
          <w:color w:val="000000" w:themeColor="text1"/>
          <w:sz w:val="24"/>
          <w:highlight w:val="none"/>
          <w:u w:val="single"/>
          <w14:textFill>
            <w14:solidFill>
              <w14:schemeClr w14:val="tx1"/>
            </w14:solidFill>
          </w14:textFill>
        </w:rPr>
        <w:t>（项目名称）</w:t>
      </w:r>
      <w:r>
        <w:rPr>
          <w:rFonts w:hint="eastAsia" w:ascii="宋体" w:hAnsi="宋体"/>
          <w:color w:val="000000" w:themeColor="text1"/>
          <w:sz w:val="24"/>
          <w:highlight w:val="none"/>
          <w14:textFill>
            <w14:solidFill>
              <w14:schemeClr w14:val="tx1"/>
            </w14:solidFill>
          </w14:textFill>
        </w:rPr>
        <w:t>项目（采购文件编号：</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电话/传真：</w:t>
      </w:r>
    </w:p>
    <w:p>
      <w:pPr>
        <w:spacing w:line="360" w:lineRule="auto"/>
        <w:jc w:val="righ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日</w:t>
      </w:r>
    </w:p>
    <w:p>
      <w:pPr>
        <w:snapToGrid w:val="0"/>
        <w:spacing w:line="360" w:lineRule="auto"/>
        <w:ind w:firstLine="432" w:firstLineChars="180"/>
        <w:rPr>
          <w:rFonts w:ascii="宋体" w:hAnsi="宋体"/>
          <w:color w:val="000000" w:themeColor="text1"/>
          <w:sz w:val="24"/>
          <w:highlight w:val="none"/>
          <w14:textFill>
            <w14:solidFill>
              <w14:schemeClr w14:val="tx1"/>
            </w14:solidFill>
          </w14:textFill>
        </w:rPr>
      </w:pPr>
    </w:p>
    <w:p>
      <w:pPr>
        <w:pStyle w:val="42"/>
        <w:adjustRightInd w:val="0"/>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r>
        <w:rPr>
          <w:rFonts w:hint="eastAsia"/>
          <w:color w:val="000000" w:themeColor="text1"/>
          <w:highlight w:val="none"/>
          <w14:textFill>
            <w14:solidFill>
              <w14:schemeClr w14:val="tx1"/>
            </w14:solidFill>
          </w14:textFill>
        </w:rPr>
        <w:t>2：质疑函格式</w:t>
      </w:r>
    </w:p>
    <w:p>
      <w:pPr>
        <w:pStyle w:val="42"/>
        <w:spacing w:before="0" w:beforeAutospacing="0" w:after="0" w:afterAutospacing="0" w:line="360" w:lineRule="auto"/>
        <w:jc w:val="center"/>
        <w:rPr>
          <w:rStyle w:val="49"/>
          <w:rFonts w:cs="Times New Roman"/>
          <w:color w:val="000000" w:themeColor="text1"/>
          <w:highlight w:val="none"/>
          <w14:textFill>
            <w14:solidFill>
              <w14:schemeClr w14:val="tx1"/>
            </w14:solidFill>
          </w14:textFill>
        </w:rPr>
      </w:pPr>
      <w:r>
        <w:rPr>
          <w:rStyle w:val="49"/>
          <w:rFonts w:hint="eastAsia" w:cs="Times New Roman"/>
          <w:b w:val="0"/>
          <w:color w:val="000000" w:themeColor="text1"/>
          <w:highlight w:val="none"/>
          <w14:textFill>
            <w14:solidFill>
              <w14:schemeClr w14:val="tx1"/>
            </w14:solidFill>
          </w14:textFill>
        </w:rPr>
        <w:t>质疑函</w:t>
      </w:r>
    </w:p>
    <w:p>
      <w:pPr>
        <w:adjustRightInd w:val="0"/>
        <w:snapToGrid w:val="0"/>
        <w:spacing w:beforeLines="100"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一、质疑供应商基本信息</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质疑供应商：</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联系人：</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授权代表：</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r>
        <w:rPr>
          <w:rFonts w:ascii="宋体" w:hAnsi="宋体" w:cs="仿宋"/>
          <w:color w:val="000000" w:themeColor="text1"/>
          <w:sz w:val="24"/>
          <w:highlight w:val="none"/>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ascii="宋体" w:hAnsi="宋体" w:cs="仿宋"/>
          <w:color w:val="000000" w:themeColor="text1"/>
          <w:sz w:val="24"/>
          <w:highlight w:val="none"/>
          <w14:textFill>
            <w14:solidFill>
              <w14:schemeClr w14:val="tx1"/>
            </w14:solidFill>
          </w14:textFill>
        </w:rPr>
        <w:t xml:space="preserve"> </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二、质疑项目基本情况</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质疑项目的名称：</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质疑项目的编号：</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包号：</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采购人名称：</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采购文件获取日期：</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三、质疑事项具体内容</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质疑事项1：</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事实依据：</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法律依据：</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质疑事项2</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四、与质疑事项相关的质疑请求</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请求：</w:t>
      </w:r>
      <w:r>
        <w:rPr>
          <w:rFonts w:hint="eastAsia" w:ascii="宋体" w:hAnsi="宋体" w:cs="仿宋"/>
          <w:color w:val="000000" w:themeColor="text1"/>
          <w:sz w:val="24"/>
          <w:highlight w:val="none"/>
          <w:u w:val="dotted"/>
          <w14:textFill>
            <w14:solidFill>
              <w14:schemeClr w14:val="tx1"/>
            </w14:solidFill>
          </w14:textFill>
        </w:rPr>
        <w:t xml:space="preserve">                                               </w:t>
      </w:r>
    </w:p>
    <w:p>
      <w:pPr>
        <w:rPr>
          <w:rFonts w:ascii="宋体" w:hAnsi="宋体"/>
          <w:color w:val="000000" w:themeColor="text1"/>
          <w:sz w:val="24"/>
          <w:highlight w:val="none"/>
          <w14:textFill>
            <w14:solidFill>
              <w14:schemeClr w14:val="tx1"/>
            </w14:solidFill>
          </w14:textFill>
        </w:rPr>
      </w:pP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签字(签章)：                   公章：                      </w:t>
      </w:r>
    </w:p>
    <w:p>
      <w:pPr>
        <w:rPr>
          <w:rFonts w:ascii="宋体" w:hAnsi="宋体"/>
          <w:color w:val="000000" w:themeColor="text1"/>
          <w:sz w:val="24"/>
          <w:highlight w:val="none"/>
          <w14:textFill>
            <w14:solidFill>
              <w14:schemeClr w14:val="tx1"/>
            </w14:solidFill>
          </w14:textFill>
        </w:rPr>
      </w:pP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日期：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质疑函制作说明：</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14:textFill>
            <w14:solidFill>
              <w14:schemeClr w14:val="tx1"/>
            </w14:solidFill>
          </w14:textFill>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5.质疑函的质疑请求应与质疑事项相关。</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6.质疑供应商为自然人的，质疑函应由本人签字；质疑供应商为法人或者其他组织的，</w:t>
      </w:r>
      <w:r>
        <w:rPr>
          <w:rFonts w:ascii="宋体" w:hAnsi="宋体" w:cs="宋体"/>
          <w:color w:val="000000" w:themeColor="text1"/>
          <w:kern w:val="0"/>
          <w:szCs w:val="21"/>
          <w:highlight w:val="none"/>
          <w14:textFill>
            <w14:solidFill>
              <w14:schemeClr w14:val="tx1"/>
            </w14:solidFill>
          </w14:textFill>
        </w:rPr>
        <w:t>质疑函应当</w:t>
      </w:r>
      <w:r>
        <w:rPr>
          <w:rFonts w:hint="eastAsia" w:ascii="宋体" w:hAnsi="宋体" w:cs="宋体"/>
          <w:color w:val="000000" w:themeColor="text1"/>
          <w:kern w:val="0"/>
          <w:szCs w:val="21"/>
          <w:highlight w:val="none"/>
          <w14:textFill>
            <w14:solidFill>
              <w14:schemeClr w14:val="tx1"/>
            </w14:solidFill>
          </w14:textFill>
        </w:rPr>
        <w:t>由</w:t>
      </w:r>
      <w:r>
        <w:rPr>
          <w:rFonts w:ascii="宋体" w:hAnsi="宋体" w:cs="宋体"/>
          <w:color w:val="000000" w:themeColor="text1"/>
          <w:kern w:val="0"/>
          <w:szCs w:val="21"/>
          <w:highlight w:val="none"/>
          <w14:textFill>
            <w14:solidFill>
              <w14:schemeClr w14:val="tx1"/>
            </w14:solidFill>
          </w14:textFill>
        </w:rPr>
        <w:t>质疑</w:t>
      </w:r>
      <w:r>
        <w:rPr>
          <w:rFonts w:hint="eastAsia" w:ascii="宋体" w:hAnsi="宋体" w:cs="宋体"/>
          <w:color w:val="000000" w:themeColor="text1"/>
          <w:kern w:val="0"/>
          <w:szCs w:val="21"/>
          <w:highlight w:val="none"/>
          <w14:textFill>
            <w14:solidFill>
              <w14:schemeClr w14:val="tx1"/>
            </w14:solidFill>
          </w14:textFill>
        </w:rPr>
        <w:t>投标人的</w:t>
      </w:r>
      <w:r>
        <w:rPr>
          <w:rFonts w:ascii="宋体" w:hAnsi="宋体" w:cs="宋体"/>
          <w:color w:val="000000" w:themeColor="text1"/>
          <w:kern w:val="0"/>
          <w:szCs w:val="21"/>
          <w:highlight w:val="none"/>
          <w14:textFill>
            <w14:solidFill>
              <w14:schemeClr w14:val="tx1"/>
            </w14:solidFill>
          </w14:textFill>
        </w:rPr>
        <w:t>法定代表人（负责人）或主要负责人签字并加盖</w:t>
      </w:r>
      <w:r>
        <w:rPr>
          <w:rFonts w:hint="eastAsia" w:ascii="宋体" w:hAnsi="宋体" w:cs="宋体"/>
          <w:color w:val="000000" w:themeColor="text1"/>
          <w:kern w:val="0"/>
          <w:szCs w:val="21"/>
          <w:highlight w:val="none"/>
          <w14:textFill>
            <w14:solidFill>
              <w14:schemeClr w14:val="tx1"/>
            </w14:solidFill>
          </w14:textFill>
        </w:rPr>
        <w:t>单位</w:t>
      </w:r>
      <w:r>
        <w:rPr>
          <w:rFonts w:ascii="宋体" w:hAnsi="宋体" w:cs="宋体"/>
          <w:color w:val="000000" w:themeColor="text1"/>
          <w:kern w:val="0"/>
          <w:szCs w:val="21"/>
          <w:highlight w:val="none"/>
          <w14:textFill>
            <w14:solidFill>
              <w14:schemeClr w14:val="tx1"/>
            </w14:solidFill>
          </w14:textFill>
        </w:rPr>
        <w:t>公章</w:t>
      </w:r>
      <w:r>
        <w:rPr>
          <w:rFonts w:hint="eastAsia" w:ascii="宋体" w:hAnsi="宋体" w:cs="宋体"/>
          <w:color w:val="000000" w:themeColor="text1"/>
          <w:kern w:val="0"/>
          <w:szCs w:val="21"/>
          <w:highlight w:val="none"/>
          <w14:textFill>
            <w14:solidFill>
              <w14:schemeClr w14:val="tx1"/>
            </w14:solidFill>
          </w14:textFill>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14:textFill>
            <w14:solidFill>
              <w14:schemeClr w14:val="tx1"/>
            </w14:solidFill>
          </w14:textFill>
        </w:rPr>
        <w:t>采购人或</w:t>
      </w:r>
      <w:r>
        <w:rPr>
          <w:rFonts w:hint="eastAsia" w:ascii="宋体" w:hAnsi="宋体" w:cs="宋体"/>
          <w:color w:val="000000" w:themeColor="text1"/>
          <w:kern w:val="0"/>
          <w:szCs w:val="21"/>
          <w:highlight w:val="none"/>
          <w14:textFill>
            <w14:solidFill>
              <w14:schemeClr w14:val="tx1"/>
            </w14:solidFill>
          </w14:textFill>
        </w:rPr>
        <w:t>代理采购机构可不予作答。</w:t>
      </w:r>
    </w:p>
    <w:p>
      <w:pPr>
        <w:widowControl/>
        <w:snapToGrid w:val="0"/>
        <w:spacing w:line="360" w:lineRule="auto"/>
        <w:ind w:right="960"/>
        <w:rPr>
          <w:rFonts w:ascii="宋体" w:hAnsi="宋体"/>
          <w:color w:val="000000" w:themeColor="text1"/>
          <w:sz w:val="24"/>
          <w:highlight w:val="none"/>
          <w14:textFill>
            <w14:solidFill>
              <w14:schemeClr w14:val="tx1"/>
            </w14:solidFill>
          </w14:textFill>
        </w:rPr>
      </w:pPr>
    </w:p>
    <w:p>
      <w:pPr>
        <w:spacing w:line="360" w:lineRule="auto"/>
        <w:jc w:val="left"/>
        <w:rPr>
          <w:rFonts w:ascii="仿宋_GB2312" w:hAnsi="仿宋" w:eastAsia="仿宋_GB2312"/>
          <w:color w:val="000000" w:themeColor="text1"/>
          <w:sz w:val="24"/>
          <w:highlight w:val="none"/>
          <w14:textFill>
            <w14:solidFill>
              <w14:schemeClr w14:val="tx1"/>
            </w14:solidFill>
          </w14:textFill>
        </w:rPr>
      </w:pPr>
    </w:p>
    <w:p>
      <w:pPr>
        <w:rPr>
          <w:rFonts w:ascii="宋体" w:hAnsi="宋体"/>
          <w:b/>
          <w:color w:val="000000" w:themeColor="text1"/>
          <w:szCs w:val="21"/>
          <w:highlight w:val="none"/>
          <w14:textFill>
            <w14:solidFill>
              <w14:schemeClr w14:val="tx1"/>
            </w14:solidFill>
          </w14:textFill>
        </w:rPr>
      </w:pPr>
    </w:p>
    <w:sectPr>
      <w:pgSz w:w="11906" w:h="16838"/>
      <w:pgMar w:top="1418" w:right="1474" w:bottom="1418" w:left="1474"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panose1 w:val="02010609030101010101"/>
    <w:charset w:val="86"/>
    <w:family w:val="modern"/>
    <w:pitch w:val="default"/>
    <w:sig w:usb0="00000001" w:usb1="080E0000" w:usb2="00000000" w:usb3="00000000" w:csb0="00040000" w:csb1="00000000"/>
  </w:font>
  <w:font w:name="OMBFXO+Univers-Light">
    <w:altName w:val="宋体"/>
    <w:panose1 w:val="00000000000000000000"/>
    <w:charset w:val="86"/>
    <w:family w:val="swiss"/>
    <w:pitch w:val="default"/>
    <w:sig w:usb0="00000000" w:usb1="00000000" w:usb2="0000001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rPr>
        <w:rStyle w:val="50"/>
      </w:rPr>
    </w:pPr>
    <w:r>
      <w:fldChar w:fldCharType="begin"/>
    </w:r>
    <w:r>
      <w:rPr>
        <w:rStyle w:val="50"/>
      </w:rPr>
      <w:instrText xml:space="preserve">PAGE  </w:instrText>
    </w:r>
    <w:r>
      <w:fldChar w:fldCharType="end"/>
    </w:r>
  </w:p>
  <w:p>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left="420" w:firstLine="42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46</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AD372"/>
    <w:multiLevelType w:val="singleLevel"/>
    <w:tmpl w:val="9BBAD372"/>
    <w:lvl w:ilvl="0" w:tentative="0">
      <w:start w:val="1"/>
      <w:numFmt w:val="decimal"/>
      <w:lvlText w:val="%1."/>
      <w:lvlJc w:val="left"/>
      <w:pPr>
        <w:ind w:left="425" w:hanging="425"/>
      </w:pPr>
      <w:rPr>
        <w:rFonts w:hint="default"/>
      </w:rPr>
    </w:lvl>
  </w:abstractNum>
  <w:abstractNum w:abstractNumId="1">
    <w:nsid w:val="AB31DD7B"/>
    <w:multiLevelType w:val="singleLevel"/>
    <w:tmpl w:val="AB31DD7B"/>
    <w:lvl w:ilvl="0" w:tentative="0">
      <w:start w:val="3"/>
      <w:numFmt w:val="decimal"/>
      <w:suff w:val="nothing"/>
      <w:lvlText w:val="%1、"/>
      <w:lvlJc w:val="left"/>
    </w:lvl>
  </w:abstractNum>
  <w:abstractNum w:abstractNumId="2">
    <w:nsid w:val="B19E681B"/>
    <w:multiLevelType w:val="singleLevel"/>
    <w:tmpl w:val="B19E681B"/>
    <w:lvl w:ilvl="0" w:tentative="0">
      <w:start w:val="1"/>
      <w:numFmt w:val="decimal"/>
      <w:lvlText w:val="%1."/>
      <w:lvlJc w:val="left"/>
      <w:pPr>
        <w:ind w:left="425" w:hanging="425"/>
      </w:pPr>
      <w:rPr>
        <w:rFonts w:hint="default"/>
      </w:rPr>
    </w:lvl>
  </w:abstractNum>
  <w:abstractNum w:abstractNumId="3">
    <w:nsid w:val="00000003"/>
    <w:multiLevelType w:val="multilevel"/>
    <w:tmpl w:val="00000003"/>
    <w:lvl w:ilvl="0" w:tentative="0">
      <w:start w:val="1"/>
      <w:numFmt w:val="decimal"/>
      <w:pStyle w:val="298"/>
      <w:lvlText w:val="%1. "/>
      <w:lvlJc w:val="left"/>
      <w:pPr>
        <w:tabs>
          <w:tab w:val="left" w:pos="981"/>
        </w:tabs>
        <w:ind w:left="981" w:hanging="419"/>
      </w:pPr>
    </w:lvl>
    <w:lvl w:ilvl="1" w:tentative="0">
      <w:start w:val="1"/>
      <w:numFmt w:val="upperLetter"/>
      <w:pStyle w:val="287"/>
      <w:lvlText w:val="%2. "/>
      <w:lvlJc w:val="left"/>
      <w:pPr>
        <w:tabs>
          <w:tab w:val="left" w:pos="1191"/>
        </w:tabs>
        <w:ind w:left="1191" w:hanging="420"/>
      </w:pPr>
    </w:lvl>
    <w:lvl w:ilvl="2" w:tentative="0">
      <w:start w:val="1"/>
      <w:numFmt w:val="lowerLetter"/>
      <w:pStyle w:val="296"/>
      <w:lvlText w:val="%3. "/>
      <w:lvlJc w:val="left"/>
      <w:pPr>
        <w:tabs>
          <w:tab w:val="left" w:pos="1401"/>
        </w:tabs>
        <w:ind w:left="1401" w:hanging="420"/>
      </w:pPr>
    </w:lvl>
    <w:lvl w:ilvl="3" w:tentative="0">
      <w:start w:val="1"/>
      <w:numFmt w:val="lowerLetter"/>
      <w:pStyle w:val="154"/>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4">
    <w:nsid w:val="00000008"/>
    <w:multiLevelType w:val="multilevel"/>
    <w:tmpl w:val="00000008"/>
    <w:lvl w:ilvl="0" w:tentative="0">
      <w:start w:val="1"/>
      <w:numFmt w:val="decimal"/>
      <w:pStyle w:val="269"/>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6">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rPr>
    </w:lvl>
    <w:lvl w:ilvl="2" w:tentative="0">
      <w:start w:val="1"/>
      <w:numFmt w:val="decimal"/>
      <w:lvlText w:val="（%3）"/>
      <w:lvlJc w:val="left"/>
      <w:pPr>
        <w:tabs>
          <w:tab w:val="left" w:pos="1245"/>
        </w:tabs>
        <w:ind w:left="1245" w:hanging="720"/>
      </w:pPr>
      <w:rPr>
        <w:rFonts w:hint="eastAsia"/>
      </w:rPr>
    </w:lvl>
    <w:lvl w:ilvl="3" w:tentative="0">
      <w:start w:val="1"/>
      <w:numFmt w:val="decimal"/>
      <w:pStyle w:val="288"/>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7">
    <w:nsid w:val="0000000F"/>
    <w:multiLevelType w:val="multilevel"/>
    <w:tmpl w:val="0000000F"/>
    <w:lvl w:ilvl="0" w:tentative="0">
      <w:start w:val="1"/>
      <w:numFmt w:val="bullet"/>
      <w:pStyle w:val="163"/>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2"/>
    <w:multiLevelType w:val="singleLevel"/>
    <w:tmpl w:val="00000012"/>
    <w:lvl w:ilvl="0" w:tentative="0">
      <w:start w:val="1"/>
      <w:numFmt w:val="decimal"/>
      <w:pStyle w:val="276"/>
      <w:lvlText w:val="%1."/>
      <w:lvlJc w:val="left"/>
      <w:pPr>
        <w:tabs>
          <w:tab w:val="left" w:pos="1200"/>
        </w:tabs>
        <w:ind w:left="1200" w:hanging="360"/>
      </w:pPr>
    </w:lvl>
  </w:abstractNum>
  <w:abstractNum w:abstractNumId="9">
    <w:nsid w:val="00000014"/>
    <w:multiLevelType w:val="singleLevel"/>
    <w:tmpl w:val="00000014"/>
    <w:lvl w:ilvl="0" w:tentative="0">
      <w:start w:val="1"/>
      <w:numFmt w:val="decimal"/>
      <w:pStyle w:val="212"/>
      <w:lvlText w:val="%1."/>
      <w:lvlJc w:val="left"/>
      <w:pPr>
        <w:tabs>
          <w:tab w:val="left" w:pos="1620"/>
        </w:tabs>
        <w:ind w:left="1620" w:hanging="360"/>
      </w:pPr>
    </w:lvl>
  </w:abstractNum>
  <w:abstractNum w:abstractNumId="10">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7"/>
    <w:multiLevelType w:val="singleLevel"/>
    <w:tmpl w:val="00000017"/>
    <w:lvl w:ilvl="0" w:tentative="0">
      <w:start w:val="1"/>
      <w:numFmt w:val="bullet"/>
      <w:pStyle w:val="262"/>
      <w:lvlText w:val=""/>
      <w:lvlJc w:val="left"/>
      <w:pPr>
        <w:tabs>
          <w:tab w:val="left" w:pos="360"/>
        </w:tabs>
        <w:ind w:left="360" w:hanging="360"/>
      </w:pPr>
      <w:rPr>
        <w:rFonts w:hint="default" w:ascii="Wingdings" w:hAnsi="Wingdings"/>
      </w:rPr>
    </w:lvl>
  </w:abstractNum>
  <w:abstractNum w:abstractNumId="12">
    <w:nsid w:val="00000018"/>
    <w:multiLevelType w:val="multilevel"/>
    <w:tmpl w:val="00000018"/>
    <w:lvl w:ilvl="0" w:tentative="0">
      <w:start w:val="2"/>
      <w:numFmt w:val="decimal"/>
      <w:pStyle w:val="257"/>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3">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78"/>
      <w:suff w:val="space"/>
      <w:lvlText w:val="%1.%2.%3"/>
      <w:lvlJc w:val="left"/>
      <w:pPr>
        <w:tabs>
          <w:tab w:val="left" w:pos="1418"/>
        </w:tabs>
        <w:ind w:left="0" w:firstLine="0"/>
      </w:pPr>
    </w:lvl>
    <w:lvl w:ilvl="3" w:tentative="0">
      <w:start w:val="1"/>
      <w:numFmt w:val="decimal"/>
      <w:pStyle w:val="295"/>
      <w:suff w:val="space"/>
      <w:lvlText w:val="%1.%2.%3.%4"/>
      <w:lvlJc w:val="left"/>
      <w:pPr>
        <w:tabs>
          <w:tab w:val="left" w:pos="1984"/>
        </w:tabs>
        <w:ind w:left="0" w:firstLine="0"/>
      </w:pPr>
    </w:lvl>
    <w:lvl w:ilvl="4" w:tentative="0">
      <w:start w:val="1"/>
      <w:numFmt w:val="decimal"/>
      <w:pStyle w:val="291"/>
      <w:suff w:val="space"/>
      <w:lvlText w:val="%1.%2.%3.%4.%5"/>
      <w:lvlJc w:val="left"/>
      <w:pPr>
        <w:tabs>
          <w:tab w:val="left" w:pos="2551"/>
        </w:tabs>
        <w:ind w:left="0" w:firstLine="0"/>
      </w:pPr>
    </w:lvl>
    <w:lvl w:ilvl="5" w:tentative="0">
      <w:start w:val="1"/>
      <w:numFmt w:val="decimal"/>
      <w:pStyle w:val="195"/>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4">
    <w:nsid w:val="0000001C"/>
    <w:multiLevelType w:val="singleLevel"/>
    <w:tmpl w:val="0000001C"/>
    <w:lvl w:ilvl="0" w:tentative="0">
      <w:start w:val="1"/>
      <w:numFmt w:val="decimal"/>
      <w:pStyle w:val="26"/>
      <w:lvlText w:val="%1."/>
      <w:lvlJc w:val="left"/>
      <w:pPr>
        <w:tabs>
          <w:tab w:val="left" w:pos="425"/>
        </w:tabs>
        <w:ind w:left="425" w:hanging="425"/>
      </w:pPr>
      <w:rPr>
        <w:rFonts w:hint="eastAsia"/>
      </w:rPr>
    </w:lvl>
  </w:abstractNum>
  <w:abstractNum w:abstractNumId="15">
    <w:nsid w:val="0000001D"/>
    <w:multiLevelType w:val="multilevel"/>
    <w:tmpl w:val="0000001D"/>
    <w:lvl w:ilvl="0" w:tentative="0">
      <w:start w:val="1"/>
      <w:numFmt w:val="decimal"/>
      <w:pStyle w:val="197"/>
      <w:lvlText w:val="%1)"/>
      <w:lvlJc w:val="left"/>
      <w:pPr>
        <w:tabs>
          <w:tab w:val="left" w:pos="420"/>
        </w:tabs>
        <w:ind w:left="420" w:hanging="420"/>
      </w:pPr>
    </w:lvl>
    <w:lvl w:ilvl="1" w:tentative="0">
      <w:start w:val="1"/>
      <w:numFmt w:val="lowerLetter"/>
      <w:pStyle w:val="122"/>
      <w:lvlText w:val="%2)"/>
      <w:lvlJc w:val="left"/>
      <w:pPr>
        <w:tabs>
          <w:tab w:val="left" w:pos="840"/>
        </w:tabs>
        <w:ind w:left="840" w:hanging="420"/>
      </w:pPr>
    </w:lvl>
    <w:lvl w:ilvl="2" w:tentative="0">
      <w:start w:val="1"/>
      <w:numFmt w:val="lowerRoman"/>
      <w:pStyle w:val="121"/>
      <w:lvlText w:val="%3."/>
      <w:lvlJc w:val="right"/>
      <w:pPr>
        <w:tabs>
          <w:tab w:val="left" w:pos="1260"/>
        </w:tabs>
        <w:ind w:left="1260" w:hanging="420"/>
      </w:pPr>
    </w:lvl>
    <w:lvl w:ilvl="3" w:tentative="0">
      <w:start w:val="1"/>
      <w:numFmt w:val="decimal"/>
      <w:pStyle w:val="186"/>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00000022"/>
    <w:multiLevelType w:val="singleLevel"/>
    <w:tmpl w:val="00000022"/>
    <w:lvl w:ilvl="0" w:tentative="0">
      <w:start w:val="1"/>
      <w:numFmt w:val="decimal"/>
      <w:pStyle w:val="267"/>
      <w:lvlText w:val="%1."/>
      <w:lvlJc w:val="left"/>
      <w:pPr>
        <w:tabs>
          <w:tab w:val="left" w:pos="1145"/>
        </w:tabs>
        <w:ind w:left="902" w:hanging="477"/>
      </w:pPr>
      <w:rPr>
        <w:rFonts w:hint="eastAsia"/>
      </w:rPr>
    </w:lvl>
  </w:abstractNum>
  <w:abstractNum w:abstractNumId="18">
    <w:nsid w:val="00000024"/>
    <w:multiLevelType w:val="singleLevel"/>
    <w:tmpl w:val="00000024"/>
    <w:lvl w:ilvl="0" w:tentative="0">
      <w:start w:val="1"/>
      <w:numFmt w:val="bullet"/>
      <w:pStyle w:val="20"/>
      <w:lvlText w:val=""/>
      <w:lvlJc w:val="left"/>
      <w:pPr>
        <w:tabs>
          <w:tab w:val="left" w:pos="780"/>
        </w:tabs>
        <w:ind w:left="780" w:hanging="360"/>
      </w:pPr>
      <w:rPr>
        <w:rFonts w:hint="default" w:ascii="Wingdings" w:hAnsi="Wingdings"/>
      </w:rPr>
    </w:lvl>
  </w:abstractNum>
  <w:abstractNum w:abstractNumId="19">
    <w:nsid w:val="00000025"/>
    <w:multiLevelType w:val="multilevel"/>
    <w:tmpl w:val="00000025"/>
    <w:lvl w:ilvl="0" w:tentative="0">
      <w:start w:val="1"/>
      <w:numFmt w:val="decimal"/>
      <w:pStyle w:val="21"/>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0">
    <w:nsid w:val="00000026"/>
    <w:multiLevelType w:val="singleLevel"/>
    <w:tmpl w:val="00000026"/>
    <w:lvl w:ilvl="0" w:tentative="0">
      <w:start w:val="1"/>
      <w:numFmt w:val="decimal"/>
      <w:pStyle w:val="240"/>
      <w:lvlText w:val="%1."/>
      <w:lvlJc w:val="left"/>
      <w:pPr>
        <w:tabs>
          <w:tab w:val="left" w:pos="360"/>
        </w:tabs>
        <w:ind w:left="360" w:hanging="360"/>
      </w:pPr>
    </w:lvl>
  </w:abstractNum>
  <w:abstractNum w:abstractNumId="21">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2">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3">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4">
    <w:nsid w:val="0000002B"/>
    <w:multiLevelType w:val="multilevel"/>
    <w:tmpl w:val="0000002B"/>
    <w:lvl w:ilvl="0" w:tentative="0">
      <w:start w:val="1"/>
      <w:numFmt w:val="upperRoman"/>
      <w:pStyle w:val="4"/>
      <w:lvlText w:val="第 %1 条"/>
      <w:lvlJc w:val="left"/>
      <w:pPr>
        <w:tabs>
          <w:tab w:val="left" w:pos="1440"/>
        </w:tabs>
        <w:ind w:left="0" w:firstLine="0"/>
      </w:pPr>
    </w:lvl>
    <w:lvl w:ilvl="1" w:tentative="0">
      <w:start w:val="1"/>
      <w:numFmt w:val="decimalZero"/>
      <w:pStyle w:val="5"/>
      <w:isLgl/>
      <w:lvlText w:val="节 %1.%2"/>
      <w:lvlJc w:val="left"/>
      <w:pPr>
        <w:tabs>
          <w:tab w:val="left" w:pos="720"/>
        </w:tabs>
        <w:ind w:left="0" w:firstLine="0"/>
      </w:pPr>
      <w:rPr>
        <w:lang w:val="en-US"/>
      </w:rPr>
    </w:lvl>
    <w:lvl w:ilvl="2" w:tentative="0">
      <w:start w:val="1"/>
      <w:numFmt w:val="lowerLetter"/>
      <w:pStyle w:val="7"/>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5">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88"/>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00000030"/>
    <w:multiLevelType w:val="singleLevel"/>
    <w:tmpl w:val="00000030"/>
    <w:lvl w:ilvl="0" w:tentative="0">
      <w:start w:val="1"/>
      <w:numFmt w:val="decimal"/>
      <w:pStyle w:val="248"/>
      <w:lvlText w:val="%1."/>
      <w:lvlJc w:val="left"/>
      <w:pPr>
        <w:tabs>
          <w:tab w:val="left" w:pos="2040"/>
        </w:tabs>
        <w:ind w:left="2040" w:hanging="360"/>
      </w:pPr>
    </w:lvl>
  </w:abstractNum>
  <w:abstractNum w:abstractNumId="27">
    <w:nsid w:val="00000032"/>
    <w:multiLevelType w:val="singleLevel"/>
    <w:tmpl w:val="00000032"/>
    <w:lvl w:ilvl="0" w:tentative="0">
      <w:start w:val="1"/>
      <w:numFmt w:val="bullet"/>
      <w:pStyle w:val="231"/>
      <w:lvlText w:val=""/>
      <w:lvlJc w:val="left"/>
      <w:pPr>
        <w:tabs>
          <w:tab w:val="left" w:pos="2040"/>
        </w:tabs>
        <w:ind w:left="2040" w:hanging="360"/>
      </w:pPr>
      <w:rPr>
        <w:rFonts w:hint="default" w:ascii="Wingdings" w:hAnsi="Wingdings"/>
      </w:rPr>
    </w:lvl>
  </w:abstractNum>
  <w:abstractNum w:abstractNumId="28">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00000034"/>
    <w:multiLevelType w:val="multilevel"/>
    <w:tmpl w:val="00000034"/>
    <w:lvl w:ilvl="0" w:tentative="0">
      <w:start w:val="1"/>
      <w:numFmt w:val="decimal"/>
      <w:pStyle w:val="138"/>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30">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328FCD01"/>
    <w:multiLevelType w:val="singleLevel"/>
    <w:tmpl w:val="328FCD01"/>
    <w:lvl w:ilvl="0" w:tentative="0">
      <w:start w:val="1"/>
      <w:numFmt w:val="decimal"/>
      <w:suff w:val="space"/>
      <w:lvlText w:val="%1、"/>
      <w:lvlJc w:val="left"/>
      <w:pPr>
        <w:ind w:left="105" w:leftChars="0" w:firstLine="0" w:firstLineChars="0"/>
      </w:pPr>
    </w:lvl>
  </w:abstractNum>
  <w:abstractNum w:abstractNumId="33">
    <w:nsid w:val="42CD84B7"/>
    <w:multiLevelType w:val="singleLevel"/>
    <w:tmpl w:val="42CD84B7"/>
    <w:lvl w:ilvl="0" w:tentative="0">
      <w:start w:val="1"/>
      <w:numFmt w:val="decimal"/>
      <w:lvlText w:val="%1."/>
      <w:lvlJc w:val="left"/>
      <w:pPr>
        <w:ind w:left="425" w:hanging="425"/>
      </w:pPr>
      <w:rPr>
        <w:rFonts w:hint="default"/>
      </w:rPr>
    </w:lvl>
  </w:abstractNum>
  <w:abstractNum w:abstractNumId="34">
    <w:nsid w:val="73A55017"/>
    <w:multiLevelType w:val="multilevel"/>
    <w:tmpl w:val="73A55017"/>
    <w:lvl w:ilvl="0" w:tentative="0">
      <w:start w:val="1"/>
      <w:numFmt w:val="decimal"/>
      <w:lvlText w:val="%1."/>
      <w:lvlJc w:val="left"/>
      <w:pPr>
        <w:tabs>
          <w:tab w:val="left" w:pos="840"/>
        </w:tabs>
        <w:ind w:left="840" w:hanging="420"/>
      </w:pPr>
      <w:rPr>
        <w:b w:val="0"/>
      </w:rPr>
    </w:lvl>
    <w:lvl w:ilvl="1" w:tentative="0">
      <w:start w:val="1"/>
      <w:numFmt w:val="lowerLetter"/>
      <w:lvlText w:val="%2)"/>
      <w:lvlJc w:val="left"/>
      <w:pPr>
        <w:tabs>
          <w:tab w:val="left" w:pos="1009"/>
        </w:tabs>
        <w:ind w:left="1009" w:hanging="420"/>
      </w:pPr>
    </w:lvl>
    <w:lvl w:ilvl="2" w:tentative="0">
      <w:start w:val="1"/>
      <w:numFmt w:val="lowerRoman"/>
      <w:lvlText w:val="%3."/>
      <w:lvlJc w:val="right"/>
      <w:pPr>
        <w:tabs>
          <w:tab w:val="left" w:pos="1429"/>
        </w:tabs>
        <w:ind w:left="1429" w:hanging="420"/>
      </w:pPr>
    </w:lvl>
    <w:lvl w:ilvl="3" w:tentative="0">
      <w:start w:val="1"/>
      <w:numFmt w:val="decimal"/>
      <w:lvlText w:val="%4."/>
      <w:lvlJc w:val="left"/>
      <w:pPr>
        <w:tabs>
          <w:tab w:val="left" w:pos="1849"/>
        </w:tabs>
        <w:ind w:left="1849" w:hanging="420"/>
      </w:pPr>
    </w:lvl>
    <w:lvl w:ilvl="4" w:tentative="0">
      <w:start w:val="1"/>
      <w:numFmt w:val="lowerLetter"/>
      <w:lvlText w:val="%5)"/>
      <w:lvlJc w:val="left"/>
      <w:pPr>
        <w:tabs>
          <w:tab w:val="left" w:pos="2269"/>
        </w:tabs>
        <w:ind w:left="2269" w:hanging="420"/>
      </w:pPr>
    </w:lvl>
    <w:lvl w:ilvl="5" w:tentative="0">
      <w:start w:val="1"/>
      <w:numFmt w:val="lowerRoman"/>
      <w:lvlText w:val="%6."/>
      <w:lvlJc w:val="right"/>
      <w:pPr>
        <w:tabs>
          <w:tab w:val="left" w:pos="2689"/>
        </w:tabs>
        <w:ind w:left="2689" w:hanging="420"/>
      </w:pPr>
    </w:lvl>
    <w:lvl w:ilvl="6" w:tentative="0">
      <w:start w:val="1"/>
      <w:numFmt w:val="decimal"/>
      <w:lvlText w:val="%7."/>
      <w:lvlJc w:val="left"/>
      <w:pPr>
        <w:tabs>
          <w:tab w:val="left" w:pos="3109"/>
        </w:tabs>
        <w:ind w:left="3109" w:hanging="420"/>
      </w:pPr>
    </w:lvl>
    <w:lvl w:ilvl="7" w:tentative="0">
      <w:start w:val="1"/>
      <w:numFmt w:val="lowerLetter"/>
      <w:lvlText w:val="%8)"/>
      <w:lvlJc w:val="left"/>
      <w:pPr>
        <w:tabs>
          <w:tab w:val="left" w:pos="3529"/>
        </w:tabs>
        <w:ind w:left="3529" w:hanging="420"/>
      </w:pPr>
    </w:lvl>
    <w:lvl w:ilvl="8" w:tentative="0">
      <w:start w:val="1"/>
      <w:numFmt w:val="lowerRoman"/>
      <w:lvlText w:val="%9."/>
      <w:lvlJc w:val="right"/>
      <w:pPr>
        <w:tabs>
          <w:tab w:val="left" w:pos="3949"/>
        </w:tabs>
        <w:ind w:left="3949" w:hanging="420"/>
      </w:pPr>
    </w:lvl>
  </w:abstractNum>
  <w:num w:numId="1">
    <w:abstractNumId w:val="24"/>
  </w:num>
  <w:num w:numId="2">
    <w:abstractNumId w:val="18"/>
  </w:num>
  <w:num w:numId="3">
    <w:abstractNumId w:val="19"/>
  </w:num>
  <w:num w:numId="4">
    <w:abstractNumId w:val="14"/>
  </w:num>
  <w:num w:numId="5">
    <w:abstractNumId w:val="15"/>
  </w:num>
  <w:num w:numId="6">
    <w:abstractNumId w:val="29"/>
  </w:num>
  <w:num w:numId="7">
    <w:abstractNumId w:val="3"/>
  </w:num>
  <w:num w:numId="8">
    <w:abstractNumId w:val="7"/>
  </w:num>
  <w:num w:numId="9">
    <w:abstractNumId w:val="25"/>
  </w:num>
  <w:num w:numId="10">
    <w:abstractNumId w:val="13"/>
  </w:num>
  <w:num w:numId="11">
    <w:abstractNumId w:val="9"/>
  </w:num>
  <w:num w:numId="12">
    <w:abstractNumId w:val="27"/>
  </w:num>
  <w:num w:numId="13">
    <w:abstractNumId w:val="20"/>
  </w:num>
  <w:num w:numId="14">
    <w:abstractNumId w:val="26"/>
  </w:num>
  <w:num w:numId="15">
    <w:abstractNumId w:val="12"/>
  </w:num>
  <w:num w:numId="16">
    <w:abstractNumId w:val="11"/>
  </w:num>
  <w:num w:numId="17">
    <w:abstractNumId w:val="17"/>
  </w:num>
  <w:num w:numId="18">
    <w:abstractNumId w:val="4"/>
  </w:num>
  <w:num w:numId="19">
    <w:abstractNumId w:val="8"/>
  </w:num>
  <w:num w:numId="20">
    <w:abstractNumId w:val="6"/>
  </w:num>
  <w:num w:numId="21">
    <w:abstractNumId w:val="31"/>
  </w:num>
  <w:num w:numId="2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0"/>
  </w:num>
  <w:num w:numId="24">
    <w:abstractNumId w:val="1"/>
  </w:num>
  <w:num w:numId="25">
    <w:abstractNumId w:val="16"/>
  </w:num>
  <w:num w:numId="26">
    <w:abstractNumId w:val="21"/>
  </w:num>
  <w:num w:numId="27">
    <w:abstractNumId w:val="22"/>
  </w:num>
  <w:num w:numId="28">
    <w:abstractNumId w:val="5"/>
  </w:num>
  <w:num w:numId="29">
    <w:abstractNumId w:val="10"/>
  </w:num>
  <w:num w:numId="30">
    <w:abstractNumId w:val="23"/>
    <w:lvlOverride w:ilvl="0">
      <w:startOverride w:val="1"/>
    </w:lvlOverride>
  </w:num>
  <w:num w:numId="31">
    <w:abstractNumId w:val="32"/>
  </w:num>
  <w:num w:numId="32">
    <w:abstractNumId w:val="2"/>
  </w:num>
  <w:num w:numId="33">
    <w:abstractNumId w:val="0"/>
  </w:num>
  <w:num w:numId="34">
    <w:abstractNumId w:val="33"/>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0"/>
  <w:drawingGridHorizontalSpacing w:val="97"/>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2Zjc5NzZhNWNmMDhhN2NiYjQ5NjNiNzUyYWQ2ZTQifQ=="/>
  </w:docVars>
  <w:rsids>
    <w:rsidRoot w:val="00172A27"/>
    <w:rsid w:val="00003B05"/>
    <w:rsid w:val="000052D9"/>
    <w:rsid w:val="00015360"/>
    <w:rsid w:val="000223F0"/>
    <w:rsid w:val="0002770C"/>
    <w:rsid w:val="000368F5"/>
    <w:rsid w:val="00041189"/>
    <w:rsid w:val="00046854"/>
    <w:rsid w:val="00047340"/>
    <w:rsid w:val="00066033"/>
    <w:rsid w:val="00067AC4"/>
    <w:rsid w:val="00067ECB"/>
    <w:rsid w:val="000743D3"/>
    <w:rsid w:val="0007641A"/>
    <w:rsid w:val="00080179"/>
    <w:rsid w:val="000938C9"/>
    <w:rsid w:val="000978EF"/>
    <w:rsid w:val="000A039F"/>
    <w:rsid w:val="000A0A09"/>
    <w:rsid w:val="000B0241"/>
    <w:rsid w:val="000B2EEF"/>
    <w:rsid w:val="000C0ABB"/>
    <w:rsid w:val="000C67C1"/>
    <w:rsid w:val="000C7A8F"/>
    <w:rsid w:val="000D294B"/>
    <w:rsid w:val="000D49EF"/>
    <w:rsid w:val="000D749E"/>
    <w:rsid w:val="000E708A"/>
    <w:rsid w:val="000F0496"/>
    <w:rsid w:val="000F12BD"/>
    <w:rsid w:val="000F1462"/>
    <w:rsid w:val="000F4863"/>
    <w:rsid w:val="000F6CB2"/>
    <w:rsid w:val="00103331"/>
    <w:rsid w:val="00103D8A"/>
    <w:rsid w:val="00104DF4"/>
    <w:rsid w:val="001132A7"/>
    <w:rsid w:val="00131274"/>
    <w:rsid w:val="00136F13"/>
    <w:rsid w:val="00141126"/>
    <w:rsid w:val="001415F8"/>
    <w:rsid w:val="0014238E"/>
    <w:rsid w:val="00142879"/>
    <w:rsid w:val="00144654"/>
    <w:rsid w:val="001455C2"/>
    <w:rsid w:val="00152A42"/>
    <w:rsid w:val="00152A51"/>
    <w:rsid w:val="00157B21"/>
    <w:rsid w:val="001678A2"/>
    <w:rsid w:val="001719FB"/>
    <w:rsid w:val="00172A27"/>
    <w:rsid w:val="00172D89"/>
    <w:rsid w:val="00173C4A"/>
    <w:rsid w:val="00174343"/>
    <w:rsid w:val="00175262"/>
    <w:rsid w:val="00180723"/>
    <w:rsid w:val="00185B40"/>
    <w:rsid w:val="00196CF5"/>
    <w:rsid w:val="001A009C"/>
    <w:rsid w:val="001A1320"/>
    <w:rsid w:val="001A1E62"/>
    <w:rsid w:val="001A2B19"/>
    <w:rsid w:val="001A6B52"/>
    <w:rsid w:val="001B3B29"/>
    <w:rsid w:val="001C21FC"/>
    <w:rsid w:val="001C7913"/>
    <w:rsid w:val="001D1A9E"/>
    <w:rsid w:val="001D1EDD"/>
    <w:rsid w:val="001E62E6"/>
    <w:rsid w:val="001E6CB4"/>
    <w:rsid w:val="001F1984"/>
    <w:rsid w:val="001F45DA"/>
    <w:rsid w:val="001F7AA4"/>
    <w:rsid w:val="00200D1A"/>
    <w:rsid w:val="002174DD"/>
    <w:rsid w:val="00222E14"/>
    <w:rsid w:val="00224528"/>
    <w:rsid w:val="00231E86"/>
    <w:rsid w:val="00233B0A"/>
    <w:rsid w:val="002343C6"/>
    <w:rsid w:val="00236DF1"/>
    <w:rsid w:val="002371B9"/>
    <w:rsid w:val="00241309"/>
    <w:rsid w:val="00244BC6"/>
    <w:rsid w:val="00254EF1"/>
    <w:rsid w:val="0026429E"/>
    <w:rsid w:val="002653A2"/>
    <w:rsid w:val="002728EB"/>
    <w:rsid w:val="002736C2"/>
    <w:rsid w:val="00283FCA"/>
    <w:rsid w:val="0029220B"/>
    <w:rsid w:val="00292350"/>
    <w:rsid w:val="0029515B"/>
    <w:rsid w:val="00296186"/>
    <w:rsid w:val="00296876"/>
    <w:rsid w:val="002A3338"/>
    <w:rsid w:val="002A7806"/>
    <w:rsid w:val="002B17A9"/>
    <w:rsid w:val="002B2330"/>
    <w:rsid w:val="002B3328"/>
    <w:rsid w:val="002C148C"/>
    <w:rsid w:val="002C3110"/>
    <w:rsid w:val="002C6F4E"/>
    <w:rsid w:val="002C793B"/>
    <w:rsid w:val="002D2534"/>
    <w:rsid w:val="002D2A19"/>
    <w:rsid w:val="002D6028"/>
    <w:rsid w:val="002E37F9"/>
    <w:rsid w:val="002E46CC"/>
    <w:rsid w:val="002E657F"/>
    <w:rsid w:val="002F06C5"/>
    <w:rsid w:val="002F28AD"/>
    <w:rsid w:val="002F3501"/>
    <w:rsid w:val="003075DB"/>
    <w:rsid w:val="00316F55"/>
    <w:rsid w:val="00317779"/>
    <w:rsid w:val="00323287"/>
    <w:rsid w:val="00323D30"/>
    <w:rsid w:val="00332364"/>
    <w:rsid w:val="003343EF"/>
    <w:rsid w:val="00341B62"/>
    <w:rsid w:val="00341B88"/>
    <w:rsid w:val="003447DD"/>
    <w:rsid w:val="00345D3F"/>
    <w:rsid w:val="00350832"/>
    <w:rsid w:val="00350F28"/>
    <w:rsid w:val="00352DD1"/>
    <w:rsid w:val="0035636F"/>
    <w:rsid w:val="0035749B"/>
    <w:rsid w:val="00357A26"/>
    <w:rsid w:val="00360D70"/>
    <w:rsid w:val="0036653C"/>
    <w:rsid w:val="00367278"/>
    <w:rsid w:val="00367BFA"/>
    <w:rsid w:val="00371E5B"/>
    <w:rsid w:val="00373328"/>
    <w:rsid w:val="00374404"/>
    <w:rsid w:val="00375BD3"/>
    <w:rsid w:val="003829D1"/>
    <w:rsid w:val="00382B28"/>
    <w:rsid w:val="003836E2"/>
    <w:rsid w:val="00385884"/>
    <w:rsid w:val="00385997"/>
    <w:rsid w:val="00386C66"/>
    <w:rsid w:val="003A09AC"/>
    <w:rsid w:val="003A1636"/>
    <w:rsid w:val="003B10A8"/>
    <w:rsid w:val="003B6B67"/>
    <w:rsid w:val="003B7D06"/>
    <w:rsid w:val="003C049F"/>
    <w:rsid w:val="003C7C33"/>
    <w:rsid w:val="003D1CD9"/>
    <w:rsid w:val="003D231E"/>
    <w:rsid w:val="003E18ED"/>
    <w:rsid w:val="003E1FEE"/>
    <w:rsid w:val="003E3C12"/>
    <w:rsid w:val="003E7C44"/>
    <w:rsid w:val="003F259F"/>
    <w:rsid w:val="004011D2"/>
    <w:rsid w:val="004042CA"/>
    <w:rsid w:val="0041199C"/>
    <w:rsid w:val="00415FCB"/>
    <w:rsid w:val="00421DC0"/>
    <w:rsid w:val="00422A83"/>
    <w:rsid w:val="00424808"/>
    <w:rsid w:val="00426D6B"/>
    <w:rsid w:val="004347BA"/>
    <w:rsid w:val="004359A2"/>
    <w:rsid w:val="00435A0F"/>
    <w:rsid w:val="0043657C"/>
    <w:rsid w:val="00437DA4"/>
    <w:rsid w:val="00451871"/>
    <w:rsid w:val="0047226C"/>
    <w:rsid w:val="0048094A"/>
    <w:rsid w:val="00482FBA"/>
    <w:rsid w:val="004836B1"/>
    <w:rsid w:val="00484719"/>
    <w:rsid w:val="00487D39"/>
    <w:rsid w:val="00494327"/>
    <w:rsid w:val="00496389"/>
    <w:rsid w:val="004965F4"/>
    <w:rsid w:val="004A0E7E"/>
    <w:rsid w:val="004B1B71"/>
    <w:rsid w:val="004B305E"/>
    <w:rsid w:val="004B6CC7"/>
    <w:rsid w:val="004C3399"/>
    <w:rsid w:val="004C5D32"/>
    <w:rsid w:val="004C74B7"/>
    <w:rsid w:val="004D16D1"/>
    <w:rsid w:val="004D4D85"/>
    <w:rsid w:val="004E12D5"/>
    <w:rsid w:val="004E1F63"/>
    <w:rsid w:val="004E414B"/>
    <w:rsid w:val="004E4917"/>
    <w:rsid w:val="004F0573"/>
    <w:rsid w:val="004F63D2"/>
    <w:rsid w:val="004F6568"/>
    <w:rsid w:val="00505CA0"/>
    <w:rsid w:val="00506686"/>
    <w:rsid w:val="005112E7"/>
    <w:rsid w:val="00512CF4"/>
    <w:rsid w:val="00514E9F"/>
    <w:rsid w:val="005153DA"/>
    <w:rsid w:val="00517966"/>
    <w:rsid w:val="00520174"/>
    <w:rsid w:val="00521A28"/>
    <w:rsid w:val="0053176A"/>
    <w:rsid w:val="005326B0"/>
    <w:rsid w:val="00533ACA"/>
    <w:rsid w:val="005406F9"/>
    <w:rsid w:val="005413FC"/>
    <w:rsid w:val="00541771"/>
    <w:rsid w:val="005423D7"/>
    <w:rsid w:val="00543E27"/>
    <w:rsid w:val="005565E6"/>
    <w:rsid w:val="0056107E"/>
    <w:rsid w:val="005634D4"/>
    <w:rsid w:val="00567BFA"/>
    <w:rsid w:val="00571B49"/>
    <w:rsid w:val="00572009"/>
    <w:rsid w:val="00576292"/>
    <w:rsid w:val="00582643"/>
    <w:rsid w:val="00584E4C"/>
    <w:rsid w:val="0058718C"/>
    <w:rsid w:val="0059219B"/>
    <w:rsid w:val="00592864"/>
    <w:rsid w:val="005956A3"/>
    <w:rsid w:val="0059669C"/>
    <w:rsid w:val="005A12D2"/>
    <w:rsid w:val="005B10EB"/>
    <w:rsid w:val="005B47C6"/>
    <w:rsid w:val="005B6392"/>
    <w:rsid w:val="005C67D9"/>
    <w:rsid w:val="005C77EA"/>
    <w:rsid w:val="005D17E5"/>
    <w:rsid w:val="005D1F87"/>
    <w:rsid w:val="005D3EE6"/>
    <w:rsid w:val="005D5525"/>
    <w:rsid w:val="005D585E"/>
    <w:rsid w:val="005D6181"/>
    <w:rsid w:val="005E4D21"/>
    <w:rsid w:val="005F1C16"/>
    <w:rsid w:val="00603A24"/>
    <w:rsid w:val="00606A11"/>
    <w:rsid w:val="00607456"/>
    <w:rsid w:val="0060796A"/>
    <w:rsid w:val="00611F0D"/>
    <w:rsid w:val="00622068"/>
    <w:rsid w:val="006230AF"/>
    <w:rsid w:val="00623A72"/>
    <w:rsid w:val="00626828"/>
    <w:rsid w:val="006309F1"/>
    <w:rsid w:val="0063398F"/>
    <w:rsid w:val="006369F9"/>
    <w:rsid w:val="006427AB"/>
    <w:rsid w:val="00644DE2"/>
    <w:rsid w:val="006477FE"/>
    <w:rsid w:val="00651D5E"/>
    <w:rsid w:val="00653301"/>
    <w:rsid w:val="006557BE"/>
    <w:rsid w:val="006616AA"/>
    <w:rsid w:val="00661E8F"/>
    <w:rsid w:val="00663C2F"/>
    <w:rsid w:val="00683071"/>
    <w:rsid w:val="00685513"/>
    <w:rsid w:val="00686280"/>
    <w:rsid w:val="00691E83"/>
    <w:rsid w:val="00696638"/>
    <w:rsid w:val="00696BD4"/>
    <w:rsid w:val="006A4AAC"/>
    <w:rsid w:val="006A6C76"/>
    <w:rsid w:val="006B276B"/>
    <w:rsid w:val="006D13B7"/>
    <w:rsid w:val="006D2E99"/>
    <w:rsid w:val="006D5BC4"/>
    <w:rsid w:val="006D6A1F"/>
    <w:rsid w:val="006D7FDA"/>
    <w:rsid w:val="006E4E46"/>
    <w:rsid w:val="006E7B66"/>
    <w:rsid w:val="006F278F"/>
    <w:rsid w:val="006F598C"/>
    <w:rsid w:val="007009DE"/>
    <w:rsid w:val="00701B68"/>
    <w:rsid w:val="00701C47"/>
    <w:rsid w:val="00704A4B"/>
    <w:rsid w:val="00705106"/>
    <w:rsid w:val="0070651B"/>
    <w:rsid w:val="007112D2"/>
    <w:rsid w:val="007277BB"/>
    <w:rsid w:val="007334F3"/>
    <w:rsid w:val="00742F10"/>
    <w:rsid w:val="00743123"/>
    <w:rsid w:val="0074368D"/>
    <w:rsid w:val="007534DA"/>
    <w:rsid w:val="00760C58"/>
    <w:rsid w:val="007616C8"/>
    <w:rsid w:val="00765755"/>
    <w:rsid w:val="007762BC"/>
    <w:rsid w:val="00776512"/>
    <w:rsid w:val="007805ED"/>
    <w:rsid w:val="0078080D"/>
    <w:rsid w:val="00781579"/>
    <w:rsid w:val="007840D5"/>
    <w:rsid w:val="007852AD"/>
    <w:rsid w:val="00796079"/>
    <w:rsid w:val="007A593B"/>
    <w:rsid w:val="007B3412"/>
    <w:rsid w:val="007B3C7E"/>
    <w:rsid w:val="007B401E"/>
    <w:rsid w:val="007B6C3A"/>
    <w:rsid w:val="007C3209"/>
    <w:rsid w:val="007C342F"/>
    <w:rsid w:val="007C4127"/>
    <w:rsid w:val="007C506E"/>
    <w:rsid w:val="007D2A76"/>
    <w:rsid w:val="007E0552"/>
    <w:rsid w:val="007E37A6"/>
    <w:rsid w:val="007E5DBF"/>
    <w:rsid w:val="007E731F"/>
    <w:rsid w:val="007F2FA3"/>
    <w:rsid w:val="007F7113"/>
    <w:rsid w:val="008063D7"/>
    <w:rsid w:val="008108DD"/>
    <w:rsid w:val="00811DC4"/>
    <w:rsid w:val="008173F0"/>
    <w:rsid w:val="00821322"/>
    <w:rsid w:val="00826B98"/>
    <w:rsid w:val="00826D1E"/>
    <w:rsid w:val="00840885"/>
    <w:rsid w:val="008420E8"/>
    <w:rsid w:val="00842424"/>
    <w:rsid w:val="00842A15"/>
    <w:rsid w:val="00843128"/>
    <w:rsid w:val="00852562"/>
    <w:rsid w:val="00856B28"/>
    <w:rsid w:val="00857026"/>
    <w:rsid w:val="008608E8"/>
    <w:rsid w:val="00865F63"/>
    <w:rsid w:val="008665B6"/>
    <w:rsid w:val="0087060A"/>
    <w:rsid w:val="00871866"/>
    <w:rsid w:val="00871E97"/>
    <w:rsid w:val="00872215"/>
    <w:rsid w:val="008770AD"/>
    <w:rsid w:val="0088740E"/>
    <w:rsid w:val="008926C4"/>
    <w:rsid w:val="00892AB1"/>
    <w:rsid w:val="00892C34"/>
    <w:rsid w:val="0089429B"/>
    <w:rsid w:val="00896241"/>
    <w:rsid w:val="008975DC"/>
    <w:rsid w:val="008A198B"/>
    <w:rsid w:val="008A4F10"/>
    <w:rsid w:val="008C44FE"/>
    <w:rsid w:val="008D7042"/>
    <w:rsid w:val="008E028B"/>
    <w:rsid w:val="008E1F1E"/>
    <w:rsid w:val="008E344E"/>
    <w:rsid w:val="008E733F"/>
    <w:rsid w:val="008E781B"/>
    <w:rsid w:val="008F7D8C"/>
    <w:rsid w:val="0090353C"/>
    <w:rsid w:val="00904496"/>
    <w:rsid w:val="00905E02"/>
    <w:rsid w:val="00910B9E"/>
    <w:rsid w:val="00913500"/>
    <w:rsid w:val="0091538C"/>
    <w:rsid w:val="00916B13"/>
    <w:rsid w:val="00920F50"/>
    <w:rsid w:val="00924BFF"/>
    <w:rsid w:val="0092635B"/>
    <w:rsid w:val="00932175"/>
    <w:rsid w:val="00932ADF"/>
    <w:rsid w:val="0093391D"/>
    <w:rsid w:val="00934149"/>
    <w:rsid w:val="00934E62"/>
    <w:rsid w:val="0093503D"/>
    <w:rsid w:val="00941379"/>
    <w:rsid w:val="00941AF6"/>
    <w:rsid w:val="00960DDC"/>
    <w:rsid w:val="00963924"/>
    <w:rsid w:val="00963F4E"/>
    <w:rsid w:val="00971ED1"/>
    <w:rsid w:val="0097401D"/>
    <w:rsid w:val="00974DD4"/>
    <w:rsid w:val="009758F8"/>
    <w:rsid w:val="009862A2"/>
    <w:rsid w:val="00987787"/>
    <w:rsid w:val="00990A54"/>
    <w:rsid w:val="009A3074"/>
    <w:rsid w:val="009A3AC1"/>
    <w:rsid w:val="009A40C8"/>
    <w:rsid w:val="009A6C70"/>
    <w:rsid w:val="009A6DA2"/>
    <w:rsid w:val="009A733A"/>
    <w:rsid w:val="009B5CE8"/>
    <w:rsid w:val="009C26B5"/>
    <w:rsid w:val="009C7061"/>
    <w:rsid w:val="009D07D0"/>
    <w:rsid w:val="009D4DCB"/>
    <w:rsid w:val="009D58BB"/>
    <w:rsid w:val="009D72CA"/>
    <w:rsid w:val="009E3455"/>
    <w:rsid w:val="009E5931"/>
    <w:rsid w:val="009F4A9B"/>
    <w:rsid w:val="009F5024"/>
    <w:rsid w:val="009F7E7C"/>
    <w:rsid w:val="00A04822"/>
    <w:rsid w:val="00A10A80"/>
    <w:rsid w:val="00A1433B"/>
    <w:rsid w:val="00A14E5F"/>
    <w:rsid w:val="00A362FE"/>
    <w:rsid w:val="00A450BF"/>
    <w:rsid w:val="00A55C04"/>
    <w:rsid w:val="00A571F4"/>
    <w:rsid w:val="00A61440"/>
    <w:rsid w:val="00A61555"/>
    <w:rsid w:val="00A65DBC"/>
    <w:rsid w:val="00A81720"/>
    <w:rsid w:val="00A84947"/>
    <w:rsid w:val="00A86E67"/>
    <w:rsid w:val="00A90445"/>
    <w:rsid w:val="00A91AF4"/>
    <w:rsid w:val="00A93906"/>
    <w:rsid w:val="00A94BF5"/>
    <w:rsid w:val="00A979AD"/>
    <w:rsid w:val="00AA3188"/>
    <w:rsid w:val="00AA62B8"/>
    <w:rsid w:val="00AB1675"/>
    <w:rsid w:val="00AB1BDF"/>
    <w:rsid w:val="00AB40D1"/>
    <w:rsid w:val="00AB4104"/>
    <w:rsid w:val="00AB712E"/>
    <w:rsid w:val="00AB7303"/>
    <w:rsid w:val="00AC1FD0"/>
    <w:rsid w:val="00AC3DD5"/>
    <w:rsid w:val="00AC4F7B"/>
    <w:rsid w:val="00AC6ABD"/>
    <w:rsid w:val="00AC77E0"/>
    <w:rsid w:val="00AD4407"/>
    <w:rsid w:val="00AD4FF9"/>
    <w:rsid w:val="00AD6124"/>
    <w:rsid w:val="00AE048E"/>
    <w:rsid w:val="00AE131C"/>
    <w:rsid w:val="00AE3E84"/>
    <w:rsid w:val="00AE44E9"/>
    <w:rsid w:val="00AF174B"/>
    <w:rsid w:val="00AF6340"/>
    <w:rsid w:val="00B010F3"/>
    <w:rsid w:val="00B03C5D"/>
    <w:rsid w:val="00B05C9C"/>
    <w:rsid w:val="00B07504"/>
    <w:rsid w:val="00B13B7B"/>
    <w:rsid w:val="00B14F17"/>
    <w:rsid w:val="00B1662A"/>
    <w:rsid w:val="00B17ACB"/>
    <w:rsid w:val="00B2038A"/>
    <w:rsid w:val="00B329D0"/>
    <w:rsid w:val="00B347B5"/>
    <w:rsid w:val="00B3509C"/>
    <w:rsid w:val="00B3648E"/>
    <w:rsid w:val="00B44FC6"/>
    <w:rsid w:val="00B5001E"/>
    <w:rsid w:val="00B53058"/>
    <w:rsid w:val="00B5601A"/>
    <w:rsid w:val="00B6304D"/>
    <w:rsid w:val="00B634E9"/>
    <w:rsid w:val="00B64917"/>
    <w:rsid w:val="00B9576C"/>
    <w:rsid w:val="00BA10AD"/>
    <w:rsid w:val="00BA358E"/>
    <w:rsid w:val="00BA4468"/>
    <w:rsid w:val="00BA70C3"/>
    <w:rsid w:val="00BA78AA"/>
    <w:rsid w:val="00BA7B80"/>
    <w:rsid w:val="00BB505F"/>
    <w:rsid w:val="00BD058C"/>
    <w:rsid w:val="00BD17DD"/>
    <w:rsid w:val="00BD2E36"/>
    <w:rsid w:val="00BE4262"/>
    <w:rsid w:val="00BF4067"/>
    <w:rsid w:val="00C01D79"/>
    <w:rsid w:val="00C03239"/>
    <w:rsid w:val="00C03E3A"/>
    <w:rsid w:val="00C13B2E"/>
    <w:rsid w:val="00C16BE4"/>
    <w:rsid w:val="00C26386"/>
    <w:rsid w:val="00C30B61"/>
    <w:rsid w:val="00C346FA"/>
    <w:rsid w:val="00C34D29"/>
    <w:rsid w:val="00C446E8"/>
    <w:rsid w:val="00C45C09"/>
    <w:rsid w:val="00C51AFD"/>
    <w:rsid w:val="00C57265"/>
    <w:rsid w:val="00C644AA"/>
    <w:rsid w:val="00C70B26"/>
    <w:rsid w:val="00C71BDC"/>
    <w:rsid w:val="00C873F0"/>
    <w:rsid w:val="00C87A57"/>
    <w:rsid w:val="00C91933"/>
    <w:rsid w:val="00CA2782"/>
    <w:rsid w:val="00CA7EA6"/>
    <w:rsid w:val="00CB1335"/>
    <w:rsid w:val="00CB6107"/>
    <w:rsid w:val="00CB6B9B"/>
    <w:rsid w:val="00CB765F"/>
    <w:rsid w:val="00CC00F8"/>
    <w:rsid w:val="00CC3B44"/>
    <w:rsid w:val="00CC5500"/>
    <w:rsid w:val="00CC6994"/>
    <w:rsid w:val="00CD39BA"/>
    <w:rsid w:val="00CD5BBC"/>
    <w:rsid w:val="00CD64D0"/>
    <w:rsid w:val="00CE29BD"/>
    <w:rsid w:val="00CF0750"/>
    <w:rsid w:val="00CF2979"/>
    <w:rsid w:val="00CF2A91"/>
    <w:rsid w:val="00CF388E"/>
    <w:rsid w:val="00D00088"/>
    <w:rsid w:val="00D025BA"/>
    <w:rsid w:val="00D076BF"/>
    <w:rsid w:val="00D11334"/>
    <w:rsid w:val="00D12BA6"/>
    <w:rsid w:val="00D15826"/>
    <w:rsid w:val="00D23BE9"/>
    <w:rsid w:val="00D25EB6"/>
    <w:rsid w:val="00D306E6"/>
    <w:rsid w:val="00D41911"/>
    <w:rsid w:val="00D464C0"/>
    <w:rsid w:val="00D50233"/>
    <w:rsid w:val="00D51E1A"/>
    <w:rsid w:val="00D523B9"/>
    <w:rsid w:val="00D56FBD"/>
    <w:rsid w:val="00D57417"/>
    <w:rsid w:val="00D63028"/>
    <w:rsid w:val="00D7671C"/>
    <w:rsid w:val="00D81A9D"/>
    <w:rsid w:val="00D833B5"/>
    <w:rsid w:val="00D85061"/>
    <w:rsid w:val="00D91652"/>
    <w:rsid w:val="00D92C21"/>
    <w:rsid w:val="00D94904"/>
    <w:rsid w:val="00DA46AF"/>
    <w:rsid w:val="00DA59A2"/>
    <w:rsid w:val="00DA6AF9"/>
    <w:rsid w:val="00DB268C"/>
    <w:rsid w:val="00DC46E1"/>
    <w:rsid w:val="00DC5DD2"/>
    <w:rsid w:val="00DD0756"/>
    <w:rsid w:val="00DD0ADD"/>
    <w:rsid w:val="00DE37C6"/>
    <w:rsid w:val="00DE3DDA"/>
    <w:rsid w:val="00DE5542"/>
    <w:rsid w:val="00DF04C4"/>
    <w:rsid w:val="00DF3603"/>
    <w:rsid w:val="00DF3F8C"/>
    <w:rsid w:val="00DF5377"/>
    <w:rsid w:val="00E00FAF"/>
    <w:rsid w:val="00E0363F"/>
    <w:rsid w:val="00E05092"/>
    <w:rsid w:val="00E1053C"/>
    <w:rsid w:val="00E13351"/>
    <w:rsid w:val="00E1681B"/>
    <w:rsid w:val="00E176CC"/>
    <w:rsid w:val="00E22D6A"/>
    <w:rsid w:val="00E24879"/>
    <w:rsid w:val="00E3672B"/>
    <w:rsid w:val="00E375B5"/>
    <w:rsid w:val="00E43DD3"/>
    <w:rsid w:val="00E61739"/>
    <w:rsid w:val="00E83804"/>
    <w:rsid w:val="00E86F3B"/>
    <w:rsid w:val="00E876D3"/>
    <w:rsid w:val="00E93F00"/>
    <w:rsid w:val="00EA275D"/>
    <w:rsid w:val="00EA534D"/>
    <w:rsid w:val="00EB045C"/>
    <w:rsid w:val="00EB0E49"/>
    <w:rsid w:val="00EB7CE5"/>
    <w:rsid w:val="00EC5210"/>
    <w:rsid w:val="00ED1E0E"/>
    <w:rsid w:val="00ED2A6D"/>
    <w:rsid w:val="00ED7288"/>
    <w:rsid w:val="00ED7BE5"/>
    <w:rsid w:val="00ED7E23"/>
    <w:rsid w:val="00EE7C90"/>
    <w:rsid w:val="00EF7706"/>
    <w:rsid w:val="00F01099"/>
    <w:rsid w:val="00F06984"/>
    <w:rsid w:val="00F07DB4"/>
    <w:rsid w:val="00F15D62"/>
    <w:rsid w:val="00F2148B"/>
    <w:rsid w:val="00F2587A"/>
    <w:rsid w:val="00F26D67"/>
    <w:rsid w:val="00F27CC1"/>
    <w:rsid w:val="00F310A4"/>
    <w:rsid w:val="00F4024B"/>
    <w:rsid w:val="00F443B3"/>
    <w:rsid w:val="00F448EC"/>
    <w:rsid w:val="00F467F0"/>
    <w:rsid w:val="00F47154"/>
    <w:rsid w:val="00F51DFF"/>
    <w:rsid w:val="00F52EFC"/>
    <w:rsid w:val="00F54D60"/>
    <w:rsid w:val="00F54E2F"/>
    <w:rsid w:val="00F607CF"/>
    <w:rsid w:val="00F66757"/>
    <w:rsid w:val="00F7590A"/>
    <w:rsid w:val="00F77CD1"/>
    <w:rsid w:val="00F827C8"/>
    <w:rsid w:val="00F83805"/>
    <w:rsid w:val="00F90451"/>
    <w:rsid w:val="00F91FDB"/>
    <w:rsid w:val="00F946A5"/>
    <w:rsid w:val="00F95399"/>
    <w:rsid w:val="00F95C03"/>
    <w:rsid w:val="00FA4AE2"/>
    <w:rsid w:val="00FA6208"/>
    <w:rsid w:val="00FB1069"/>
    <w:rsid w:val="00FB23D0"/>
    <w:rsid w:val="00FB32C8"/>
    <w:rsid w:val="00FC2ADD"/>
    <w:rsid w:val="00FC2F34"/>
    <w:rsid w:val="00FD5B53"/>
    <w:rsid w:val="00FD6A70"/>
    <w:rsid w:val="00FE27BB"/>
    <w:rsid w:val="00FF0185"/>
    <w:rsid w:val="00FF1B9A"/>
    <w:rsid w:val="00FF3C10"/>
    <w:rsid w:val="011F60EE"/>
    <w:rsid w:val="01734A6B"/>
    <w:rsid w:val="01AC475F"/>
    <w:rsid w:val="01FB3F68"/>
    <w:rsid w:val="022975EC"/>
    <w:rsid w:val="0237621C"/>
    <w:rsid w:val="023C0DFC"/>
    <w:rsid w:val="02C92423"/>
    <w:rsid w:val="039102E6"/>
    <w:rsid w:val="03C54999"/>
    <w:rsid w:val="052F2A11"/>
    <w:rsid w:val="05583529"/>
    <w:rsid w:val="05C11D9A"/>
    <w:rsid w:val="05D70B75"/>
    <w:rsid w:val="0663620A"/>
    <w:rsid w:val="0671533F"/>
    <w:rsid w:val="067A7B4A"/>
    <w:rsid w:val="06EE550F"/>
    <w:rsid w:val="082C721F"/>
    <w:rsid w:val="08680198"/>
    <w:rsid w:val="0957472D"/>
    <w:rsid w:val="096C7482"/>
    <w:rsid w:val="0AFF69E2"/>
    <w:rsid w:val="0B07085C"/>
    <w:rsid w:val="0B5C2951"/>
    <w:rsid w:val="0B664CB3"/>
    <w:rsid w:val="0BCA4A38"/>
    <w:rsid w:val="0C4B5C57"/>
    <w:rsid w:val="0CAA7B05"/>
    <w:rsid w:val="0CEC5E68"/>
    <w:rsid w:val="0DDA0DB8"/>
    <w:rsid w:val="0F23766A"/>
    <w:rsid w:val="0F2B26EE"/>
    <w:rsid w:val="0F621C2B"/>
    <w:rsid w:val="0F7457E9"/>
    <w:rsid w:val="0FCA12E5"/>
    <w:rsid w:val="0FF94348"/>
    <w:rsid w:val="10204315"/>
    <w:rsid w:val="106C2D6C"/>
    <w:rsid w:val="10865B08"/>
    <w:rsid w:val="10A641ED"/>
    <w:rsid w:val="113B1BFC"/>
    <w:rsid w:val="121D7C31"/>
    <w:rsid w:val="12493A00"/>
    <w:rsid w:val="12922832"/>
    <w:rsid w:val="130A061A"/>
    <w:rsid w:val="144162BD"/>
    <w:rsid w:val="14720225"/>
    <w:rsid w:val="14B6708E"/>
    <w:rsid w:val="16E13197"/>
    <w:rsid w:val="16EF3DAF"/>
    <w:rsid w:val="17356861"/>
    <w:rsid w:val="17F04282"/>
    <w:rsid w:val="185C263C"/>
    <w:rsid w:val="1910625E"/>
    <w:rsid w:val="191A1081"/>
    <w:rsid w:val="19AB1C63"/>
    <w:rsid w:val="1BA9401F"/>
    <w:rsid w:val="1C3660D4"/>
    <w:rsid w:val="1CD57563"/>
    <w:rsid w:val="1D9D51F3"/>
    <w:rsid w:val="1DA029F5"/>
    <w:rsid w:val="1EA81EBA"/>
    <w:rsid w:val="1F390158"/>
    <w:rsid w:val="1F5B1A41"/>
    <w:rsid w:val="1F883071"/>
    <w:rsid w:val="201B3E66"/>
    <w:rsid w:val="20424C81"/>
    <w:rsid w:val="20BF76DA"/>
    <w:rsid w:val="21151D88"/>
    <w:rsid w:val="211B629E"/>
    <w:rsid w:val="21451B35"/>
    <w:rsid w:val="215A240F"/>
    <w:rsid w:val="22410012"/>
    <w:rsid w:val="2299090F"/>
    <w:rsid w:val="22AA3E2A"/>
    <w:rsid w:val="22D121EA"/>
    <w:rsid w:val="22F34EA8"/>
    <w:rsid w:val="234E53B2"/>
    <w:rsid w:val="23B56C14"/>
    <w:rsid w:val="24743B45"/>
    <w:rsid w:val="24917A57"/>
    <w:rsid w:val="25063961"/>
    <w:rsid w:val="259B36F7"/>
    <w:rsid w:val="25CE197B"/>
    <w:rsid w:val="25F4209D"/>
    <w:rsid w:val="264B1E3E"/>
    <w:rsid w:val="267D4EFC"/>
    <w:rsid w:val="27740528"/>
    <w:rsid w:val="27802801"/>
    <w:rsid w:val="289457E1"/>
    <w:rsid w:val="28A808C6"/>
    <w:rsid w:val="28C87813"/>
    <w:rsid w:val="29E55A72"/>
    <w:rsid w:val="2A4A6DB4"/>
    <w:rsid w:val="2A515672"/>
    <w:rsid w:val="2AB90BF0"/>
    <w:rsid w:val="2B591092"/>
    <w:rsid w:val="2B8678B6"/>
    <w:rsid w:val="2BE61149"/>
    <w:rsid w:val="2C4651AC"/>
    <w:rsid w:val="2D7A5523"/>
    <w:rsid w:val="2DE24C54"/>
    <w:rsid w:val="2E9848D4"/>
    <w:rsid w:val="2EF81506"/>
    <w:rsid w:val="2F0D6640"/>
    <w:rsid w:val="304F232A"/>
    <w:rsid w:val="305F1B4D"/>
    <w:rsid w:val="312850D7"/>
    <w:rsid w:val="317E4255"/>
    <w:rsid w:val="325B455A"/>
    <w:rsid w:val="32660792"/>
    <w:rsid w:val="32755858"/>
    <w:rsid w:val="329D3D2E"/>
    <w:rsid w:val="348900E9"/>
    <w:rsid w:val="34E45C3F"/>
    <w:rsid w:val="34F54159"/>
    <w:rsid w:val="367D6465"/>
    <w:rsid w:val="36897F35"/>
    <w:rsid w:val="36A068D5"/>
    <w:rsid w:val="36DD37CC"/>
    <w:rsid w:val="3775446F"/>
    <w:rsid w:val="387B329C"/>
    <w:rsid w:val="388D4973"/>
    <w:rsid w:val="39145CDA"/>
    <w:rsid w:val="39EE72DC"/>
    <w:rsid w:val="3A064DE8"/>
    <w:rsid w:val="3A28273B"/>
    <w:rsid w:val="3A3C4CAD"/>
    <w:rsid w:val="3A7061B9"/>
    <w:rsid w:val="3AB35BB0"/>
    <w:rsid w:val="3B4414C7"/>
    <w:rsid w:val="3B8C53ED"/>
    <w:rsid w:val="3C8317E7"/>
    <w:rsid w:val="3CD25455"/>
    <w:rsid w:val="3D2D673D"/>
    <w:rsid w:val="3DB80C2A"/>
    <w:rsid w:val="3DCD097B"/>
    <w:rsid w:val="3DCE530E"/>
    <w:rsid w:val="3E8D24D8"/>
    <w:rsid w:val="3F1D5ACA"/>
    <w:rsid w:val="3F293BFA"/>
    <w:rsid w:val="42360234"/>
    <w:rsid w:val="42EE1DC6"/>
    <w:rsid w:val="43677073"/>
    <w:rsid w:val="43926C4B"/>
    <w:rsid w:val="43F24C47"/>
    <w:rsid w:val="45157495"/>
    <w:rsid w:val="451B08D2"/>
    <w:rsid w:val="456652D4"/>
    <w:rsid w:val="458F470E"/>
    <w:rsid w:val="45F03CF3"/>
    <w:rsid w:val="460D74FE"/>
    <w:rsid w:val="46244F73"/>
    <w:rsid w:val="468E4E6D"/>
    <w:rsid w:val="46E57413"/>
    <w:rsid w:val="478C6222"/>
    <w:rsid w:val="47931784"/>
    <w:rsid w:val="47B03BA9"/>
    <w:rsid w:val="49026E10"/>
    <w:rsid w:val="49862C8F"/>
    <w:rsid w:val="49AC02A6"/>
    <w:rsid w:val="4A0B4034"/>
    <w:rsid w:val="4A2E02C6"/>
    <w:rsid w:val="4ACA0315"/>
    <w:rsid w:val="4B057649"/>
    <w:rsid w:val="4B9425A7"/>
    <w:rsid w:val="4B9E1DB9"/>
    <w:rsid w:val="4C7310AD"/>
    <w:rsid w:val="4C9149E5"/>
    <w:rsid w:val="4D842037"/>
    <w:rsid w:val="4D9B2F7F"/>
    <w:rsid w:val="4E9534A4"/>
    <w:rsid w:val="4F22110D"/>
    <w:rsid w:val="4F3912D1"/>
    <w:rsid w:val="50086B0C"/>
    <w:rsid w:val="508E5A83"/>
    <w:rsid w:val="518E1E3B"/>
    <w:rsid w:val="52267A1D"/>
    <w:rsid w:val="537F56AD"/>
    <w:rsid w:val="54022FBD"/>
    <w:rsid w:val="54660E4D"/>
    <w:rsid w:val="54810BF1"/>
    <w:rsid w:val="550024AC"/>
    <w:rsid w:val="55365DED"/>
    <w:rsid w:val="570016CA"/>
    <w:rsid w:val="570D735E"/>
    <w:rsid w:val="5768620E"/>
    <w:rsid w:val="57C8287A"/>
    <w:rsid w:val="5814758F"/>
    <w:rsid w:val="58256A7C"/>
    <w:rsid w:val="589647C1"/>
    <w:rsid w:val="5900361E"/>
    <w:rsid w:val="59174A94"/>
    <w:rsid w:val="59337A15"/>
    <w:rsid w:val="59857735"/>
    <w:rsid w:val="5AAB6294"/>
    <w:rsid w:val="5ADB76FE"/>
    <w:rsid w:val="5B3A2A97"/>
    <w:rsid w:val="5C260263"/>
    <w:rsid w:val="5C6D5D5D"/>
    <w:rsid w:val="5C8759E7"/>
    <w:rsid w:val="5CDA262A"/>
    <w:rsid w:val="5CEC7289"/>
    <w:rsid w:val="5CFE4BFC"/>
    <w:rsid w:val="5D2C1646"/>
    <w:rsid w:val="5D886622"/>
    <w:rsid w:val="5E156CD0"/>
    <w:rsid w:val="5E400EED"/>
    <w:rsid w:val="5E8048B9"/>
    <w:rsid w:val="5E93433C"/>
    <w:rsid w:val="5EA6727F"/>
    <w:rsid w:val="5EF77271"/>
    <w:rsid w:val="5FB83662"/>
    <w:rsid w:val="60AE2B4F"/>
    <w:rsid w:val="620344FC"/>
    <w:rsid w:val="62A25746"/>
    <w:rsid w:val="62E81A95"/>
    <w:rsid w:val="63376415"/>
    <w:rsid w:val="63AA3E84"/>
    <w:rsid w:val="643C3ECA"/>
    <w:rsid w:val="645529A9"/>
    <w:rsid w:val="64862C2B"/>
    <w:rsid w:val="64875507"/>
    <w:rsid w:val="64F10C32"/>
    <w:rsid w:val="6552795A"/>
    <w:rsid w:val="65D0211A"/>
    <w:rsid w:val="660404C6"/>
    <w:rsid w:val="660A7DCB"/>
    <w:rsid w:val="66176FA2"/>
    <w:rsid w:val="6661072D"/>
    <w:rsid w:val="672A6364"/>
    <w:rsid w:val="68615F66"/>
    <w:rsid w:val="69321B2D"/>
    <w:rsid w:val="6949237B"/>
    <w:rsid w:val="69E92CFF"/>
    <w:rsid w:val="6A8B3BD0"/>
    <w:rsid w:val="6B230C32"/>
    <w:rsid w:val="6B4B5941"/>
    <w:rsid w:val="6C186F7E"/>
    <w:rsid w:val="6C5400C1"/>
    <w:rsid w:val="6E015061"/>
    <w:rsid w:val="70025E46"/>
    <w:rsid w:val="70447B0B"/>
    <w:rsid w:val="70A97C9F"/>
    <w:rsid w:val="70FA4B39"/>
    <w:rsid w:val="715E7281"/>
    <w:rsid w:val="72394572"/>
    <w:rsid w:val="72A00670"/>
    <w:rsid w:val="73110955"/>
    <w:rsid w:val="735A1441"/>
    <w:rsid w:val="74B90B53"/>
    <w:rsid w:val="74EA0887"/>
    <w:rsid w:val="75E16295"/>
    <w:rsid w:val="75F265F9"/>
    <w:rsid w:val="775C1F10"/>
    <w:rsid w:val="77D84A7F"/>
    <w:rsid w:val="78144598"/>
    <w:rsid w:val="793067AF"/>
    <w:rsid w:val="7ACD6C80"/>
    <w:rsid w:val="7B6F7850"/>
    <w:rsid w:val="7BA336EB"/>
    <w:rsid w:val="7BD32074"/>
    <w:rsid w:val="7BE349AD"/>
    <w:rsid w:val="7BE5390A"/>
    <w:rsid w:val="7C027415"/>
    <w:rsid w:val="7CA0464C"/>
    <w:rsid w:val="7CF03A0A"/>
    <w:rsid w:val="7E440AC9"/>
    <w:rsid w:val="7F6C6E1F"/>
    <w:rsid w:val="7F9846A8"/>
    <w:rsid w:val="7FCC29A3"/>
    <w:rsid w:val="7FCE2AB2"/>
    <w:rsid w:val="7FD67C6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qFormat="1" w:unhideWhenUsed="0" w:uiPriority="5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30"/>
    <w:autoRedefine/>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5">
    <w:name w:val="heading 2"/>
    <w:basedOn w:val="1"/>
    <w:next w:val="6"/>
    <w:link w:val="102"/>
    <w:autoRedefine/>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7">
    <w:name w:val="heading 3"/>
    <w:basedOn w:val="1"/>
    <w:next w:val="6"/>
    <w:link w:val="119"/>
    <w:autoRedefine/>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8">
    <w:name w:val="heading 4"/>
    <w:basedOn w:val="1"/>
    <w:next w:val="6"/>
    <w:link w:val="93"/>
    <w:qFormat/>
    <w:uiPriority w:val="0"/>
    <w:pPr>
      <w:keepNext/>
      <w:keepLines/>
      <w:spacing w:before="280" w:after="290" w:line="376" w:lineRule="auto"/>
      <w:outlineLvl w:val="3"/>
    </w:pPr>
    <w:rPr>
      <w:rFonts w:ascii="Arial" w:hAnsi="Arial" w:eastAsia="黑体"/>
      <w:b/>
      <w:sz w:val="28"/>
      <w:szCs w:val="20"/>
    </w:rPr>
  </w:style>
  <w:style w:type="paragraph" w:styleId="9">
    <w:name w:val="heading 5"/>
    <w:basedOn w:val="1"/>
    <w:next w:val="6"/>
    <w:link w:val="106"/>
    <w:qFormat/>
    <w:uiPriority w:val="0"/>
    <w:pPr>
      <w:keepNext/>
      <w:keepLines/>
      <w:spacing w:before="280" w:after="290" w:line="376" w:lineRule="auto"/>
      <w:outlineLvl w:val="4"/>
    </w:pPr>
    <w:rPr>
      <w:b/>
      <w:sz w:val="28"/>
      <w:szCs w:val="20"/>
    </w:rPr>
  </w:style>
  <w:style w:type="paragraph" w:styleId="10">
    <w:name w:val="heading 6"/>
    <w:basedOn w:val="1"/>
    <w:next w:val="6"/>
    <w:link w:val="91"/>
    <w:autoRedefine/>
    <w:qFormat/>
    <w:uiPriority w:val="0"/>
    <w:pPr>
      <w:keepNext/>
      <w:keepLines/>
      <w:spacing w:before="240" w:after="64" w:line="320" w:lineRule="auto"/>
      <w:outlineLvl w:val="5"/>
    </w:pPr>
    <w:rPr>
      <w:rFonts w:ascii="Arial" w:hAnsi="Arial" w:eastAsia="黑体"/>
      <w:b/>
      <w:sz w:val="24"/>
      <w:szCs w:val="20"/>
    </w:rPr>
  </w:style>
  <w:style w:type="paragraph" w:styleId="11">
    <w:name w:val="heading 7"/>
    <w:basedOn w:val="1"/>
    <w:next w:val="6"/>
    <w:link w:val="111"/>
    <w:autoRedefine/>
    <w:qFormat/>
    <w:uiPriority w:val="0"/>
    <w:pPr>
      <w:keepNext/>
      <w:keepLines/>
      <w:spacing w:before="240" w:after="64" w:line="320" w:lineRule="auto"/>
      <w:outlineLvl w:val="6"/>
    </w:pPr>
    <w:rPr>
      <w:b/>
      <w:sz w:val="24"/>
      <w:szCs w:val="20"/>
    </w:rPr>
  </w:style>
  <w:style w:type="paragraph" w:styleId="12">
    <w:name w:val="heading 8"/>
    <w:basedOn w:val="1"/>
    <w:next w:val="6"/>
    <w:link w:val="98"/>
    <w:autoRedefine/>
    <w:qFormat/>
    <w:uiPriority w:val="0"/>
    <w:pPr>
      <w:keepNext/>
      <w:keepLines/>
      <w:spacing w:before="240" w:after="64" w:line="320" w:lineRule="auto"/>
      <w:outlineLvl w:val="7"/>
    </w:pPr>
    <w:rPr>
      <w:rFonts w:ascii="Arial" w:hAnsi="Arial" w:eastAsia="黑体"/>
      <w:sz w:val="24"/>
      <w:szCs w:val="20"/>
    </w:rPr>
  </w:style>
  <w:style w:type="paragraph" w:styleId="13">
    <w:name w:val="heading 9"/>
    <w:basedOn w:val="1"/>
    <w:next w:val="6"/>
    <w:link w:val="90"/>
    <w:autoRedefine/>
    <w:qFormat/>
    <w:uiPriority w:val="0"/>
    <w:pPr>
      <w:keepNext/>
      <w:keepLines/>
      <w:spacing w:before="240" w:after="64" w:line="320" w:lineRule="auto"/>
      <w:outlineLvl w:val="8"/>
    </w:pPr>
    <w:rPr>
      <w:rFonts w:ascii="Arial" w:hAnsi="Arial" w:eastAsia="黑体"/>
      <w:szCs w:val="20"/>
    </w:rPr>
  </w:style>
  <w:style w:type="character" w:default="1" w:styleId="48">
    <w:name w:val="Default Paragraph Font"/>
    <w:semiHidden/>
    <w:unhideWhenUsed/>
    <w:qFormat/>
    <w:uiPriority w:val="1"/>
  </w:style>
  <w:style w:type="table" w:default="1" w:styleId="46">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3"/>
    <w:link w:val="133"/>
    <w:autoRedefine/>
    <w:qFormat/>
    <w:uiPriority w:val="0"/>
    <w:pPr>
      <w:ind w:firstLine="100" w:firstLineChars="100"/>
    </w:pPr>
    <w:rPr>
      <w:rFonts w:ascii="Calibri" w:hAnsi="Calibri"/>
      <w:szCs w:val="22"/>
    </w:rPr>
  </w:style>
  <w:style w:type="paragraph" w:styleId="3">
    <w:name w:val="Body Text"/>
    <w:basedOn w:val="1"/>
    <w:link w:val="76"/>
    <w:autoRedefine/>
    <w:qFormat/>
    <w:uiPriority w:val="0"/>
    <w:pPr>
      <w:spacing w:after="120"/>
    </w:pPr>
  </w:style>
  <w:style w:type="paragraph" w:styleId="6">
    <w:name w:val="Normal Indent"/>
    <w:basedOn w:val="1"/>
    <w:link w:val="113"/>
    <w:autoRedefine/>
    <w:qFormat/>
    <w:uiPriority w:val="0"/>
    <w:pPr>
      <w:autoSpaceDE w:val="0"/>
      <w:autoSpaceDN w:val="0"/>
      <w:adjustRightInd w:val="0"/>
      <w:ind w:firstLine="420"/>
      <w:jc w:val="left"/>
      <w:textAlignment w:val="baseline"/>
    </w:pPr>
    <w:rPr>
      <w:rFonts w:ascii="宋体"/>
      <w:kern w:val="0"/>
      <w:sz w:val="34"/>
      <w:szCs w:val="20"/>
    </w:rPr>
  </w:style>
  <w:style w:type="paragraph" w:styleId="14">
    <w:name w:val="toc 7"/>
    <w:basedOn w:val="1"/>
    <w:next w:val="1"/>
    <w:autoRedefine/>
    <w:qFormat/>
    <w:uiPriority w:val="0"/>
    <w:pPr>
      <w:ind w:left="1200" w:leftChars="1200"/>
    </w:pPr>
    <w:rPr>
      <w:rFonts w:ascii="Calibri" w:hAnsi="Calibri"/>
      <w:szCs w:val="22"/>
    </w:rPr>
  </w:style>
  <w:style w:type="paragraph" w:styleId="15">
    <w:name w:val="caption"/>
    <w:basedOn w:val="1"/>
    <w:next w:val="1"/>
    <w:autoRedefine/>
    <w:qFormat/>
    <w:uiPriority w:val="0"/>
    <w:pPr>
      <w:spacing w:line="360" w:lineRule="auto"/>
    </w:pPr>
    <w:rPr>
      <w:rFonts w:ascii="Arial" w:hAnsi="Arial" w:eastAsia="黑体" w:cs="Arial"/>
      <w:sz w:val="20"/>
      <w:szCs w:val="20"/>
    </w:rPr>
  </w:style>
  <w:style w:type="paragraph" w:styleId="16">
    <w:name w:val="List Bullet"/>
    <w:basedOn w:val="1"/>
    <w:autoRedefine/>
    <w:qFormat/>
    <w:uiPriority w:val="0"/>
    <w:pPr>
      <w:tabs>
        <w:tab w:val="left" w:pos="360"/>
        <w:tab w:val="left" w:pos="1320"/>
      </w:tabs>
      <w:spacing w:line="360" w:lineRule="auto"/>
      <w:ind w:left="1320" w:hanging="420"/>
    </w:pPr>
    <w:rPr>
      <w:sz w:val="24"/>
    </w:rPr>
  </w:style>
  <w:style w:type="paragraph" w:styleId="17">
    <w:name w:val="Document Map"/>
    <w:basedOn w:val="1"/>
    <w:autoRedefine/>
    <w:qFormat/>
    <w:uiPriority w:val="0"/>
    <w:pPr>
      <w:shd w:val="clear" w:color="auto" w:fill="000080"/>
    </w:pPr>
  </w:style>
  <w:style w:type="paragraph" w:styleId="18">
    <w:name w:val="annotation text"/>
    <w:basedOn w:val="1"/>
    <w:link w:val="131"/>
    <w:autoRedefine/>
    <w:qFormat/>
    <w:uiPriority w:val="0"/>
    <w:pPr>
      <w:spacing w:line="360" w:lineRule="auto"/>
      <w:jc w:val="left"/>
    </w:pPr>
    <w:rPr>
      <w:sz w:val="24"/>
    </w:rPr>
  </w:style>
  <w:style w:type="paragraph" w:styleId="19">
    <w:name w:val="Body Text Indent"/>
    <w:basedOn w:val="1"/>
    <w:link w:val="123"/>
    <w:autoRedefine/>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20">
    <w:name w:val="List Bullet 2"/>
    <w:basedOn w:val="1"/>
    <w:autoRedefine/>
    <w:qFormat/>
    <w:uiPriority w:val="0"/>
    <w:pPr>
      <w:numPr>
        <w:ilvl w:val="0"/>
        <w:numId w:val="2"/>
      </w:numPr>
    </w:pPr>
  </w:style>
  <w:style w:type="paragraph" w:styleId="21">
    <w:name w:val="HTML Address"/>
    <w:basedOn w:val="1"/>
    <w:link w:val="129"/>
    <w:autoRedefine/>
    <w:qFormat/>
    <w:uiPriority w:val="0"/>
    <w:pPr>
      <w:numPr>
        <w:ilvl w:val="0"/>
        <w:numId w:val="3"/>
      </w:numPr>
      <w:tabs>
        <w:tab w:val="clear" w:pos="432"/>
      </w:tabs>
      <w:ind w:left="0" w:firstLine="0"/>
    </w:pPr>
    <w:rPr>
      <w:i/>
    </w:rPr>
  </w:style>
  <w:style w:type="paragraph" w:styleId="22">
    <w:name w:val="toc 5"/>
    <w:basedOn w:val="1"/>
    <w:next w:val="1"/>
    <w:autoRedefine/>
    <w:qFormat/>
    <w:uiPriority w:val="0"/>
    <w:pPr>
      <w:ind w:left="800" w:leftChars="800"/>
    </w:pPr>
    <w:rPr>
      <w:rFonts w:ascii="Calibri" w:hAnsi="Calibri"/>
      <w:szCs w:val="22"/>
    </w:rPr>
  </w:style>
  <w:style w:type="paragraph" w:styleId="23">
    <w:name w:val="toc 3"/>
    <w:basedOn w:val="1"/>
    <w:next w:val="1"/>
    <w:autoRedefine/>
    <w:qFormat/>
    <w:uiPriority w:val="39"/>
    <w:pPr>
      <w:tabs>
        <w:tab w:val="left" w:pos="840"/>
        <w:tab w:val="left" w:pos="1004"/>
        <w:tab w:val="right" w:leader="dot" w:pos="8948"/>
      </w:tabs>
      <w:ind w:right="-122" w:rightChars="-58"/>
      <w:jc w:val="left"/>
    </w:pPr>
    <w:rPr>
      <w:rFonts w:ascii="宋体" w:hAnsi="宋体"/>
      <w:szCs w:val="32"/>
    </w:rPr>
  </w:style>
  <w:style w:type="paragraph" w:styleId="24">
    <w:name w:val="Plain Text"/>
    <w:basedOn w:val="1"/>
    <w:link w:val="74"/>
    <w:autoRedefine/>
    <w:qFormat/>
    <w:uiPriority w:val="0"/>
    <w:rPr>
      <w:rFonts w:ascii="宋体" w:hAnsi="Courier New"/>
      <w:szCs w:val="20"/>
    </w:rPr>
  </w:style>
  <w:style w:type="paragraph" w:styleId="25">
    <w:name w:val="toc 8"/>
    <w:basedOn w:val="1"/>
    <w:next w:val="1"/>
    <w:autoRedefine/>
    <w:qFormat/>
    <w:uiPriority w:val="0"/>
    <w:pPr>
      <w:ind w:left="1400" w:leftChars="1400"/>
    </w:pPr>
    <w:rPr>
      <w:rFonts w:ascii="Calibri" w:hAnsi="Calibri"/>
      <w:szCs w:val="22"/>
    </w:rPr>
  </w:style>
  <w:style w:type="paragraph" w:styleId="26">
    <w:name w:val="Date"/>
    <w:basedOn w:val="1"/>
    <w:next w:val="1"/>
    <w:link w:val="63"/>
    <w:autoRedefine/>
    <w:qFormat/>
    <w:uiPriority w:val="0"/>
    <w:pPr>
      <w:numPr>
        <w:ilvl w:val="0"/>
        <w:numId w:val="4"/>
      </w:numPr>
      <w:ind w:left="100" w:leftChars="2500"/>
    </w:pPr>
  </w:style>
  <w:style w:type="paragraph" w:styleId="27">
    <w:name w:val="Body Text Indent 2"/>
    <w:basedOn w:val="1"/>
    <w:link w:val="71"/>
    <w:autoRedefine/>
    <w:qFormat/>
    <w:uiPriority w:val="0"/>
    <w:pPr>
      <w:spacing w:line="480" w:lineRule="exact"/>
      <w:ind w:left="810" w:firstLine="675"/>
    </w:pPr>
    <w:rPr>
      <w:rFonts w:eastAsia="仿宋_GB2312"/>
      <w:sz w:val="30"/>
      <w:szCs w:val="20"/>
    </w:rPr>
  </w:style>
  <w:style w:type="paragraph" w:styleId="28">
    <w:name w:val="Balloon Text"/>
    <w:basedOn w:val="1"/>
    <w:link w:val="86"/>
    <w:autoRedefine/>
    <w:qFormat/>
    <w:uiPriority w:val="0"/>
    <w:rPr>
      <w:sz w:val="18"/>
      <w:szCs w:val="18"/>
    </w:rPr>
  </w:style>
  <w:style w:type="paragraph" w:styleId="29">
    <w:name w:val="footer"/>
    <w:basedOn w:val="1"/>
    <w:link w:val="132"/>
    <w:autoRedefine/>
    <w:qFormat/>
    <w:uiPriority w:val="0"/>
    <w:pPr>
      <w:tabs>
        <w:tab w:val="center" w:pos="4153"/>
        <w:tab w:val="right" w:pos="8306"/>
      </w:tabs>
      <w:snapToGrid w:val="0"/>
      <w:jc w:val="left"/>
    </w:pPr>
    <w:rPr>
      <w:sz w:val="18"/>
      <w:szCs w:val="20"/>
    </w:rPr>
  </w:style>
  <w:style w:type="paragraph" w:styleId="30">
    <w:name w:val="header"/>
    <w:basedOn w:val="1"/>
    <w:link w:val="124"/>
    <w:autoRedefine/>
    <w:qFormat/>
    <w:uiPriority w:val="99"/>
    <w:pPr>
      <w:pBdr>
        <w:bottom w:val="single" w:color="auto" w:sz="6" w:space="1"/>
      </w:pBdr>
      <w:tabs>
        <w:tab w:val="center" w:pos="4153"/>
        <w:tab w:val="right" w:pos="8306"/>
      </w:tabs>
      <w:snapToGrid w:val="0"/>
      <w:jc w:val="center"/>
    </w:pPr>
    <w:rPr>
      <w:sz w:val="18"/>
      <w:szCs w:val="20"/>
    </w:rPr>
  </w:style>
  <w:style w:type="paragraph" w:styleId="31">
    <w:name w:val="toc 1"/>
    <w:basedOn w:val="1"/>
    <w:next w:val="1"/>
    <w:autoRedefine/>
    <w:qFormat/>
    <w:uiPriority w:val="39"/>
    <w:pPr>
      <w:tabs>
        <w:tab w:val="right" w:leader="dot" w:pos="8949"/>
      </w:tabs>
      <w:spacing w:before="120" w:after="120"/>
      <w:jc w:val="left"/>
    </w:pPr>
    <w:rPr>
      <w:b/>
      <w:bCs/>
      <w:caps/>
      <w:szCs w:val="21"/>
    </w:rPr>
  </w:style>
  <w:style w:type="paragraph" w:styleId="32">
    <w:name w:val="toc 4"/>
    <w:basedOn w:val="1"/>
    <w:next w:val="1"/>
    <w:autoRedefine/>
    <w:qFormat/>
    <w:uiPriority w:val="0"/>
    <w:pPr>
      <w:ind w:left="600" w:leftChars="600"/>
    </w:pPr>
    <w:rPr>
      <w:rFonts w:ascii="Calibri" w:hAnsi="Calibri"/>
      <w:szCs w:val="22"/>
    </w:rPr>
  </w:style>
  <w:style w:type="paragraph" w:styleId="33">
    <w:name w:val="index heading"/>
    <w:basedOn w:val="1"/>
    <w:next w:val="34"/>
    <w:autoRedefine/>
    <w:qFormat/>
    <w:uiPriority w:val="0"/>
    <w:rPr>
      <w:szCs w:val="20"/>
    </w:rPr>
  </w:style>
  <w:style w:type="paragraph" w:styleId="34">
    <w:name w:val="index 1"/>
    <w:basedOn w:val="1"/>
    <w:next w:val="1"/>
    <w:autoRedefine/>
    <w:qFormat/>
    <w:uiPriority w:val="0"/>
  </w:style>
  <w:style w:type="paragraph" w:styleId="35">
    <w:name w:val="List"/>
    <w:basedOn w:val="1"/>
    <w:autoRedefine/>
    <w:qFormat/>
    <w:uiPriority w:val="0"/>
    <w:pPr>
      <w:ind w:left="200" w:hanging="200" w:hangingChars="200"/>
    </w:pPr>
  </w:style>
  <w:style w:type="paragraph" w:styleId="36">
    <w:name w:val="toc 6"/>
    <w:basedOn w:val="1"/>
    <w:next w:val="1"/>
    <w:autoRedefine/>
    <w:qFormat/>
    <w:uiPriority w:val="0"/>
    <w:pPr>
      <w:ind w:left="1000" w:leftChars="1000"/>
    </w:pPr>
    <w:rPr>
      <w:rFonts w:ascii="Calibri" w:hAnsi="Calibri"/>
      <w:szCs w:val="22"/>
    </w:rPr>
  </w:style>
  <w:style w:type="paragraph" w:styleId="37">
    <w:name w:val="Body Text Indent 3"/>
    <w:basedOn w:val="1"/>
    <w:link w:val="72"/>
    <w:autoRedefine/>
    <w:qFormat/>
    <w:uiPriority w:val="0"/>
    <w:pPr>
      <w:widowControl/>
      <w:tabs>
        <w:tab w:val="left" w:pos="502"/>
      </w:tabs>
      <w:adjustRightInd w:val="0"/>
      <w:snapToGrid w:val="0"/>
      <w:spacing w:line="360" w:lineRule="auto"/>
      <w:ind w:left="540" w:leftChars="257"/>
    </w:pPr>
    <w:rPr>
      <w:rFonts w:ascii="宋体" w:hAnsi="宋体"/>
    </w:rPr>
  </w:style>
  <w:style w:type="paragraph" w:styleId="38">
    <w:name w:val="toc 2"/>
    <w:basedOn w:val="1"/>
    <w:next w:val="1"/>
    <w:autoRedefine/>
    <w:qFormat/>
    <w:uiPriority w:val="39"/>
    <w:pPr>
      <w:tabs>
        <w:tab w:val="right" w:leader="dot" w:pos="8948"/>
      </w:tabs>
      <w:adjustRightInd w:val="0"/>
      <w:snapToGrid w:val="0"/>
      <w:ind w:left="278"/>
      <w:jc w:val="left"/>
    </w:pPr>
    <w:rPr>
      <w:rFonts w:ascii="宋体" w:hAnsi="宋体"/>
      <w:smallCaps/>
      <w:szCs w:val="21"/>
    </w:rPr>
  </w:style>
  <w:style w:type="paragraph" w:styleId="39">
    <w:name w:val="toc 9"/>
    <w:basedOn w:val="1"/>
    <w:next w:val="1"/>
    <w:autoRedefine/>
    <w:qFormat/>
    <w:uiPriority w:val="0"/>
    <w:pPr>
      <w:ind w:left="1600" w:leftChars="1600"/>
    </w:pPr>
    <w:rPr>
      <w:rFonts w:ascii="Calibri" w:hAnsi="Calibri"/>
      <w:szCs w:val="22"/>
    </w:rPr>
  </w:style>
  <w:style w:type="paragraph" w:styleId="40">
    <w:name w:val="Body Text 2"/>
    <w:basedOn w:val="1"/>
    <w:link w:val="101"/>
    <w:autoRedefine/>
    <w:qFormat/>
    <w:uiPriority w:val="0"/>
    <w:pPr>
      <w:spacing w:line="360" w:lineRule="auto"/>
    </w:pPr>
    <w:rPr>
      <w:rFonts w:ascii="仿宋_GB2312" w:eastAsia="仿宋_GB2312"/>
      <w:sz w:val="32"/>
    </w:rPr>
  </w:style>
  <w:style w:type="paragraph" w:styleId="41">
    <w:name w:val="HTML Preformatted"/>
    <w:basedOn w:val="1"/>
    <w:link w:val="13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2">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paragraph" w:styleId="43">
    <w:name w:val="index 2"/>
    <w:basedOn w:val="1"/>
    <w:next w:val="1"/>
    <w:autoRedefine/>
    <w:qFormat/>
    <w:uiPriority w:val="0"/>
    <w:pPr>
      <w:ind w:left="420" w:hanging="210"/>
      <w:jc w:val="left"/>
    </w:pPr>
    <w:rPr>
      <w:sz w:val="20"/>
      <w:szCs w:val="20"/>
    </w:rPr>
  </w:style>
  <w:style w:type="paragraph" w:styleId="44">
    <w:name w:val="Title"/>
    <w:basedOn w:val="1"/>
    <w:next w:val="1"/>
    <w:link w:val="125"/>
    <w:autoRedefine/>
    <w:qFormat/>
    <w:uiPriority w:val="0"/>
    <w:pPr>
      <w:spacing w:before="240" w:after="60"/>
      <w:jc w:val="center"/>
      <w:outlineLvl w:val="0"/>
    </w:pPr>
    <w:rPr>
      <w:rFonts w:ascii="Cambria" w:hAnsi="Cambria"/>
      <w:b/>
      <w:bCs/>
      <w:sz w:val="32"/>
      <w:szCs w:val="32"/>
    </w:rPr>
  </w:style>
  <w:style w:type="paragraph" w:styleId="45">
    <w:name w:val="Body Text First Indent 2"/>
    <w:basedOn w:val="19"/>
    <w:link w:val="60"/>
    <w:autoRedefine/>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table" w:styleId="47">
    <w:name w:val="Table Grid"/>
    <w:basedOn w:val="46"/>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autoRedefine/>
    <w:qFormat/>
    <w:uiPriority w:val="22"/>
    <w:rPr>
      <w:b/>
      <w:bCs/>
    </w:rPr>
  </w:style>
  <w:style w:type="character" w:styleId="50">
    <w:name w:val="page number"/>
    <w:basedOn w:val="48"/>
    <w:autoRedefine/>
    <w:qFormat/>
    <w:uiPriority w:val="0"/>
  </w:style>
  <w:style w:type="character" w:styleId="51">
    <w:name w:val="Emphasis"/>
    <w:autoRedefine/>
    <w:qFormat/>
    <w:uiPriority w:val="20"/>
    <w:rPr>
      <w:i/>
      <w:iCs/>
    </w:rPr>
  </w:style>
  <w:style w:type="character" w:styleId="52">
    <w:name w:val="Hyperlink"/>
    <w:autoRedefine/>
    <w:qFormat/>
    <w:uiPriority w:val="99"/>
    <w:rPr>
      <w:color w:val="0000FF"/>
      <w:u w:val="single"/>
    </w:rPr>
  </w:style>
  <w:style w:type="character" w:styleId="53">
    <w:name w:val="annotation reference"/>
    <w:autoRedefine/>
    <w:qFormat/>
    <w:uiPriority w:val="0"/>
    <w:rPr>
      <w:sz w:val="21"/>
      <w:szCs w:val="21"/>
    </w:rPr>
  </w:style>
  <w:style w:type="paragraph" w:customStyle="1" w:styleId="54">
    <w:name w:val="Default"/>
    <w:autoRedefine/>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character" w:customStyle="1" w:styleId="55">
    <w:name w:val="标题 1 Char Char"/>
    <w:autoRedefine/>
    <w:qFormat/>
    <w:uiPriority w:val="0"/>
    <w:rPr>
      <w:rFonts w:eastAsia="宋体"/>
      <w:b/>
      <w:bCs/>
      <w:kern w:val="44"/>
      <w:sz w:val="44"/>
      <w:szCs w:val="44"/>
      <w:lang w:val="en-US" w:eastAsia="zh-CN" w:bidi="ar-SA"/>
    </w:rPr>
  </w:style>
  <w:style w:type="character" w:customStyle="1" w:styleId="56">
    <w:name w:val="标题 4 Char Char"/>
    <w:autoRedefine/>
    <w:qFormat/>
    <w:uiPriority w:val="0"/>
    <w:rPr>
      <w:rFonts w:ascii="Arial" w:hAnsi="Arial" w:eastAsia="黑体"/>
      <w:b/>
      <w:bCs/>
      <w:kern w:val="2"/>
      <w:sz w:val="28"/>
      <w:szCs w:val="28"/>
      <w:lang w:val="en-US" w:eastAsia="zh-CN" w:bidi="ar-SA"/>
    </w:rPr>
  </w:style>
  <w:style w:type="character" w:customStyle="1" w:styleId="57">
    <w:name w:val="font11"/>
    <w:basedOn w:val="48"/>
    <w:autoRedefine/>
    <w:qFormat/>
    <w:uiPriority w:val="0"/>
    <w:rPr>
      <w:rFonts w:hint="eastAsia" w:ascii="宋体" w:hAnsi="宋体" w:eastAsia="宋体"/>
      <w:color w:val="000000"/>
      <w:sz w:val="24"/>
      <w:szCs w:val="24"/>
      <w:u w:val="none"/>
    </w:rPr>
  </w:style>
  <w:style w:type="character" w:customStyle="1" w:styleId="58">
    <w:name w:val="标题 5 Char Char"/>
    <w:autoRedefine/>
    <w:qFormat/>
    <w:uiPriority w:val="0"/>
    <w:rPr>
      <w:rFonts w:eastAsia="宋体"/>
      <w:b/>
      <w:bCs/>
      <w:kern w:val="2"/>
      <w:sz w:val="28"/>
      <w:szCs w:val="28"/>
      <w:lang w:val="en-US" w:eastAsia="zh-CN" w:bidi="ar-SA"/>
    </w:rPr>
  </w:style>
  <w:style w:type="character" w:customStyle="1" w:styleId="59">
    <w:name w:val="ca-5"/>
    <w:basedOn w:val="48"/>
    <w:autoRedefine/>
    <w:qFormat/>
    <w:uiPriority w:val="0"/>
  </w:style>
  <w:style w:type="character" w:customStyle="1" w:styleId="60">
    <w:name w:val="正文首行缩进 2 Char"/>
    <w:link w:val="45"/>
    <w:autoRedefine/>
    <w:qFormat/>
    <w:uiPriority w:val="0"/>
    <w:rPr>
      <w:rFonts w:ascii="Calibri" w:hAnsi="Calibri" w:eastAsia="仿宋_GB2312"/>
      <w:kern w:val="2"/>
      <w:sz w:val="21"/>
      <w:szCs w:val="22"/>
      <w:lang w:val="en-US" w:eastAsia="zh-CN" w:bidi="ar-SA"/>
    </w:rPr>
  </w:style>
  <w:style w:type="character" w:customStyle="1" w:styleId="61">
    <w:name w:val="已访问的超链接1"/>
    <w:autoRedefine/>
    <w:qFormat/>
    <w:uiPriority w:val="0"/>
    <w:rPr>
      <w:color w:val="800080"/>
      <w:u w:val="single"/>
    </w:rPr>
  </w:style>
  <w:style w:type="character" w:customStyle="1" w:styleId="62">
    <w:name w:val="正文首行缩进 Char Char"/>
    <w:autoRedefine/>
    <w:qFormat/>
    <w:uiPriority w:val="0"/>
    <w:rPr>
      <w:rFonts w:eastAsia="仿宋_GB2312"/>
      <w:kern w:val="2"/>
      <w:sz w:val="28"/>
      <w:szCs w:val="24"/>
      <w:lang w:bidi="ar-SA"/>
    </w:rPr>
  </w:style>
  <w:style w:type="character" w:customStyle="1" w:styleId="63">
    <w:name w:val="日期 Char"/>
    <w:link w:val="26"/>
    <w:autoRedefine/>
    <w:qFormat/>
    <w:uiPriority w:val="0"/>
    <w:rPr>
      <w:kern w:val="2"/>
      <w:sz w:val="21"/>
      <w:szCs w:val="24"/>
    </w:rPr>
  </w:style>
  <w:style w:type="character" w:customStyle="1" w:styleId="64">
    <w:name w:val="正文文本缩进 3 Char Char"/>
    <w:autoRedefine/>
    <w:qFormat/>
    <w:uiPriority w:val="0"/>
    <w:rPr>
      <w:kern w:val="2"/>
      <w:sz w:val="16"/>
      <w:szCs w:val="16"/>
      <w:lang w:bidi="ar-SA"/>
    </w:rPr>
  </w:style>
  <w:style w:type="character" w:customStyle="1" w:styleId="65">
    <w:name w:val="文档正文 Char1"/>
    <w:link w:val="66"/>
    <w:autoRedefine/>
    <w:qFormat/>
    <w:uiPriority w:val="0"/>
    <w:rPr>
      <w:rFonts w:ascii="Arial Narrow" w:hAnsi="Arial Narrow"/>
      <w:sz w:val="24"/>
      <w:szCs w:val="24"/>
      <w:lang w:val="en-US" w:eastAsia="zh-CN" w:bidi="ar-SA"/>
    </w:rPr>
  </w:style>
  <w:style w:type="paragraph" w:customStyle="1" w:styleId="66">
    <w:name w:val="文档正文"/>
    <w:link w:val="65"/>
    <w:autoRedefine/>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7">
    <w:name w:val="正文文本 Char Char"/>
    <w:autoRedefine/>
    <w:qFormat/>
    <w:uiPriority w:val="0"/>
    <w:rPr>
      <w:rFonts w:eastAsia="宋体"/>
      <w:kern w:val="2"/>
      <w:sz w:val="21"/>
      <w:szCs w:val="24"/>
      <w:lang w:val="en-US" w:eastAsia="zh-CN" w:bidi="ar-SA"/>
    </w:rPr>
  </w:style>
  <w:style w:type="character" w:customStyle="1" w:styleId="68">
    <w:name w:val="样式 样式 宋体 小四 行距: 1.5 倍行距 + ˎ̥ 黑色 Char Char"/>
    <w:link w:val="69"/>
    <w:autoRedefine/>
    <w:qFormat/>
    <w:uiPriority w:val="0"/>
    <w:rPr>
      <w:rFonts w:ascii="Calibri" w:hAnsi="Calibri" w:eastAsia="仿宋_GB2312"/>
      <w:kern w:val="2"/>
      <w:sz w:val="21"/>
      <w:szCs w:val="22"/>
      <w:lang w:val="en-US" w:eastAsia="zh-CN" w:bidi="ar-SA"/>
    </w:rPr>
  </w:style>
  <w:style w:type="paragraph" w:customStyle="1" w:styleId="69">
    <w:name w:val="样式 样式 宋体 小四 行距: 1.5 倍行距 + ˎ̥ 黑色"/>
    <w:basedOn w:val="45"/>
    <w:link w:val="68"/>
    <w:autoRedefine/>
    <w:qFormat/>
    <w:uiPriority w:val="0"/>
  </w:style>
  <w:style w:type="character" w:customStyle="1" w:styleId="70">
    <w:name w:val="style71"/>
    <w:autoRedefine/>
    <w:qFormat/>
    <w:uiPriority w:val="0"/>
    <w:rPr>
      <w:sz w:val="21"/>
      <w:szCs w:val="21"/>
    </w:rPr>
  </w:style>
  <w:style w:type="character" w:customStyle="1" w:styleId="71">
    <w:name w:val="正文文本缩进 2 Char"/>
    <w:link w:val="27"/>
    <w:autoRedefine/>
    <w:qFormat/>
    <w:uiPriority w:val="0"/>
    <w:rPr>
      <w:rFonts w:eastAsia="仿宋_GB2312"/>
      <w:kern w:val="2"/>
      <w:sz w:val="30"/>
      <w:lang w:val="en-US" w:eastAsia="zh-CN" w:bidi="ar-SA"/>
    </w:rPr>
  </w:style>
  <w:style w:type="character" w:customStyle="1" w:styleId="72">
    <w:name w:val="正文文本缩进 3 Char"/>
    <w:link w:val="37"/>
    <w:autoRedefine/>
    <w:qFormat/>
    <w:uiPriority w:val="0"/>
    <w:rPr>
      <w:rFonts w:ascii="宋体" w:hAnsi="宋体" w:eastAsia="宋体"/>
      <w:kern w:val="2"/>
      <w:sz w:val="21"/>
      <w:szCs w:val="24"/>
      <w:lang w:val="en-US" w:eastAsia="zh-CN" w:bidi="ar-SA"/>
    </w:rPr>
  </w:style>
  <w:style w:type="character" w:customStyle="1" w:styleId="73">
    <w:name w:val="ca-9"/>
    <w:basedOn w:val="48"/>
    <w:autoRedefine/>
    <w:qFormat/>
    <w:uiPriority w:val="0"/>
  </w:style>
  <w:style w:type="character" w:customStyle="1" w:styleId="74">
    <w:name w:val="纯文本 Char"/>
    <w:link w:val="24"/>
    <w:autoRedefine/>
    <w:qFormat/>
    <w:uiPriority w:val="0"/>
    <w:rPr>
      <w:rFonts w:ascii="宋体" w:hAnsi="Courier New" w:eastAsia="宋体"/>
      <w:kern w:val="2"/>
      <w:sz w:val="21"/>
      <w:lang w:val="en-US" w:eastAsia="zh-CN" w:bidi="ar-SA"/>
    </w:rPr>
  </w:style>
  <w:style w:type="character" w:customStyle="1" w:styleId="75">
    <w:name w:val="页脚 Char Char"/>
    <w:autoRedefine/>
    <w:qFormat/>
    <w:uiPriority w:val="0"/>
    <w:rPr>
      <w:rFonts w:eastAsia="宋体"/>
      <w:sz w:val="18"/>
      <w:szCs w:val="18"/>
      <w:lang w:bidi="ar-SA"/>
    </w:rPr>
  </w:style>
  <w:style w:type="character" w:customStyle="1" w:styleId="76">
    <w:name w:val="正文文本 Char"/>
    <w:link w:val="3"/>
    <w:autoRedefine/>
    <w:qFormat/>
    <w:uiPriority w:val="0"/>
    <w:rPr>
      <w:rFonts w:eastAsia="宋体"/>
      <w:kern w:val="2"/>
      <w:sz w:val="21"/>
      <w:szCs w:val="24"/>
      <w:lang w:val="en-US" w:eastAsia="zh-CN" w:bidi="ar-SA"/>
    </w:rPr>
  </w:style>
  <w:style w:type="character" w:customStyle="1" w:styleId="77">
    <w:name w:val="标题 2 Char Char"/>
    <w:autoRedefine/>
    <w:qFormat/>
    <w:uiPriority w:val="0"/>
    <w:rPr>
      <w:rFonts w:ascii="Cambria" w:hAnsi="Cambria" w:eastAsia="宋体"/>
      <w:b/>
      <w:bCs/>
      <w:kern w:val="2"/>
      <w:sz w:val="32"/>
      <w:szCs w:val="32"/>
      <w:lang w:val="en-US" w:eastAsia="zh-CN" w:bidi="ar-SA"/>
    </w:rPr>
  </w:style>
  <w:style w:type="character" w:customStyle="1" w:styleId="78">
    <w:name w:val="标题 1 1 Char"/>
    <w:autoRedefine/>
    <w:qFormat/>
    <w:uiPriority w:val="0"/>
    <w:rPr>
      <w:rFonts w:ascii="黑体" w:eastAsia="黑体"/>
      <w:bCs/>
      <w:kern w:val="44"/>
      <w:sz w:val="24"/>
      <w:lang w:val="en-US" w:eastAsia="zh-CN" w:bidi="ar-SA"/>
    </w:rPr>
  </w:style>
  <w:style w:type="character" w:customStyle="1" w:styleId="79">
    <w:name w:val="Char Char14"/>
    <w:autoRedefine/>
    <w:qFormat/>
    <w:uiPriority w:val="0"/>
    <w:rPr>
      <w:rFonts w:ascii="宋体" w:eastAsia="宋体"/>
      <w:sz w:val="34"/>
      <w:lang w:val="en-US" w:eastAsia="zh-CN" w:bidi="ar-SA"/>
    </w:rPr>
  </w:style>
  <w:style w:type="character" w:customStyle="1" w:styleId="80">
    <w:name w:val="content"/>
    <w:autoRedefine/>
    <w:qFormat/>
    <w:uiPriority w:val="0"/>
  </w:style>
  <w:style w:type="character" w:customStyle="1" w:styleId="81">
    <w:name w:val="Char Char5"/>
    <w:autoRedefine/>
    <w:qFormat/>
    <w:uiPriority w:val="0"/>
    <w:rPr>
      <w:rFonts w:eastAsia="宋体"/>
      <w:kern w:val="2"/>
      <w:sz w:val="18"/>
      <w:lang w:val="en-US" w:eastAsia="zh-CN" w:bidi="ar-SA"/>
    </w:rPr>
  </w:style>
  <w:style w:type="character" w:customStyle="1" w:styleId="82">
    <w:name w:val="c_666"/>
    <w:basedOn w:val="48"/>
    <w:autoRedefine/>
    <w:qFormat/>
    <w:uiPriority w:val="0"/>
  </w:style>
  <w:style w:type="character" w:customStyle="1" w:styleId="83">
    <w:name w:val="ALT+Z Char"/>
    <w:autoRedefine/>
    <w:qFormat/>
    <w:uiPriority w:val="0"/>
    <w:rPr>
      <w:rFonts w:ascii="宋体"/>
      <w:sz w:val="34"/>
    </w:rPr>
  </w:style>
  <w:style w:type="character" w:customStyle="1" w:styleId="84">
    <w:name w:val="正文（缩进） Char Char"/>
    <w:link w:val="85"/>
    <w:autoRedefine/>
    <w:qFormat/>
    <w:uiPriority w:val="0"/>
    <w:rPr>
      <w:rFonts w:eastAsia="宋体"/>
      <w:kern w:val="2"/>
      <w:sz w:val="24"/>
      <w:szCs w:val="24"/>
      <w:lang w:val="en-US" w:eastAsia="zh-CN" w:bidi="ar-SA"/>
    </w:rPr>
  </w:style>
  <w:style w:type="paragraph" w:customStyle="1" w:styleId="85">
    <w:name w:val="正文（缩进）"/>
    <w:basedOn w:val="1"/>
    <w:link w:val="84"/>
    <w:autoRedefine/>
    <w:qFormat/>
    <w:uiPriority w:val="0"/>
    <w:pPr>
      <w:spacing w:beforeLines="50" w:afterLines="50" w:line="360" w:lineRule="auto"/>
      <w:ind w:firstLine="480" w:firstLineChars="200"/>
    </w:pPr>
    <w:rPr>
      <w:sz w:val="24"/>
    </w:rPr>
  </w:style>
  <w:style w:type="character" w:customStyle="1" w:styleId="86">
    <w:name w:val="批注框文本 Char"/>
    <w:link w:val="28"/>
    <w:autoRedefine/>
    <w:qFormat/>
    <w:uiPriority w:val="0"/>
    <w:rPr>
      <w:rFonts w:eastAsia="宋体"/>
      <w:kern w:val="2"/>
      <w:sz w:val="18"/>
      <w:szCs w:val="18"/>
      <w:lang w:val="en-US" w:eastAsia="zh-CN" w:bidi="ar-SA"/>
    </w:rPr>
  </w:style>
  <w:style w:type="character" w:customStyle="1" w:styleId="87">
    <w:name w:val="表格内容"/>
    <w:autoRedefine/>
    <w:qFormat/>
    <w:uiPriority w:val="0"/>
    <w:rPr>
      <w:sz w:val="24"/>
    </w:rPr>
  </w:style>
  <w:style w:type="character" w:customStyle="1" w:styleId="88">
    <w:name w:val="ca-8"/>
    <w:basedOn w:val="48"/>
    <w:autoRedefine/>
    <w:qFormat/>
    <w:uiPriority w:val="0"/>
  </w:style>
  <w:style w:type="character" w:customStyle="1" w:styleId="89">
    <w:name w:val="不明显参考1"/>
    <w:autoRedefine/>
    <w:qFormat/>
    <w:uiPriority w:val="0"/>
    <w:rPr>
      <w:smallCaps/>
      <w:color w:val="C0504D"/>
      <w:u w:val="single"/>
    </w:rPr>
  </w:style>
  <w:style w:type="character" w:customStyle="1" w:styleId="90">
    <w:name w:val="标题 9 Char"/>
    <w:link w:val="13"/>
    <w:autoRedefine/>
    <w:qFormat/>
    <w:uiPriority w:val="0"/>
    <w:rPr>
      <w:rFonts w:ascii="Arial" w:hAnsi="Arial" w:eastAsia="黑体"/>
      <w:kern w:val="2"/>
      <w:sz w:val="21"/>
      <w:lang w:val="en-US" w:eastAsia="zh-CN" w:bidi="ar-SA"/>
    </w:rPr>
  </w:style>
  <w:style w:type="character" w:customStyle="1" w:styleId="91">
    <w:name w:val="标题 6 Char"/>
    <w:link w:val="10"/>
    <w:autoRedefine/>
    <w:qFormat/>
    <w:uiPriority w:val="0"/>
    <w:rPr>
      <w:rFonts w:ascii="Arial" w:hAnsi="Arial" w:eastAsia="黑体"/>
      <w:b/>
      <w:kern w:val="2"/>
      <w:sz w:val="24"/>
      <w:lang w:val="en-US" w:eastAsia="zh-CN" w:bidi="ar-SA"/>
    </w:rPr>
  </w:style>
  <w:style w:type="character" w:customStyle="1" w:styleId="92">
    <w:name w:val="ca-10"/>
    <w:basedOn w:val="48"/>
    <w:autoRedefine/>
    <w:qFormat/>
    <w:uiPriority w:val="0"/>
  </w:style>
  <w:style w:type="character" w:customStyle="1" w:styleId="93">
    <w:name w:val="标题 4 Char"/>
    <w:link w:val="8"/>
    <w:autoRedefine/>
    <w:qFormat/>
    <w:uiPriority w:val="0"/>
    <w:rPr>
      <w:rFonts w:ascii="Arial" w:hAnsi="Arial" w:eastAsia="黑体"/>
      <w:b/>
      <w:kern w:val="2"/>
      <w:sz w:val="28"/>
      <w:lang w:val="en-US" w:eastAsia="zh-CN" w:bidi="ar-SA"/>
    </w:rPr>
  </w:style>
  <w:style w:type="character" w:customStyle="1" w:styleId="94">
    <w:name w:val="批注文字 Char Char"/>
    <w:autoRedefine/>
    <w:qFormat/>
    <w:uiPriority w:val="0"/>
    <w:rPr>
      <w:kern w:val="2"/>
      <w:sz w:val="21"/>
      <w:lang w:bidi="ar-SA"/>
    </w:rPr>
  </w:style>
  <w:style w:type="character" w:customStyle="1" w:styleId="95">
    <w:name w:val="style18"/>
    <w:autoRedefine/>
    <w:qFormat/>
    <w:uiPriority w:val="0"/>
  </w:style>
  <w:style w:type="character" w:customStyle="1" w:styleId="96">
    <w:name w:val="font21"/>
    <w:basedOn w:val="48"/>
    <w:autoRedefine/>
    <w:qFormat/>
    <w:uiPriority w:val="0"/>
    <w:rPr>
      <w:rFonts w:hint="default" w:ascii="Arial" w:hAnsi="Arial" w:cs="Arial"/>
      <w:color w:val="000000"/>
      <w:sz w:val="24"/>
      <w:szCs w:val="24"/>
      <w:u w:val="none"/>
    </w:rPr>
  </w:style>
  <w:style w:type="character" w:customStyle="1" w:styleId="97">
    <w:name w:val="ca-11"/>
    <w:basedOn w:val="48"/>
    <w:autoRedefine/>
    <w:qFormat/>
    <w:uiPriority w:val="0"/>
  </w:style>
  <w:style w:type="character" w:customStyle="1" w:styleId="98">
    <w:name w:val="标题 8 Char"/>
    <w:link w:val="12"/>
    <w:autoRedefine/>
    <w:qFormat/>
    <w:uiPriority w:val="0"/>
    <w:rPr>
      <w:rFonts w:ascii="Arial" w:hAnsi="Arial" w:eastAsia="黑体"/>
      <w:kern w:val="2"/>
      <w:sz w:val="24"/>
      <w:lang w:val="en-US" w:eastAsia="zh-CN" w:bidi="ar-SA"/>
    </w:rPr>
  </w:style>
  <w:style w:type="character" w:customStyle="1" w:styleId="99">
    <w:name w:val="类目1 Char Char"/>
    <w:link w:val="100"/>
    <w:autoRedefine/>
    <w:qFormat/>
    <w:uiPriority w:val="0"/>
    <w:rPr>
      <w:b/>
      <w:color w:val="17365D"/>
      <w:kern w:val="2"/>
      <w:sz w:val="28"/>
      <w:szCs w:val="28"/>
      <w:lang w:bidi="ar-SA"/>
    </w:rPr>
  </w:style>
  <w:style w:type="paragraph" w:customStyle="1" w:styleId="100">
    <w:name w:val="类目1"/>
    <w:basedOn w:val="1"/>
    <w:link w:val="99"/>
    <w:autoRedefine/>
    <w:qFormat/>
    <w:uiPriority w:val="0"/>
    <w:pPr>
      <w:adjustRightInd w:val="0"/>
      <w:snapToGrid w:val="0"/>
      <w:spacing w:line="220" w:lineRule="atLeast"/>
    </w:pPr>
    <w:rPr>
      <w:b/>
      <w:color w:val="17365D"/>
      <w:sz w:val="28"/>
      <w:szCs w:val="28"/>
    </w:rPr>
  </w:style>
  <w:style w:type="character" w:customStyle="1" w:styleId="101">
    <w:name w:val="正文文本 2 Char"/>
    <w:link w:val="40"/>
    <w:autoRedefine/>
    <w:qFormat/>
    <w:uiPriority w:val="0"/>
    <w:rPr>
      <w:rFonts w:ascii="仿宋_GB2312" w:eastAsia="仿宋_GB2312"/>
      <w:kern w:val="2"/>
      <w:sz w:val="32"/>
      <w:szCs w:val="24"/>
      <w:lang w:val="en-US" w:eastAsia="zh-CN" w:bidi="ar-SA"/>
    </w:rPr>
  </w:style>
  <w:style w:type="character" w:customStyle="1" w:styleId="102">
    <w:name w:val="标题 2 Char"/>
    <w:link w:val="5"/>
    <w:autoRedefine/>
    <w:qFormat/>
    <w:uiPriority w:val="0"/>
    <w:rPr>
      <w:rFonts w:ascii="黑体" w:hAnsi="宋体" w:eastAsia="黑体"/>
      <w:bCs/>
      <w:kern w:val="44"/>
      <w:sz w:val="21"/>
      <w:szCs w:val="24"/>
    </w:rPr>
  </w:style>
  <w:style w:type="character" w:customStyle="1" w:styleId="103">
    <w:name w:val="lineitems1"/>
    <w:autoRedefine/>
    <w:qFormat/>
    <w:uiPriority w:val="0"/>
    <w:rPr>
      <w:sz w:val="17"/>
      <w:szCs w:val="17"/>
    </w:rPr>
  </w:style>
  <w:style w:type="character" w:customStyle="1" w:styleId="104">
    <w:name w:val="题注 Char1"/>
    <w:autoRedefine/>
    <w:qFormat/>
    <w:uiPriority w:val="0"/>
    <w:rPr>
      <w:rFonts w:ascii="Arial" w:hAnsi="Arial" w:eastAsia="宋体" w:cs="Arial"/>
      <w:kern w:val="2"/>
      <w:lang w:val="en-US" w:eastAsia="zh-CN" w:bidi="ar-SA"/>
    </w:rPr>
  </w:style>
  <w:style w:type="character" w:customStyle="1" w:styleId="105">
    <w:name w:val="标题 3 Char Char"/>
    <w:autoRedefine/>
    <w:qFormat/>
    <w:uiPriority w:val="0"/>
    <w:rPr>
      <w:rFonts w:eastAsia="宋体"/>
      <w:b/>
      <w:bCs/>
      <w:kern w:val="2"/>
      <w:sz w:val="32"/>
      <w:szCs w:val="32"/>
      <w:lang w:val="en-US" w:eastAsia="zh-CN" w:bidi="ar-SA"/>
    </w:rPr>
  </w:style>
  <w:style w:type="character" w:customStyle="1" w:styleId="106">
    <w:name w:val="标题 5 Char"/>
    <w:link w:val="9"/>
    <w:autoRedefine/>
    <w:qFormat/>
    <w:uiPriority w:val="0"/>
    <w:rPr>
      <w:rFonts w:eastAsia="宋体"/>
      <w:b/>
      <w:kern w:val="2"/>
      <w:sz w:val="28"/>
      <w:lang w:val="en-US" w:eastAsia="zh-CN" w:bidi="ar-SA"/>
    </w:rPr>
  </w:style>
  <w:style w:type="character" w:customStyle="1" w:styleId="107">
    <w:name w:val="p12"/>
    <w:basedOn w:val="48"/>
    <w:autoRedefine/>
    <w:qFormat/>
    <w:uiPriority w:val="0"/>
  </w:style>
  <w:style w:type="character" w:customStyle="1" w:styleId="108">
    <w:name w:val="正文缩进 Char2"/>
    <w:link w:val="109"/>
    <w:autoRedefine/>
    <w:qFormat/>
    <w:uiPriority w:val="0"/>
    <w:rPr>
      <w:rFonts w:ascii="宋体" w:eastAsia="宋体"/>
      <w:sz w:val="34"/>
      <w:lang w:bidi="ar-SA"/>
    </w:rPr>
  </w:style>
  <w:style w:type="paragraph" w:customStyle="1" w:styleId="109">
    <w:name w:val="Normal Indent1"/>
    <w:basedOn w:val="1"/>
    <w:link w:val="108"/>
    <w:autoRedefine/>
    <w:qFormat/>
    <w:uiPriority w:val="0"/>
    <w:pPr>
      <w:autoSpaceDE w:val="0"/>
      <w:autoSpaceDN w:val="0"/>
      <w:adjustRightInd w:val="0"/>
      <w:ind w:firstLine="420"/>
      <w:jc w:val="left"/>
      <w:textAlignment w:val="baseline"/>
    </w:pPr>
    <w:rPr>
      <w:rFonts w:ascii="宋体"/>
      <w:kern w:val="0"/>
      <w:sz w:val="34"/>
      <w:szCs w:val="20"/>
    </w:rPr>
  </w:style>
  <w:style w:type="character" w:customStyle="1" w:styleId="110">
    <w:name w:val="标题 9 Char Char"/>
    <w:autoRedefine/>
    <w:qFormat/>
    <w:uiPriority w:val="0"/>
    <w:rPr>
      <w:rFonts w:ascii="Arial" w:hAnsi="Arial" w:eastAsia="黑体"/>
      <w:kern w:val="2"/>
      <w:sz w:val="21"/>
      <w:szCs w:val="21"/>
      <w:lang w:val="en-US" w:eastAsia="zh-CN" w:bidi="ar-SA"/>
    </w:rPr>
  </w:style>
  <w:style w:type="character" w:customStyle="1" w:styleId="111">
    <w:name w:val="标题 7 Char"/>
    <w:link w:val="11"/>
    <w:autoRedefine/>
    <w:qFormat/>
    <w:uiPriority w:val="0"/>
    <w:rPr>
      <w:rFonts w:eastAsia="宋体"/>
      <w:b/>
      <w:kern w:val="2"/>
      <w:sz w:val="24"/>
      <w:lang w:val="en-US" w:eastAsia="zh-CN" w:bidi="ar-SA"/>
    </w:rPr>
  </w:style>
  <w:style w:type="character" w:customStyle="1" w:styleId="112">
    <w:name w:val="flname7"/>
    <w:basedOn w:val="48"/>
    <w:autoRedefine/>
    <w:qFormat/>
    <w:uiPriority w:val="0"/>
  </w:style>
  <w:style w:type="character" w:customStyle="1" w:styleId="113">
    <w:name w:val="正文缩进 Char"/>
    <w:link w:val="6"/>
    <w:autoRedefine/>
    <w:qFormat/>
    <w:uiPriority w:val="0"/>
    <w:rPr>
      <w:rFonts w:ascii="宋体" w:eastAsia="宋体"/>
      <w:sz w:val="34"/>
      <w:lang w:val="en-US" w:eastAsia="zh-CN" w:bidi="ar-SA"/>
    </w:rPr>
  </w:style>
  <w:style w:type="character" w:customStyle="1" w:styleId="114">
    <w:name w:val="样式5 Char Char"/>
    <w:link w:val="115"/>
    <w:autoRedefine/>
    <w:qFormat/>
    <w:uiPriority w:val="0"/>
    <w:rPr>
      <w:rFonts w:ascii="宋体" w:hAnsi="宋体" w:eastAsia="宋体" w:cs="Arial"/>
      <w:b/>
      <w:kern w:val="2"/>
      <w:sz w:val="24"/>
      <w:szCs w:val="24"/>
      <w:lang w:val="en-US" w:eastAsia="zh-CN" w:bidi="ar-SA"/>
    </w:rPr>
  </w:style>
  <w:style w:type="paragraph" w:customStyle="1" w:styleId="115">
    <w:name w:val="样式5"/>
    <w:basedOn w:val="1"/>
    <w:link w:val="114"/>
    <w:autoRedefine/>
    <w:qFormat/>
    <w:uiPriority w:val="0"/>
    <w:pPr>
      <w:spacing w:line="400" w:lineRule="exact"/>
      <w:ind w:left="482"/>
    </w:pPr>
    <w:rPr>
      <w:rFonts w:ascii="宋体" w:hAnsi="宋体" w:cs="Arial"/>
      <w:b/>
      <w:sz w:val="24"/>
    </w:rPr>
  </w:style>
  <w:style w:type="character" w:customStyle="1" w:styleId="116">
    <w:name w:val="text1"/>
    <w:autoRedefine/>
    <w:qFormat/>
    <w:uiPriority w:val="0"/>
    <w:rPr>
      <w:sz w:val="20"/>
      <w:szCs w:val="20"/>
    </w:rPr>
  </w:style>
  <w:style w:type="character" w:customStyle="1" w:styleId="117">
    <w:name w:val="样式2"/>
    <w:autoRedefine/>
    <w:qFormat/>
    <w:uiPriority w:val="0"/>
    <w:rPr>
      <w:rFonts w:eastAsia="华文楷体"/>
      <w:b/>
      <w:sz w:val="32"/>
    </w:rPr>
  </w:style>
  <w:style w:type="character" w:customStyle="1" w:styleId="118">
    <w:name w:val="页眉 Char Char"/>
    <w:autoRedefine/>
    <w:qFormat/>
    <w:uiPriority w:val="0"/>
    <w:rPr>
      <w:rFonts w:eastAsia="宋体"/>
      <w:sz w:val="18"/>
      <w:szCs w:val="18"/>
      <w:lang w:bidi="ar-SA"/>
    </w:rPr>
  </w:style>
  <w:style w:type="character" w:customStyle="1" w:styleId="119">
    <w:name w:val="标题 3 Char"/>
    <w:link w:val="7"/>
    <w:autoRedefine/>
    <w:qFormat/>
    <w:uiPriority w:val="0"/>
    <w:rPr>
      <w:rFonts w:ascii="黑体" w:eastAsia="黑体"/>
      <w:bCs/>
      <w:color w:val="000000"/>
      <w:kern w:val="2"/>
      <w:sz w:val="21"/>
      <w:szCs w:val="24"/>
    </w:rPr>
  </w:style>
  <w:style w:type="character" w:customStyle="1" w:styleId="120">
    <w:name w:val="书籍标题3 Char1"/>
    <w:link w:val="121"/>
    <w:autoRedefine/>
    <w:qFormat/>
    <w:uiPriority w:val="0"/>
    <w:rPr>
      <w:b/>
      <w:bCs/>
      <w:spacing w:val="20"/>
      <w:kern w:val="2"/>
      <w:sz w:val="28"/>
      <w:szCs w:val="28"/>
    </w:rPr>
  </w:style>
  <w:style w:type="paragraph" w:customStyle="1" w:styleId="121">
    <w:name w:val="书籍标题3"/>
    <w:basedOn w:val="122"/>
    <w:link w:val="120"/>
    <w:autoRedefine/>
    <w:qFormat/>
    <w:uiPriority w:val="0"/>
    <w:pPr>
      <w:numPr>
        <w:ilvl w:val="2"/>
      </w:numPr>
      <w:tabs>
        <w:tab w:val="left" w:pos="840"/>
      </w:tabs>
      <w:outlineLvl w:val="2"/>
    </w:pPr>
    <w:rPr>
      <w:rFonts w:cs="Times New Roman"/>
      <w:sz w:val="28"/>
      <w:szCs w:val="28"/>
    </w:rPr>
  </w:style>
  <w:style w:type="paragraph" w:customStyle="1" w:styleId="122">
    <w:name w:val="书籍标题2"/>
    <w:basedOn w:val="1"/>
    <w:autoRedefine/>
    <w:qFormat/>
    <w:uiPriority w:val="0"/>
    <w:pPr>
      <w:numPr>
        <w:ilvl w:val="1"/>
        <w:numId w:val="5"/>
      </w:numPr>
      <w:spacing w:beforeLines="100" w:afterLines="100"/>
      <w:jc w:val="left"/>
      <w:outlineLvl w:val="1"/>
    </w:pPr>
    <w:rPr>
      <w:rFonts w:cs="宋体"/>
      <w:b/>
      <w:bCs/>
      <w:spacing w:val="20"/>
      <w:sz w:val="32"/>
      <w:szCs w:val="20"/>
    </w:rPr>
  </w:style>
  <w:style w:type="character" w:customStyle="1" w:styleId="123">
    <w:name w:val="正文文本缩进 Char"/>
    <w:link w:val="19"/>
    <w:autoRedefine/>
    <w:qFormat/>
    <w:uiPriority w:val="0"/>
    <w:rPr>
      <w:rFonts w:ascii="仿宋_GB2312" w:eastAsia="仿宋_GB2312"/>
      <w:sz w:val="28"/>
      <w:lang w:val="en-US" w:eastAsia="zh-CN" w:bidi="ar-SA"/>
    </w:rPr>
  </w:style>
  <w:style w:type="character" w:customStyle="1" w:styleId="124">
    <w:name w:val="页眉 Char"/>
    <w:link w:val="30"/>
    <w:autoRedefine/>
    <w:qFormat/>
    <w:uiPriority w:val="99"/>
    <w:rPr>
      <w:rFonts w:eastAsia="宋体"/>
      <w:kern w:val="2"/>
      <w:sz w:val="18"/>
      <w:lang w:val="en-US" w:eastAsia="zh-CN" w:bidi="ar-SA"/>
    </w:rPr>
  </w:style>
  <w:style w:type="character" w:customStyle="1" w:styleId="125">
    <w:name w:val="标题 Char"/>
    <w:link w:val="44"/>
    <w:autoRedefine/>
    <w:qFormat/>
    <w:uiPriority w:val="0"/>
    <w:rPr>
      <w:rFonts w:ascii="Cambria" w:hAnsi="Cambria"/>
      <w:b/>
      <w:bCs/>
      <w:kern w:val="2"/>
      <w:sz w:val="32"/>
      <w:szCs w:val="32"/>
    </w:rPr>
  </w:style>
  <w:style w:type="character" w:customStyle="1" w:styleId="126">
    <w:name w:val="标题 8 Char Char"/>
    <w:autoRedefine/>
    <w:qFormat/>
    <w:uiPriority w:val="0"/>
    <w:rPr>
      <w:rFonts w:ascii="Arial" w:hAnsi="Arial" w:eastAsia="黑体"/>
      <w:kern w:val="2"/>
      <w:sz w:val="24"/>
      <w:szCs w:val="24"/>
      <w:lang w:val="en-US" w:eastAsia="zh-CN" w:bidi="ar-SA"/>
    </w:rPr>
  </w:style>
  <w:style w:type="character" w:customStyle="1" w:styleId="127">
    <w:name w:val="正文文本缩进 2 Char Char"/>
    <w:autoRedefine/>
    <w:qFormat/>
    <w:uiPriority w:val="0"/>
    <w:rPr>
      <w:rFonts w:eastAsia="仿宋_GB2312"/>
      <w:sz w:val="30"/>
      <w:lang w:bidi="ar-SA"/>
    </w:rPr>
  </w:style>
  <w:style w:type="character" w:customStyle="1" w:styleId="128">
    <w:name w:val="标题 7 Char Char"/>
    <w:autoRedefine/>
    <w:qFormat/>
    <w:uiPriority w:val="0"/>
    <w:rPr>
      <w:rFonts w:eastAsia="宋体"/>
      <w:b/>
      <w:bCs/>
      <w:kern w:val="2"/>
      <w:sz w:val="24"/>
      <w:szCs w:val="24"/>
      <w:lang w:val="en-US" w:eastAsia="zh-CN" w:bidi="ar-SA"/>
    </w:rPr>
  </w:style>
  <w:style w:type="character" w:customStyle="1" w:styleId="129">
    <w:name w:val="HTML 地址 Char"/>
    <w:link w:val="21"/>
    <w:autoRedefine/>
    <w:qFormat/>
    <w:uiPriority w:val="0"/>
    <w:rPr>
      <w:i/>
      <w:kern w:val="2"/>
      <w:sz w:val="21"/>
      <w:szCs w:val="24"/>
    </w:rPr>
  </w:style>
  <w:style w:type="character" w:customStyle="1" w:styleId="130">
    <w:name w:val="标题 1 Char"/>
    <w:link w:val="4"/>
    <w:autoRedefine/>
    <w:qFormat/>
    <w:uiPriority w:val="0"/>
    <w:rPr>
      <w:rFonts w:ascii="黑体" w:eastAsia="黑体"/>
      <w:bCs/>
      <w:kern w:val="44"/>
      <w:sz w:val="24"/>
      <w:szCs w:val="24"/>
    </w:rPr>
  </w:style>
  <w:style w:type="character" w:customStyle="1" w:styleId="131">
    <w:name w:val="批注文字 Char"/>
    <w:link w:val="18"/>
    <w:autoRedefine/>
    <w:qFormat/>
    <w:uiPriority w:val="0"/>
    <w:rPr>
      <w:kern w:val="2"/>
      <w:sz w:val="24"/>
      <w:szCs w:val="24"/>
    </w:rPr>
  </w:style>
  <w:style w:type="character" w:customStyle="1" w:styleId="132">
    <w:name w:val="页脚 Char"/>
    <w:link w:val="29"/>
    <w:autoRedefine/>
    <w:qFormat/>
    <w:uiPriority w:val="0"/>
    <w:rPr>
      <w:rFonts w:eastAsia="宋体"/>
      <w:kern w:val="2"/>
      <w:sz w:val="18"/>
      <w:lang w:val="en-US" w:eastAsia="zh-CN" w:bidi="ar-SA"/>
    </w:rPr>
  </w:style>
  <w:style w:type="character" w:customStyle="1" w:styleId="133">
    <w:name w:val="正文首行缩进 Char"/>
    <w:link w:val="2"/>
    <w:autoRedefine/>
    <w:qFormat/>
    <w:uiPriority w:val="0"/>
    <w:rPr>
      <w:rFonts w:ascii="Calibri" w:hAnsi="Calibri" w:eastAsia="宋体"/>
      <w:kern w:val="2"/>
      <w:sz w:val="21"/>
      <w:szCs w:val="22"/>
      <w:lang w:val="en-US" w:eastAsia="zh-CN" w:bidi="ar-SA"/>
    </w:rPr>
  </w:style>
  <w:style w:type="character" w:customStyle="1" w:styleId="134">
    <w:name w:val="纯文本 Char Char"/>
    <w:autoRedefine/>
    <w:qFormat/>
    <w:uiPriority w:val="0"/>
    <w:rPr>
      <w:rFonts w:ascii="宋体" w:hAnsi="Courier New"/>
      <w:kern w:val="2"/>
      <w:sz w:val="21"/>
      <w:lang w:bidi="ar-SA"/>
    </w:rPr>
  </w:style>
  <w:style w:type="character" w:customStyle="1" w:styleId="135">
    <w:name w:val="HTML 预设格式 Char"/>
    <w:link w:val="41"/>
    <w:autoRedefine/>
    <w:qFormat/>
    <w:uiPriority w:val="0"/>
    <w:rPr>
      <w:rFonts w:ascii="黑体" w:hAnsi="Courier New" w:eastAsia="黑体" w:cs="Courier New"/>
      <w:kern w:val="2"/>
      <w:sz w:val="21"/>
      <w:szCs w:val="24"/>
      <w:lang w:val="en-US" w:eastAsia="zh-CN" w:bidi="ar-SA"/>
    </w:rPr>
  </w:style>
  <w:style w:type="character" w:customStyle="1" w:styleId="136">
    <w:name w:val="标题 6 Char Char"/>
    <w:autoRedefine/>
    <w:qFormat/>
    <w:uiPriority w:val="0"/>
    <w:rPr>
      <w:rFonts w:ascii="Arial" w:hAnsi="Arial" w:eastAsia="黑体"/>
      <w:b/>
      <w:bCs/>
      <w:kern w:val="2"/>
      <w:sz w:val="24"/>
      <w:szCs w:val="24"/>
      <w:lang w:val="en-US" w:eastAsia="zh-CN" w:bidi="ar-SA"/>
    </w:rPr>
  </w:style>
  <w:style w:type="character" w:customStyle="1" w:styleId="137">
    <w:name w:val="细目1 Char Char"/>
    <w:link w:val="138"/>
    <w:autoRedefine/>
    <w:qFormat/>
    <w:uiPriority w:val="0"/>
    <w:rPr>
      <w:b/>
      <w:color w:val="215868"/>
      <w:kern w:val="2"/>
      <w:sz w:val="24"/>
      <w:szCs w:val="24"/>
    </w:rPr>
  </w:style>
  <w:style w:type="paragraph" w:customStyle="1" w:styleId="138">
    <w:name w:val="细目1"/>
    <w:basedOn w:val="1"/>
    <w:link w:val="137"/>
    <w:autoRedefine/>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39">
    <w:name w:val="Char Char9"/>
    <w:autoRedefine/>
    <w:qFormat/>
    <w:uiPriority w:val="0"/>
    <w:rPr>
      <w:rFonts w:ascii="宋体" w:hAnsi="Courier New" w:eastAsia="宋体"/>
      <w:kern w:val="2"/>
      <w:sz w:val="21"/>
      <w:lang w:val="en-US" w:eastAsia="zh-CN" w:bidi="ar-SA"/>
    </w:rPr>
  </w:style>
  <w:style w:type="character" w:customStyle="1" w:styleId="140">
    <w:name w:val="apple-converted-space"/>
    <w:autoRedefine/>
    <w:qFormat/>
    <w:uiPriority w:val="0"/>
    <w:rPr>
      <w:rFonts w:cs="Times New Roman"/>
    </w:rPr>
  </w:style>
  <w:style w:type="paragraph" w:customStyle="1" w:styleId="141">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2">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3">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4">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5">
    <w:name w:val="xl12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6">
    <w:name w:val="Normal New New"/>
    <w:autoRedefine/>
    <w:qFormat/>
    <w:uiPriority w:val="0"/>
    <w:pPr>
      <w:jc w:val="both"/>
    </w:pPr>
    <w:rPr>
      <w:rFonts w:ascii="Times New Roman" w:hAnsi="Times New Roman" w:eastAsia="宋体" w:cs="Times New Roman"/>
      <w:kern w:val="2"/>
      <w:sz w:val="21"/>
      <w:lang w:val="en-US" w:eastAsia="zh-CN" w:bidi="ar-SA"/>
    </w:rPr>
  </w:style>
  <w:style w:type="paragraph" w:customStyle="1" w:styleId="147">
    <w:name w:val="样式 样式 小四 行距: 1.5 倍行距 + 首行缩进:  3 字符"/>
    <w:basedOn w:val="1"/>
    <w:autoRedefine/>
    <w:qFormat/>
    <w:uiPriority w:val="0"/>
    <w:pPr>
      <w:ind w:firstLine="420" w:firstLineChars="200"/>
    </w:pPr>
    <w:rPr>
      <w:rFonts w:ascii="宋体" w:hAnsi="宋体" w:cs="宋体"/>
      <w:szCs w:val="21"/>
    </w:rPr>
  </w:style>
  <w:style w:type="paragraph" w:customStyle="1" w:styleId="148">
    <w:name w:val="TOC 标题1"/>
    <w:basedOn w:val="4"/>
    <w:next w:val="1"/>
    <w:autoRedefine/>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49">
    <w:name w:val="默认段落字体 Para Char Char Char Char Char Char Char Char Char Char"/>
    <w:basedOn w:val="1"/>
    <w:autoRedefine/>
    <w:qFormat/>
    <w:uiPriority w:val="0"/>
    <w:rPr>
      <w:rFonts w:ascii="Tahoma" w:hAnsi="Tahoma"/>
      <w:sz w:val="24"/>
      <w:szCs w:val="20"/>
    </w:rPr>
  </w:style>
  <w:style w:type="paragraph" w:customStyle="1" w:styleId="150">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1">
    <w:name w:val="xl8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2">
    <w:name w:val="字元 字元"/>
    <w:basedOn w:val="1"/>
    <w:autoRedefine/>
    <w:qFormat/>
    <w:uiPriority w:val="0"/>
    <w:pPr>
      <w:spacing w:line="360" w:lineRule="auto"/>
      <w:ind w:firstLine="200" w:firstLineChars="200"/>
    </w:pPr>
    <w:rPr>
      <w:rFonts w:ascii="宋体" w:hAnsi="宋体" w:cs="宋体"/>
      <w:sz w:val="24"/>
    </w:rPr>
  </w:style>
  <w:style w:type="paragraph" w:customStyle="1" w:styleId="153">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4">
    <w:name w:val="正文序号 4"/>
    <w:basedOn w:val="1"/>
    <w:autoRedefine/>
    <w:qFormat/>
    <w:uiPriority w:val="0"/>
    <w:pPr>
      <w:numPr>
        <w:ilvl w:val="3"/>
        <w:numId w:val="7"/>
      </w:numPr>
      <w:tabs>
        <w:tab w:val="left" w:pos="1469"/>
      </w:tabs>
      <w:spacing w:before="60"/>
    </w:pPr>
  </w:style>
  <w:style w:type="paragraph" w:customStyle="1" w:styleId="155">
    <w:name w:val="xl9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6">
    <w:name w:val="font14"/>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157">
    <w:name w:val="Char3"/>
    <w:basedOn w:val="1"/>
    <w:autoRedefine/>
    <w:qFormat/>
    <w:uiPriority w:val="0"/>
  </w:style>
  <w:style w:type="paragraph" w:customStyle="1" w:styleId="158">
    <w:name w:val="xl35"/>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59">
    <w:name w:val="_Style 3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0">
    <w:name w:val="Char28"/>
    <w:basedOn w:val="1"/>
    <w:autoRedefine/>
    <w:qFormat/>
    <w:uiPriority w:val="0"/>
    <w:pPr>
      <w:adjustRightInd w:val="0"/>
      <w:spacing w:line="360" w:lineRule="auto"/>
    </w:pPr>
  </w:style>
  <w:style w:type="paragraph" w:customStyle="1" w:styleId="161">
    <w:name w:val="pa-14"/>
    <w:basedOn w:val="1"/>
    <w:autoRedefine/>
    <w:qFormat/>
    <w:uiPriority w:val="0"/>
    <w:pPr>
      <w:widowControl/>
      <w:spacing w:before="150" w:after="150"/>
      <w:jc w:val="left"/>
    </w:pPr>
    <w:rPr>
      <w:rFonts w:ascii="宋体" w:hAnsi="宋体" w:cs="宋体"/>
      <w:kern w:val="0"/>
      <w:sz w:val="24"/>
    </w:rPr>
  </w:style>
  <w:style w:type="paragraph" w:customStyle="1" w:styleId="162">
    <w:name w:val="font7"/>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163">
    <w:name w:val="Item List in Table"/>
    <w:basedOn w:val="1"/>
    <w:autoRedefine/>
    <w:qFormat/>
    <w:uiPriority w:val="0"/>
    <w:pPr>
      <w:numPr>
        <w:ilvl w:val="0"/>
        <w:numId w:val="8"/>
      </w:numPr>
      <w:jc w:val="left"/>
    </w:pPr>
  </w:style>
  <w:style w:type="paragraph" w:customStyle="1" w:styleId="164">
    <w:name w:val="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5">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6">
    <w:name w:val="Char Char1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167">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68">
    <w:name w:val="默认段落字体 Para Char"/>
    <w:basedOn w:val="1"/>
    <w:autoRedefine/>
    <w:qFormat/>
    <w:uiPriority w:val="0"/>
    <w:rPr>
      <w:rFonts w:ascii="Tahoma" w:hAnsi="Tahoma"/>
      <w:sz w:val="24"/>
      <w:szCs w:val="20"/>
    </w:rPr>
  </w:style>
  <w:style w:type="paragraph" w:customStyle="1" w:styleId="169">
    <w:name w:val="Bullet"/>
    <w:autoRedefine/>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70">
    <w:name w:val="xl1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1">
    <w:name w:val="样式 正文缩进 + 首行缩进:  2 字符"/>
    <w:basedOn w:val="6"/>
    <w:autoRedefine/>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2">
    <w:name w:val="xl11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3">
    <w:name w:val="xl10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4">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175">
    <w:name w:val="p0"/>
    <w:basedOn w:val="1"/>
    <w:autoRedefine/>
    <w:qFormat/>
    <w:uiPriority w:val="0"/>
    <w:pPr>
      <w:widowControl/>
    </w:pPr>
    <w:rPr>
      <w:kern w:val="0"/>
      <w:szCs w:val="21"/>
    </w:rPr>
  </w:style>
  <w:style w:type="paragraph" w:customStyle="1" w:styleId="176">
    <w:name w:val="xl1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7">
    <w:name w:val="默认段落字体 Para Char Char Char1 Char"/>
    <w:basedOn w:val="45"/>
    <w:autoRedefine/>
    <w:qFormat/>
    <w:uiPriority w:val="0"/>
  </w:style>
  <w:style w:type="paragraph" w:customStyle="1" w:styleId="178">
    <w:name w:val="Char1"/>
    <w:basedOn w:val="1"/>
    <w:autoRedefine/>
    <w:qFormat/>
    <w:uiPriority w:val="0"/>
    <w:pPr>
      <w:widowControl/>
      <w:spacing w:line="400" w:lineRule="exact"/>
      <w:jc w:val="center"/>
    </w:pPr>
    <w:rPr>
      <w:rFonts w:ascii="Verdana" w:hAnsi="Verdana"/>
      <w:kern w:val="0"/>
      <w:szCs w:val="20"/>
      <w:lang w:eastAsia="en-US"/>
    </w:rPr>
  </w:style>
  <w:style w:type="paragraph" w:customStyle="1" w:styleId="179">
    <w:name w:val="xl134"/>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0">
    <w:name w:val="xl13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1">
    <w:name w:val="Normal New New New"/>
    <w:autoRedefine/>
    <w:qFormat/>
    <w:uiPriority w:val="0"/>
    <w:pPr>
      <w:jc w:val="both"/>
    </w:pPr>
    <w:rPr>
      <w:rFonts w:ascii="Times New Roman" w:hAnsi="Times New Roman" w:eastAsia="宋体" w:cs="Times New Roman"/>
      <w:kern w:val="2"/>
      <w:sz w:val="21"/>
      <w:lang w:val="en-US" w:eastAsia="zh-CN" w:bidi="ar-SA"/>
    </w:rPr>
  </w:style>
  <w:style w:type="paragraph" w:customStyle="1" w:styleId="182">
    <w:name w:val="xl11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3">
    <w:name w:val="列出段落1"/>
    <w:basedOn w:val="1"/>
    <w:autoRedefine/>
    <w:qFormat/>
    <w:uiPriority w:val="0"/>
    <w:pPr>
      <w:ind w:firstLine="200" w:firstLineChars="200"/>
    </w:pPr>
    <w:rPr>
      <w:rFonts w:ascii="Calibri" w:hAnsi="Calibri"/>
      <w:szCs w:val="22"/>
    </w:rPr>
  </w:style>
  <w:style w:type="paragraph" w:customStyle="1" w:styleId="184">
    <w:name w:val="缺省文本"/>
    <w:basedOn w:val="1"/>
    <w:autoRedefine/>
    <w:qFormat/>
    <w:uiPriority w:val="0"/>
    <w:pPr>
      <w:autoSpaceDE w:val="0"/>
      <w:autoSpaceDN w:val="0"/>
      <w:adjustRightInd w:val="0"/>
      <w:jc w:val="left"/>
    </w:pPr>
    <w:rPr>
      <w:kern w:val="0"/>
      <w:sz w:val="24"/>
    </w:rPr>
  </w:style>
  <w:style w:type="paragraph" w:customStyle="1" w:styleId="185">
    <w:name w:val="Char Char Char Char Char Char Char Char Char"/>
    <w:basedOn w:val="1"/>
    <w:autoRedefine/>
    <w:qFormat/>
    <w:uiPriority w:val="0"/>
    <w:rPr>
      <w:sz w:val="28"/>
    </w:rPr>
  </w:style>
  <w:style w:type="paragraph" w:customStyle="1" w:styleId="186">
    <w:name w:val="书籍标题4"/>
    <w:basedOn w:val="121"/>
    <w:next w:val="1"/>
    <w:autoRedefine/>
    <w:qFormat/>
    <w:uiPriority w:val="0"/>
    <w:pPr>
      <w:numPr>
        <w:ilvl w:val="3"/>
      </w:numPr>
      <w:tabs>
        <w:tab w:val="left" w:pos="2160"/>
      </w:tabs>
      <w:ind w:left="2160"/>
      <w:outlineLvl w:val="3"/>
    </w:pPr>
    <w:rPr>
      <w:sz w:val="24"/>
      <w:szCs w:val="24"/>
      <w:lang w:val="zh-CN"/>
    </w:rPr>
  </w:style>
  <w:style w:type="paragraph" w:customStyle="1" w:styleId="187">
    <w:name w:val="xl10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88">
    <w:name w:val="样式 书籍标题3 + Arial 段前: 1 行 段后: 1 行"/>
    <w:basedOn w:val="121"/>
    <w:autoRedefine/>
    <w:qFormat/>
    <w:uiPriority w:val="0"/>
    <w:pPr>
      <w:numPr>
        <w:ilvl w:val="1"/>
        <w:numId w:val="9"/>
      </w:numPr>
      <w:spacing w:beforeLines="0" w:afterLines="0"/>
    </w:pPr>
    <w:rPr>
      <w:rFonts w:ascii="Arial" w:hAnsi="Arial" w:cs="宋体"/>
      <w:b w:val="0"/>
      <w:bCs w:val="0"/>
    </w:rPr>
  </w:style>
  <w:style w:type="paragraph" w:customStyle="1" w:styleId="189">
    <w:name w:val="Char Char1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190">
    <w:name w:val="Char Char Char Char Char Char"/>
    <w:basedOn w:val="1"/>
    <w:autoRedefine/>
    <w:qFormat/>
    <w:uiPriority w:val="0"/>
    <w:pPr>
      <w:widowControl/>
      <w:spacing w:after="160" w:line="240" w:lineRule="exact"/>
      <w:jc w:val="left"/>
    </w:pPr>
    <w:rPr>
      <w:sz w:val="32"/>
      <w:szCs w:val="20"/>
    </w:rPr>
  </w:style>
  <w:style w:type="paragraph" w:customStyle="1" w:styleId="191">
    <w:name w:val="xl11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2">
    <w:name w:val="List Paragraph"/>
    <w:basedOn w:val="1"/>
    <w:autoRedefine/>
    <w:qFormat/>
    <w:uiPriority w:val="0"/>
    <w:pPr>
      <w:ind w:firstLine="420" w:firstLineChars="200"/>
    </w:pPr>
  </w:style>
  <w:style w:type="paragraph" w:customStyle="1" w:styleId="193">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4">
    <w:name w:val="Char1 Char Char Char"/>
    <w:basedOn w:val="1"/>
    <w:autoRedefine/>
    <w:qFormat/>
    <w:uiPriority w:val="0"/>
    <w:pPr>
      <w:ind w:left="1365" w:hanging="360"/>
    </w:pPr>
    <w:rPr>
      <w:sz w:val="24"/>
    </w:rPr>
  </w:style>
  <w:style w:type="paragraph" w:customStyle="1" w:styleId="195">
    <w:name w:val="MM Topic 6"/>
    <w:basedOn w:val="10"/>
    <w:autoRedefine/>
    <w:qFormat/>
    <w:uiPriority w:val="0"/>
    <w:pPr>
      <w:numPr>
        <w:ilvl w:val="5"/>
        <w:numId w:val="10"/>
      </w:numPr>
      <w:tabs>
        <w:tab w:val="left" w:pos="425"/>
        <w:tab w:val="clear" w:pos="3260"/>
      </w:tabs>
      <w:spacing w:line="319" w:lineRule="auto"/>
    </w:pPr>
    <w:rPr>
      <w:bCs/>
      <w:szCs w:val="24"/>
    </w:rPr>
  </w:style>
  <w:style w:type="paragraph" w:customStyle="1" w:styleId="196">
    <w:name w:val="xl10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7">
    <w:name w:val="书籍标题1"/>
    <w:basedOn w:val="1"/>
    <w:next w:val="1"/>
    <w:autoRedefine/>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198">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9">
    <w:name w:val="样式 标题 4Alt+41.1.1.1 Heading 4bulletblbbH44h4H41h41H42... Char"/>
    <w:basedOn w:val="8"/>
    <w:autoRedefine/>
    <w:qFormat/>
    <w:uiPriority w:val="0"/>
    <w:pPr>
      <w:tabs>
        <w:tab w:val="left" w:pos="1914"/>
      </w:tabs>
      <w:spacing w:before="120" w:after="120"/>
      <w:ind w:left="1914" w:hanging="864"/>
    </w:pPr>
    <w:rPr>
      <w:rFonts w:ascii="宋体" w:hAnsi="宋体"/>
      <w:bCs/>
      <w:color w:val="000000"/>
      <w:szCs w:val="28"/>
    </w:rPr>
  </w:style>
  <w:style w:type="paragraph" w:customStyle="1" w:styleId="200">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1">
    <w:name w:val="表格内文字"/>
    <w:basedOn w:val="1"/>
    <w:autoRedefine/>
    <w:qFormat/>
    <w:uiPriority w:val="0"/>
    <w:pPr>
      <w:widowControl/>
      <w:spacing w:line="300" w:lineRule="atLeast"/>
      <w:jc w:val="left"/>
    </w:pPr>
    <w:rPr>
      <w:rFonts w:ascii="Arial" w:hAnsi="Arial" w:eastAsia="黑体" w:cs="Arial"/>
      <w:bCs/>
      <w:sz w:val="18"/>
      <w:szCs w:val="21"/>
    </w:rPr>
  </w:style>
  <w:style w:type="paragraph" w:customStyle="1" w:styleId="202">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3">
    <w:name w:val="xl9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4">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5">
    <w:name w:val="xl11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6">
    <w:name w:val="xl1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7">
    <w:name w:val="xl27"/>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08">
    <w:name w:val="xl1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09">
    <w:name w:val="特点标题"/>
    <w:basedOn w:val="1"/>
    <w:next w:val="37"/>
    <w:autoRedefine/>
    <w:qFormat/>
    <w:uiPriority w:val="0"/>
    <w:pPr>
      <w:adjustRightInd w:val="0"/>
      <w:spacing w:line="360" w:lineRule="auto"/>
      <w:ind w:firstLine="482"/>
      <w:textAlignment w:val="baseline"/>
    </w:pPr>
    <w:rPr>
      <w:rFonts w:ascii="宋体" w:hAnsi="宋体"/>
      <w:kern w:val="0"/>
      <w:sz w:val="24"/>
    </w:rPr>
  </w:style>
  <w:style w:type="paragraph" w:customStyle="1" w:styleId="210">
    <w:name w:val="pa-13"/>
    <w:basedOn w:val="1"/>
    <w:autoRedefine/>
    <w:qFormat/>
    <w:uiPriority w:val="0"/>
    <w:pPr>
      <w:widowControl/>
      <w:spacing w:before="150" w:after="150"/>
      <w:jc w:val="left"/>
    </w:pPr>
    <w:rPr>
      <w:rFonts w:ascii="宋体" w:hAnsi="宋体" w:cs="宋体"/>
      <w:kern w:val="0"/>
      <w:sz w:val="24"/>
    </w:rPr>
  </w:style>
  <w:style w:type="paragraph" w:customStyle="1" w:styleId="211">
    <w:name w:val="xl1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2">
    <w:name w:val="MM Topic 1"/>
    <w:basedOn w:val="4"/>
    <w:autoRedefine/>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3">
    <w:name w:val="样式"/>
    <w:autoRedefine/>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4">
    <w:name w:val="项目"/>
    <w:basedOn w:val="1"/>
    <w:autoRedefine/>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5">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6">
    <w:name w:val="xl1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7">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18">
    <w:name w:val="xl12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9">
    <w:name w:val="xl133"/>
    <w:basedOn w:val="1"/>
    <w:autoRedefine/>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20">
    <w:name w:val="样式 标题 3"/>
    <w:basedOn w:val="7"/>
    <w:next w:val="1"/>
    <w:autoRedefine/>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1">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2">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3">
    <w:name w:val="正文 New New New New New New New New New New New New New New New"/>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4">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5">
    <w:name w:val="Char1 Char Char Char1"/>
    <w:basedOn w:val="1"/>
    <w:autoRedefine/>
    <w:qFormat/>
    <w:uiPriority w:val="0"/>
    <w:pPr>
      <w:tabs>
        <w:tab w:val="left" w:pos="425"/>
      </w:tabs>
      <w:ind w:left="425" w:hanging="425"/>
    </w:pPr>
    <w:rPr>
      <w:sz w:val="24"/>
    </w:rPr>
  </w:style>
  <w:style w:type="paragraph" w:customStyle="1" w:styleId="226">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7">
    <w:name w:val="Char"/>
    <w:basedOn w:val="1"/>
    <w:autoRedefine/>
    <w:qFormat/>
    <w:uiPriority w:val="0"/>
    <w:pPr>
      <w:tabs>
        <w:tab w:val="left" w:pos="1365"/>
      </w:tabs>
      <w:ind w:left="1365" w:hanging="360"/>
    </w:pPr>
    <w:rPr>
      <w:sz w:val="24"/>
    </w:rPr>
  </w:style>
  <w:style w:type="paragraph" w:customStyle="1" w:styleId="228">
    <w:name w:val="Char Char1"/>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29">
    <w:name w:val="无间隔1"/>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230">
    <w:name w:val="xl11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1">
    <w:name w:val="没有缩进（为图形使用）"/>
    <w:basedOn w:val="1"/>
    <w:autoRedefine/>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2">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3">
    <w:name w:val="xl11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4">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5">
    <w:name w:val="样式1"/>
    <w:next w:val="17"/>
    <w:autoRedefine/>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6">
    <w:name w:val="Table Text"/>
    <w:autoRedefine/>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7">
    <w:name w:val="xl1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38">
    <w:name w:val="Pa17"/>
    <w:basedOn w:val="1"/>
    <w:next w:val="1"/>
    <w:autoRedefine/>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39">
    <w:name w:val="Char Char Char Char Char Char Char Char Char1"/>
    <w:basedOn w:val="1"/>
    <w:autoRedefine/>
    <w:qFormat/>
    <w:uiPriority w:val="0"/>
    <w:pPr>
      <w:widowControl/>
      <w:spacing w:after="160" w:line="240" w:lineRule="exact"/>
      <w:jc w:val="left"/>
    </w:pPr>
  </w:style>
  <w:style w:type="paragraph" w:customStyle="1" w:styleId="240">
    <w:name w:val="表格文字"/>
    <w:basedOn w:val="1"/>
    <w:autoRedefine/>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1">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2">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3">
    <w:name w:val="infoblue"/>
    <w:basedOn w:val="1"/>
    <w:autoRedefine/>
    <w:qFormat/>
    <w:uiPriority w:val="0"/>
    <w:pPr>
      <w:widowControl/>
      <w:spacing w:after="120" w:line="240" w:lineRule="atLeast"/>
      <w:ind w:left="450"/>
      <w:jc w:val="left"/>
    </w:pPr>
    <w:rPr>
      <w:i/>
      <w:iCs/>
      <w:color w:val="0000FF"/>
      <w:kern w:val="0"/>
      <w:sz w:val="20"/>
      <w:szCs w:val="20"/>
    </w:rPr>
  </w:style>
  <w:style w:type="paragraph" w:customStyle="1" w:styleId="244">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5">
    <w:name w:val="xl11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6">
    <w:name w:val="xl12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7">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8">
    <w:name w:val="MM Topic 2"/>
    <w:basedOn w:val="5"/>
    <w:autoRedefine/>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49">
    <w:name w:val="xl9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0">
    <w:name w:val="Char Char Char"/>
    <w:basedOn w:val="1"/>
    <w:autoRedefine/>
    <w:qFormat/>
    <w:uiPriority w:val="0"/>
    <w:pPr>
      <w:widowControl/>
      <w:spacing w:after="160" w:line="240" w:lineRule="exact"/>
      <w:jc w:val="left"/>
    </w:pPr>
    <w:rPr>
      <w:rFonts w:ascii="Verdana" w:hAnsi="Verdana" w:cs="Verdana"/>
      <w:kern w:val="0"/>
      <w:szCs w:val="21"/>
      <w:lang w:eastAsia="en-US"/>
    </w:rPr>
  </w:style>
  <w:style w:type="paragraph" w:customStyle="1" w:styleId="251">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2">
    <w:name w:val="font6"/>
    <w:basedOn w:val="1"/>
    <w:autoRedefine/>
    <w:qFormat/>
    <w:uiPriority w:val="0"/>
    <w:pPr>
      <w:widowControl/>
      <w:spacing w:before="100" w:beforeAutospacing="1" w:after="100" w:afterAutospacing="1"/>
      <w:jc w:val="left"/>
    </w:pPr>
    <w:rPr>
      <w:kern w:val="0"/>
      <w:sz w:val="24"/>
    </w:rPr>
  </w:style>
  <w:style w:type="paragraph" w:customStyle="1" w:styleId="253">
    <w:name w:val="正文 New New New New"/>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4">
    <w:name w:val="xl1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5">
    <w:name w:val="font13"/>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6">
    <w:name w:val="样式 首行缩进:  0.85 厘米"/>
    <w:basedOn w:val="1"/>
    <w:autoRedefine/>
    <w:qFormat/>
    <w:uiPriority w:val="0"/>
    <w:pPr>
      <w:spacing w:line="360" w:lineRule="auto"/>
      <w:ind w:firstLine="200" w:firstLineChars="200"/>
    </w:pPr>
    <w:rPr>
      <w:rFonts w:cs="宋体"/>
      <w:sz w:val="24"/>
      <w:szCs w:val="20"/>
    </w:rPr>
  </w:style>
  <w:style w:type="paragraph" w:customStyle="1" w:styleId="257">
    <w:name w:val="列举"/>
    <w:basedOn w:val="1"/>
    <w:autoRedefine/>
    <w:qFormat/>
    <w:uiPriority w:val="0"/>
    <w:pPr>
      <w:numPr>
        <w:ilvl w:val="0"/>
        <w:numId w:val="15"/>
      </w:numPr>
      <w:spacing w:line="360" w:lineRule="auto"/>
    </w:pPr>
    <w:rPr>
      <w:rFonts w:ascii="宋体"/>
    </w:rPr>
  </w:style>
  <w:style w:type="paragraph" w:customStyle="1" w:styleId="258">
    <w:name w:val="正文1"/>
    <w:basedOn w:val="1"/>
    <w:autoRedefine/>
    <w:qFormat/>
    <w:uiPriority w:val="0"/>
    <w:pPr>
      <w:spacing w:line="360" w:lineRule="auto"/>
    </w:pPr>
    <w:rPr>
      <w:rFonts w:ascii="宋体" w:hAnsi="宋体"/>
      <w:sz w:val="24"/>
    </w:rPr>
  </w:style>
  <w:style w:type="paragraph" w:customStyle="1" w:styleId="259">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60">
    <w:name w:val="正文缩进2字符"/>
    <w:basedOn w:val="2"/>
    <w:qFormat/>
    <w:uiPriority w:val="0"/>
    <w:pPr>
      <w:spacing w:after="0" w:line="360" w:lineRule="auto"/>
      <w:ind w:firstLine="200" w:firstLineChars="200"/>
    </w:pPr>
    <w:rPr>
      <w:sz w:val="24"/>
      <w:szCs w:val="24"/>
    </w:rPr>
  </w:style>
  <w:style w:type="paragraph" w:customStyle="1" w:styleId="261">
    <w:name w:val="font8"/>
    <w:basedOn w:val="1"/>
    <w:qFormat/>
    <w:uiPriority w:val="0"/>
    <w:pPr>
      <w:widowControl/>
      <w:spacing w:before="100" w:beforeAutospacing="1" w:after="100" w:afterAutospacing="1"/>
      <w:jc w:val="left"/>
    </w:pPr>
    <w:rPr>
      <w:kern w:val="0"/>
      <w:sz w:val="20"/>
      <w:szCs w:val="20"/>
    </w:rPr>
  </w:style>
  <w:style w:type="paragraph" w:customStyle="1" w:styleId="262">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3">
    <w:name w:val="pa-3"/>
    <w:basedOn w:val="1"/>
    <w:qFormat/>
    <w:uiPriority w:val="0"/>
    <w:pPr>
      <w:widowControl/>
      <w:spacing w:before="150" w:after="150"/>
      <w:jc w:val="left"/>
    </w:pPr>
    <w:rPr>
      <w:rFonts w:ascii="宋体" w:hAnsi="宋体" w:cs="宋体"/>
      <w:kern w:val="0"/>
      <w:sz w:val="24"/>
    </w:rPr>
  </w:style>
  <w:style w:type="paragraph" w:customStyle="1" w:styleId="264">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5">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6">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7">
    <w:name w:val="列表数字1"/>
    <w:next w:val="2"/>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68">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69">
    <w:name w:val="加点标题"/>
    <w:basedOn w:val="1"/>
    <w:qFormat/>
    <w:uiPriority w:val="0"/>
    <w:pPr>
      <w:numPr>
        <w:ilvl w:val="0"/>
        <w:numId w:val="18"/>
      </w:numPr>
      <w:spacing w:line="360" w:lineRule="auto"/>
    </w:pPr>
    <w:rPr>
      <w:sz w:val="24"/>
    </w:rPr>
  </w:style>
  <w:style w:type="paragraph" w:customStyle="1" w:styleId="270">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1">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2">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3">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4">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5">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6">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7">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8">
    <w:name w:val="MM Topic 3"/>
    <w:basedOn w:val="7"/>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79">
    <w:name w:val="列出段落2"/>
    <w:basedOn w:val="1"/>
    <w:qFormat/>
    <w:uiPriority w:val="0"/>
    <w:pPr>
      <w:ind w:firstLine="420" w:firstLineChars="200"/>
    </w:pPr>
  </w:style>
  <w:style w:type="paragraph" w:customStyle="1" w:styleId="280">
    <w:name w:val="font15"/>
    <w:basedOn w:val="1"/>
    <w:qFormat/>
    <w:uiPriority w:val="0"/>
    <w:pPr>
      <w:widowControl/>
      <w:spacing w:before="100" w:beforeAutospacing="1" w:after="100" w:afterAutospacing="1"/>
      <w:jc w:val="left"/>
    </w:pPr>
    <w:rPr>
      <w:kern w:val="0"/>
      <w:sz w:val="20"/>
      <w:szCs w:val="20"/>
    </w:rPr>
  </w:style>
  <w:style w:type="paragraph" w:customStyle="1" w:styleId="281">
    <w:name w:val="pa-15"/>
    <w:basedOn w:val="1"/>
    <w:qFormat/>
    <w:uiPriority w:val="0"/>
    <w:pPr>
      <w:widowControl/>
      <w:spacing w:before="150" w:after="150"/>
      <w:jc w:val="left"/>
    </w:pPr>
    <w:rPr>
      <w:rFonts w:ascii="宋体" w:hAnsi="宋体" w:cs="宋体"/>
      <w:kern w:val="0"/>
      <w:sz w:val="24"/>
    </w:rPr>
  </w:style>
  <w:style w:type="paragraph" w:customStyle="1" w:styleId="282">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4">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5">
    <w:name w:val="Char Char3 Char Char"/>
    <w:basedOn w:val="1"/>
    <w:qFormat/>
    <w:uiPriority w:val="0"/>
    <w:pPr>
      <w:spacing w:line="360" w:lineRule="auto"/>
      <w:ind w:firstLine="200" w:firstLineChars="200"/>
    </w:pPr>
    <w:rPr>
      <w:rFonts w:ascii="宋体" w:hAnsi="宋体" w:cs="宋体"/>
      <w:sz w:val="24"/>
    </w:rPr>
  </w:style>
  <w:style w:type="paragraph" w:customStyle="1" w:styleId="286">
    <w:name w:val="样式 (西文) 宋体 首行缩进:  0.85 厘米"/>
    <w:basedOn w:val="1"/>
    <w:autoRedefine/>
    <w:qFormat/>
    <w:uiPriority w:val="0"/>
    <w:pPr>
      <w:spacing w:line="360" w:lineRule="auto"/>
      <w:ind w:firstLine="200" w:firstLineChars="200"/>
    </w:pPr>
    <w:rPr>
      <w:rFonts w:ascii="宋体" w:hAnsi="Calibri" w:cs="宋体"/>
      <w:sz w:val="24"/>
      <w:szCs w:val="20"/>
    </w:rPr>
  </w:style>
  <w:style w:type="paragraph" w:customStyle="1" w:styleId="287">
    <w:name w:val="正文序号 2"/>
    <w:basedOn w:val="1"/>
    <w:qFormat/>
    <w:uiPriority w:val="0"/>
    <w:pPr>
      <w:numPr>
        <w:ilvl w:val="1"/>
        <w:numId w:val="7"/>
      </w:numPr>
      <w:tabs>
        <w:tab w:val="left" w:pos="1049"/>
      </w:tabs>
      <w:spacing w:before="60"/>
    </w:pPr>
  </w:style>
  <w:style w:type="paragraph" w:customStyle="1" w:styleId="288">
    <w:name w:val="样式 样式 标题 4Alt+41.1.1.1 Heading 4bulletblbbH44h4H41h41H42... + 自动..."/>
    <w:basedOn w:val="199"/>
    <w:qFormat/>
    <w:uiPriority w:val="0"/>
    <w:pPr>
      <w:numPr>
        <w:ilvl w:val="3"/>
        <w:numId w:val="20"/>
      </w:numPr>
      <w:tabs>
        <w:tab w:val="clear" w:pos="1914"/>
      </w:tabs>
    </w:pPr>
    <w:rPr>
      <w:color w:val="auto"/>
    </w:rPr>
  </w:style>
  <w:style w:type="paragraph" w:styleId="289">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0">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1">
    <w:name w:val="MM Topic 5"/>
    <w:basedOn w:val="9"/>
    <w:qFormat/>
    <w:uiPriority w:val="0"/>
    <w:pPr>
      <w:numPr>
        <w:ilvl w:val="4"/>
        <w:numId w:val="10"/>
      </w:numPr>
      <w:tabs>
        <w:tab w:val="left" w:pos="425"/>
        <w:tab w:val="clear" w:pos="2551"/>
      </w:tabs>
    </w:pPr>
    <w:rPr>
      <w:bCs/>
      <w:szCs w:val="28"/>
    </w:rPr>
  </w:style>
  <w:style w:type="paragraph" w:customStyle="1" w:styleId="292">
    <w:name w:val="正文文本样式"/>
    <w:basedOn w:val="1"/>
    <w:qFormat/>
    <w:uiPriority w:val="0"/>
    <w:pPr>
      <w:spacing w:line="360" w:lineRule="auto"/>
      <w:ind w:firstLine="482"/>
    </w:pPr>
    <w:rPr>
      <w:rFonts w:cs="宋体"/>
      <w:sz w:val="24"/>
      <w:szCs w:val="20"/>
    </w:rPr>
  </w:style>
  <w:style w:type="paragraph" w:customStyle="1" w:styleId="293">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4">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5">
    <w:name w:val="MM Topic 4"/>
    <w:basedOn w:val="8"/>
    <w:qFormat/>
    <w:uiPriority w:val="0"/>
    <w:pPr>
      <w:numPr>
        <w:ilvl w:val="3"/>
        <w:numId w:val="10"/>
      </w:numPr>
      <w:tabs>
        <w:tab w:val="left" w:pos="425"/>
        <w:tab w:val="clear" w:pos="1984"/>
      </w:tabs>
    </w:pPr>
    <w:rPr>
      <w:bCs/>
      <w:szCs w:val="28"/>
    </w:rPr>
  </w:style>
  <w:style w:type="paragraph" w:customStyle="1" w:styleId="296">
    <w:name w:val="正文序号 3"/>
    <w:basedOn w:val="1"/>
    <w:qFormat/>
    <w:uiPriority w:val="0"/>
    <w:pPr>
      <w:numPr>
        <w:ilvl w:val="2"/>
        <w:numId w:val="7"/>
      </w:numPr>
      <w:tabs>
        <w:tab w:val="left" w:pos="1259"/>
      </w:tabs>
      <w:spacing w:before="60"/>
    </w:pPr>
  </w:style>
  <w:style w:type="paragraph" w:customStyle="1" w:styleId="297">
    <w:name w:val="Char2"/>
    <w:basedOn w:val="1"/>
    <w:qFormat/>
    <w:uiPriority w:val="0"/>
    <w:pPr>
      <w:tabs>
        <w:tab w:val="left" w:pos="425"/>
      </w:tabs>
      <w:ind w:left="425" w:hanging="425"/>
    </w:pPr>
    <w:rPr>
      <w:sz w:val="24"/>
    </w:rPr>
  </w:style>
  <w:style w:type="paragraph" w:customStyle="1" w:styleId="298">
    <w:name w:val="正文序号 1"/>
    <w:basedOn w:val="1"/>
    <w:qFormat/>
    <w:uiPriority w:val="0"/>
    <w:pPr>
      <w:numPr>
        <w:ilvl w:val="0"/>
        <w:numId w:val="7"/>
      </w:numPr>
      <w:tabs>
        <w:tab w:val="left" w:pos="839"/>
      </w:tabs>
      <w:spacing w:before="60"/>
    </w:pPr>
  </w:style>
  <w:style w:type="paragraph" w:customStyle="1" w:styleId="299">
    <w:name w:val="字元 字元1"/>
    <w:basedOn w:val="1"/>
    <w:qFormat/>
    <w:uiPriority w:val="0"/>
    <w:pPr>
      <w:spacing w:line="360" w:lineRule="auto"/>
      <w:ind w:firstLine="200" w:firstLineChars="200"/>
    </w:pPr>
    <w:rPr>
      <w:rFonts w:ascii="宋体" w:hAnsi="宋体" w:cs="宋体"/>
      <w:sz w:val="24"/>
    </w:rPr>
  </w:style>
  <w:style w:type="paragraph" w:customStyle="1" w:styleId="300">
    <w:name w:val="font12"/>
    <w:basedOn w:val="1"/>
    <w:qFormat/>
    <w:uiPriority w:val="0"/>
    <w:pPr>
      <w:widowControl/>
      <w:spacing w:before="100" w:beforeAutospacing="1" w:after="100" w:afterAutospacing="1"/>
      <w:jc w:val="left"/>
    </w:pPr>
    <w:rPr>
      <w:kern w:val="0"/>
      <w:sz w:val="22"/>
      <w:szCs w:val="22"/>
    </w:rPr>
  </w:style>
  <w:style w:type="paragraph" w:customStyle="1" w:styleId="301">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2">
    <w:name w:val="标题 1 Char2"/>
    <w:qFormat/>
    <w:uiPriority w:val="0"/>
    <w:rPr>
      <w:rFonts w:ascii="黑体" w:eastAsia="黑体"/>
      <w:bCs/>
      <w:kern w:val="44"/>
      <w:sz w:val="24"/>
      <w:szCs w:val="24"/>
    </w:rPr>
  </w:style>
  <w:style w:type="character" w:customStyle="1" w:styleId="303">
    <w:name w:val="Font Style17"/>
    <w:qFormat/>
    <w:uiPriority w:val="0"/>
    <w:rPr>
      <w:rFonts w:ascii="黑体" w:eastAsia="黑体" w:cs="黑体"/>
      <w:sz w:val="28"/>
      <w:szCs w:val="28"/>
    </w:rPr>
  </w:style>
  <w:style w:type="character" w:styleId="304">
    <w:name w:val="Placeholder Text"/>
    <w:basedOn w:val="48"/>
    <w:semiHidden/>
    <w:qFormat/>
    <w:uiPriority w:val="99"/>
    <w:rPr>
      <w:color w:val="808080"/>
    </w:rPr>
  </w:style>
  <w:style w:type="character" w:customStyle="1" w:styleId="305">
    <w:name w:val="正文缩进 Char3"/>
    <w:qFormat/>
    <w:uiPriority w:val="0"/>
    <w:rPr>
      <w:rFonts w:ascii="宋体" w:eastAsia="宋体"/>
      <w:sz w:val="34"/>
      <w:lang w:val="en-US" w:eastAsia="zh-CN" w:bidi="ar-SA"/>
    </w:rPr>
  </w:style>
  <w:style w:type="paragraph" w:customStyle="1" w:styleId="306">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character" w:customStyle="1" w:styleId="307">
    <w:name w:val="font01"/>
    <w:basedOn w:val="48"/>
    <w:qFormat/>
    <w:uiPriority w:val="0"/>
    <w:rPr>
      <w:rFonts w:hint="eastAsia" w:ascii="宋体" w:hAnsi="宋体" w:eastAsia="宋体" w:cs="宋体"/>
      <w:b/>
      <w:color w:val="000000"/>
      <w:sz w:val="20"/>
      <w:szCs w:val="20"/>
      <w:u w:val="none"/>
    </w:rPr>
  </w:style>
  <w:style w:type="character" w:customStyle="1" w:styleId="308">
    <w:name w:val="font41"/>
    <w:basedOn w:val="48"/>
    <w:qFormat/>
    <w:uiPriority w:val="0"/>
    <w:rPr>
      <w:rFonts w:hint="eastAsia" w:ascii="宋体" w:hAnsi="宋体" w:eastAsia="宋体" w:cs="宋体"/>
      <w:color w:val="000000"/>
      <w:sz w:val="20"/>
      <w:szCs w:val="20"/>
      <w:u w:val="none"/>
    </w:rPr>
  </w:style>
  <w:style w:type="character" w:customStyle="1" w:styleId="309">
    <w:name w:val="font61"/>
    <w:basedOn w:val="48"/>
    <w:qFormat/>
    <w:uiPriority w:val="0"/>
    <w:rPr>
      <w:rFonts w:hint="eastAsia" w:ascii="宋体" w:hAnsi="宋体" w:eastAsia="宋体" w:cs="宋体"/>
      <w:color w:val="000000"/>
      <w:sz w:val="20"/>
      <w:szCs w:val="20"/>
      <w:u w:val="none"/>
    </w:rPr>
  </w:style>
  <w:style w:type="character" w:customStyle="1" w:styleId="310">
    <w:name w:val="font31"/>
    <w:basedOn w:val="48"/>
    <w:qFormat/>
    <w:uiPriority w:val="0"/>
    <w:rPr>
      <w:rFonts w:hint="eastAsia" w:ascii="宋体" w:hAnsi="宋体" w:eastAsia="宋体" w:cs="宋体"/>
      <w:b/>
      <w:color w:val="000000"/>
      <w:sz w:val="20"/>
      <w:szCs w:val="20"/>
      <w:u w:val="none"/>
    </w:rPr>
  </w:style>
  <w:style w:type="character" w:customStyle="1" w:styleId="311">
    <w:name w:val="font51"/>
    <w:basedOn w:val="4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57</Pages>
  <Words>27064</Words>
  <Characters>28439</Characters>
  <Lines>286</Lines>
  <Paragraphs>80</Paragraphs>
  <TotalTime>3</TotalTime>
  <ScaleCrop>false</ScaleCrop>
  <LinksUpToDate>false</LinksUpToDate>
  <CharactersWithSpaces>33150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2017-11-22T01:06:00Z</dcterms:created>
  <dc:creator>杨佳佳</dc:creator>
  <cp:lastModifiedBy>Administrator</cp:lastModifiedBy>
  <cp:lastPrinted>2023-11-14T06:26:00Z</cp:lastPrinted>
  <dcterms:modified xsi:type="dcterms:W3CDTF">2024-04-22T02:14:59Z</dcterms:modified>
  <dc:title>货物公开招标</dc:title>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26EC757059534CA9AEEB9A8757A90DCE</vt:lpwstr>
  </property>
</Properties>
</file>