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bookmarkStart w:id="0" w:name="_Toc491658631"/>
    </w:p>
    <w:p>
      <w:pPr>
        <w:pStyle w:val="23"/>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p>
    <w:p>
      <w:pPr>
        <w:pStyle w:val="23"/>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lang w:eastAsia="zh-CN"/>
          <w14:textFill>
            <w14:solidFill>
              <w14:schemeClr w14:val="tx1"/>
            </w14:solidFill>
          </w14:textFill>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7"/>
                    <a:stretch>
                      <a:fillRect/>
                    </a:stretch>
                  </pic:blipFill>
                  <pic:spPr>
                    <a:xfrm>
                      <a:off x="0" y="0"/>
                      <a:ext cx="2265680" cy="400685"/>
                    </a:xfrm>
                    <a:prstGeom prst="rect">
                      <a:avLst/>
                    </a:prstGeom>
                  </pic:spPr>
                </pic:pic>
              </a:graphicData>
            </a:graphic>
          </wp:inline>
        </w:drawing>
      </w: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公开招标</w:t>
      </w:r>
    </w:p>
    <w:p>
      <w:pPr>
        <w:pStyle w:val="23"/>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招  标  文  件</w:t>
      </w:r>
    </w:p>
    <w:p>
      <w:pPr>
        <w:pStyle w:val="23"/>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tbl>
      <w:tblPr>
        <w:tblStyle w:val="46"/>
        <w:tblW w:w="7389" w:type="dxa"/>
        <w:jc w:val="center"/>
        <w:tblLayout w:type="fixed"/>
        <w:tblCellMar>
          <w:top w:w="0" w:type="dxa"/>
          <w:left w:w="108" w:type="dxa"/>
          <w:bottom w:w="0" w:type="dxa"/>
          <w:right w:w="108" w:type="dxa"/>
        </w:tblCellMar>
      </w:tblPr>
      <w:tblGrid>
        <w:gridCol w:w="1951"/>
        <w:gridCol w:w="284"/>
        <w:gridCol w:w="5154"/>
      </w:tblGrid>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154" w:type="dxa"/>
            <w:vAlign w:val="center"/>
          </w:tcPr>
          <w:p>
            <w:pPr>
              <w:pStyle w:val="23"/>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YXZB-20230913</w:t>
            </w:r>
          </w:p>
        </w:tc>
      </w:tr>
      <w:tr>
        <w:tblPrEx>
          <w:tblCellMar>
            <w:top w:w="0" w:type="dxa"/>
            <w:left w:w="108" w:type="dxa"/>
            <w:bottom w:w="0" w:type="dxa"/>
            <w:right w:w="108" w:type="dxa"/>
          </w:tblCellMar>
        </w:tblPrEx>
        <w:trPr>
          <w:trHeight w:val="77" w:hRule="atLeast"/>
          <w:jc w:val="center"/>
        </w:trPr>
        <w:tc>
          <w:tcPr>
            <w:tcW w:w="1951" w:type="dxa"/>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154"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阳西县创业担保贷款代理银行采购项目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154"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阳西县人力资源和社会保障局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3"/>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5154"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广东业信招标有限公司</w:t>
            </w:r>
          </w:p>
        </w:tc>
      </w:tr>
    </w:tbl>
    <w:p>
      <w:pPr>
        <w:pStyle w:val="23"/>
        <w:widowControl/>
        <w:adjustRightInd w:val="0"/>
        <w:snapToGrid w:val="0"/>
        <w:spacing w:line="360" w:lineRule="auto"/>
        <w:jc w:val="center"/>
        <w:rPr>
          <w:rFonts w:hint="eastAsia" w:ascii="黑体" w:eastAsia="黑体"/>
          <w:bCs/>
          <w:color w:val="000000" w:themeColor="text1"/>
          <w:sz w:val="24"/>
          <w:highlight w:val="none"/>
          <w14:textFill>
            <w14:solidFill>
              <w14:schemeClr w14:val="tx1"/>
            </w14:solidFill>
          </w14:textFill>
        </w:rPr>
      </w:pPr>
    </w:p>
    <w:p>
      <w:pPr>
        <w:pStyle w:val="23"/>
        <w:widowControl/>
        <w:adjustRightInd w:val="0"/>
        <w:snapToGrid w:val="0"/>
        <w:spacing w:line="360" w:lineRule="auto"/>
        <w:jc w:val="center"/>
        <w:rPr>
          <w:rFonts w:hint="eastAsia" w:ascii="宋体" w:hAnsi="宋体"/>
          <w:b/>
          <w:color w:val="000000" w:themeColor="text1"/>
          <w:sz w:val="36"/>
          <w:highlight w:val="none"/>
          <w14:textFill>
            <w14:solidFill>
              <w14:schemeClr w14:val="tx1"/>
            </w14:solidFill>
          </w14:textFill>
        </w:rPr>
      </w:pPr>
      <w:r>
        <w:rPr>
          <w:rFonts w:hint="eastAsia" w:ascii="黑体" w:eastAsia="黑体"/>
          <w:bCs/>
          <w:color w:val="000000" w:themeColor="text1"/>
          <w:sz w:val="24"/>
          <w:highlight w:val="none"/>
          <w14:textFill>
            <w14:solidFill>
              <w14:schemeClr w14:val="tx1"/>
            </w14:solidFill>
          </w14:textFill>
        </w:rPr>
        <w:t>二○</w:t>
      </w:r>
      <w:r>
        <w:rPr>
          <w:rFonts w:hint="eastAsia" w:ascii="黑体" w:eastAsia="黑体"/>
          <w:bCs/>
          <w:color w:val="000000" w:themeColor="text1"/>
          <w:sz w:val="24"/>
          <w:highlight w:val="none"/>
          <w:lang w:val="en-US" w:eastAsia="zh-CN"/>
          <w14:textFill>
            <w14:solidFill>
              <w14:schemeClr w14:val="tx1"/>
            </w14:solidFill>
          </w14:textFill>
        </w:rPr>
        <w:t>二三</w:t>
      </w:r>
      <w:r>
        <w:rPr>
          <w:rFonts w:hint="eastAsia" w:ascii="黑体" w:eastAsia="黑体"/>
          <w:bCs/>
          <w:color w:val="000000" w:themeColor="text1"/>
          <w:sz w:val="24"/>
          <w:highlight w:val="none"/>
          <w14:textFill>
            <w14:solidFill>
              <w14:schemeClr w14:val="tx1"/>
            </w14:solidFill>
          </w14:textFill>
        </w:rPr>
        <w:t>年</w:t>
      </w:r>
      <w:r>
        <w:rPr>
          <w:rFonts w:hint="eastAsia" w:ascii="黑体" w:eastAsia="黑体"/>
          <w:bCs/>
          <w:color w:val="000000" w:themeColor="text1"/>
          <w:sz w:val="24"/>
          <w:highlight w:val="none"/>
          <w:lang w:val="en-US" w:eastAsia="zh-CN"/>
          <w14:textFill>
            <w14:solidFill>
              <w14:schemeClr w14:val="tx1"/>
            </w14:solidFill>
          </w14:textFill>
        </w:rPr>
        <w:t>十</w:t>
      </w:r>
      <w:r>
        <w:rPr>
          <w:rFonts w:hint="eastAsia" w:ascii="黑体" w:eastAsia="黑体"/>
          <w:bCs/>
          <w:color w:val="000000" w:themeColor="text1"/>
          <w:sz w:val="24"/>
          <w:highlight w:val="none"/>
          <w14:textFill>
            <w14:solidFill>
              <w14:schemeClr w14:val="tx1"/>
            </w14:solidFill>
          </w14:textFill>
        </w:rPr>
        <w:t>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ascii="宋体" w:hAnsi="宋体"/>
          <w:color w:val="000000" w:themeColor="text1"/>
          <w:szCs w:val="21"/>
          <w:highlight w:val="none"/>
          <w14:textFill>
            <w14:solidFill>
              <w14:schemeClr w14:val="tx1"/>
            </w14:solidFill>
          </w14:textFill>
        </w:rPr>
        <w:t>会议室。</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招标文件中标有“★”的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请正确填写《开标一览表》，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的投标项目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报价要求详见招标文件《开标一览表》</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请仔细检查《投标函》、《开标一览表》、</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
          <w:bCs/>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建议将投标文件按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评标委员会</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3"/>
        <w:widowControl/>
        <w:adjustRightInd w:val="0"/>
        <w:snapToGrid w:val="0"/>
        <w:spacing w:line="440" w:lineRule="exact"/>
        <w:ind w:firstLine="413" w:firstLineChars="196"/>
        <w:rPr>
          <w:rFonts w:ascii="黑体" w:eastAsia="黑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000000" w:themeColor="text1"/>
          <w:sz w:val="30"/>
          <w:szCs w:val="30"/>
          <w:highlight w:val="none"/>
          <w14:textFill>
            <w14:solidFill>
              <w14:schemeClr w14:val="tx1"/>
            </w14:solidFill>
          </w14:textFill>
        </w:rPr>
        <w:sectPr>
          <w:headerReference r:id="rId4" w:type="first"/>
          <w:headerReference r:id="rId3" w:type="default"/>
          <w:footerReference r:id="rId5" w:type="default"/>
          <w:footerReference r:id="rId6"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pStyle w:val="2"/>
        <w:tabs>
          <w:tab w:val="left" w:pos="4994"/>
        </w:tabs>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3"/>
        <w:numPr>
          <w:ilvl w:val="0"/>
          <w:numId w:val="0"/>
        </w:numPr>
        <w:spacing w:beforeLines="0" w:line="240" w:lineRule="auto"/>
        <w:rPr>
          <w:color w:val="000000" w:themeColor="text1"/>
          <w:highlight w:val="none"/>
          <w14:textFill>
            <w14:solidFill>
              <w14:schemeClr w14:val="tx1"/>
            </w14:solidFill>
          </w14:textFill>
        </w:rPr>
      </w:pPr>
    </w:p>
    <w:p>
      <w:pPr>
        <w:pStyle w:val="30"/>
        <w:tabs>
          <w:tab w:val="right" w:leader="dot" w:pos="8959"/>
          <w:tab w:val="clear" w:pos="8949"/>
        </w:tabs>
        <w:rPr>
          <w:color w:val="000000" w:themeColor="text1"/>
          <w:highlight w:val="none"/>
          <w14:textFill>
            <w14:solidFill>
              <w14:schemeClr w14:val="tx1"/>
            </w14:solidFill>
          </w14:textFill>
        </w:rPr>
      </w:pPr>
      <w:r>
        <w:rPr>
          <w:b w:val="0"/>
          <w:bCs w:val="0"/>
          <w:caps w:val="0"/>
          <w:color w:val="000000" w:themeColor="text1"/>
          <w:highlight w:val="none"/>
          <w14:textFill>
            <w14:solidFill>
              <w14:schemeClr w14:val="tx1"/>
            </w14:solidFill>
          </w14:textFill>
        </w:rPr>
        <w:fldChar w:fldCharType="begin"/>
      </w:r>
      <w:r>
        <w:rPr>
          <w:b w:val="0"/>
          <w:bCs w:val="0"/>
          <w:caps w:val="0"/>
          <w:color w:val="000000" w:themeColor="text1"/>
          <w:highlight w:val="none"/>
          <w14:textFill>
            <w14:solidFill>
              <w14:schemeClr w14:val="tx1"/>
            </w14:solidFill>
          </w14:textFill>
        </w:rPr>
        <w:instrText xml:space="preserve"> TOC \o "1-3" \h \z \u </w:instrText>
      </w:r>
      <w:r>
        <w:rPr>
          <w:b w:val="0"/>
          <w:bCs w:val="0"/>
          <w:caps w:val="0"/>
          <w:color w:val="000000" w:themeColor="text1"/>
          <w:highlight w:val="none"/>
          <w14:textFill>
            <w14:solidFill>
              <w14:schemeClr w14:val="tx1"/>
            </w14:solidFill>
          </w14:textFill>
        </w:rPr>
        <w:fldChar w:fldCharType="separate"/>
      </w:r>
      <w:r>
        <w:rPr>
          <w:bCs w:val="0"/>
          <w:caps w:val="0"/>
          <w:color w:val="000000" w:themeColor="text1"/>
          <w:highlight w:val="none"/>
          <w14:textFill>
            <w14:solidFill>
              <w14:schemeClr w14:val="tx1"/>
            </w14:solidFill>
          </w14:textFill>
        </w:rPr>
        <w:fldChar w:fldCharType="begin"/>
      </w:r>
      <w:r>
        <w:rPr>
          <w:bCs w:val="0"/>
          <w:caps w:val="0"/>
          <w:color w:val="000000" w:themeColor="text1"/>
          <w:highlight w:val="none"/>
          <w14:textFill>
            <w14:solidFill>
              <w14:schemeClr w14:val="tx1"/>
            </w14:solidFill>
          </w14:textFill>
        </w:rPr>
        <w:instrText xml:space="preserve"> HYPERLINK \l _Toc13306 </w:instrText>
      </w:r>
      <w:r>
        <w:rPr>
          <w:bCs w:val="0"/>
          <w:caps w:val="0"/>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第一部分 投标邀请函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_Toc13306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fldChar w:fldCharType="end"/>
      </w:r>
      <w:r>
        <w:rPr>
          <w:bCs w:val="0"/>
          <w:caps w:val="0"/>
          <w:color w:val="000000" w:themeColor="text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_Toc15178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_Toc32255 </w:instrText>
      </w:r>
      <w:r>
        <w:rPr>
          <w:bCs/>
          <w:caps/>
          <w:color w:val="000000" w:themeColor="text1"/>
          <w:szCs w:val="21"/>
          <w:highlight w:val="none"/>
          <w14:textFill>
            <w14:solidFill>
              <w14:schemeClr w14:val="tx1"/>
            </w14:solidFill>
          </w14:textFill>
        </w:rPr>
        <w:fldChar w:fldCharType="separate"/>
      </w:r>
      <w:r>
        <w:rPr>
          <w:color w:val="000000" w:themeColor="text1"/>
          <w:kern w:val="0"/>
          <w:highlight w:val="none"/>
          <w14:textFill>
            <w14:solidFill>
              <w14:schemeClr w14:val="tx1"/>
            </w14:solidFill>
          </w14:textFill>
        </w:rPr>
        <w:t xml:space="preserve">A  </w:t>
      </w:r>
      <w:r>
        <w:rPr>
          <w:rFonts w:hint="eastAsia"/>
          <w:color w:val="000000" w:themeColor="text1"/>
          <w:kern w:val="0"/>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_Toc32255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_Toc15390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kern w:val="0"/>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_Toc15390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_Toc32379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第三部分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_Toc32379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_Toc21226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_Toc21226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_Toc3578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Ａ说明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_Toc3578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_Toc21217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 </w:t>
      </w:r>
      <w:r>
        <w:rPr>
          <w:rFonts w:hint="eastAsia"/>
          <w:color w:val="000000" w:themeColor="text1"/>
          <w:highlight w:val="none"/>
          <w14:textFill>
            <w14:solidFill>
              <w14:schemeClr w14:val="tx1"/>
            </w14:solidFill>
          </w14:textFill>
        </w:rPr>
        <w:t>适用范围和资金来源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_Toc21217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_Toc1113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 </w:t>
      </w:r>
      <w:r>
        <w:rPr>
          <w:rFonts w:hint="eastAsia"/>
          <w:color w:val="000000" w:themeColor="text1"/>
          <w:highlight w:val="none"/>
          <w14:textFill>
            <w14:solidFill>
              <w14:schemeClr w14:val="tx1"/>
            </w14:solidFill>
          </w14:textFill>
        </w:rPr>
        <w:t>定义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_Toc1113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_Toc2070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 </w:t>
      </w:r>
      <w:r>
        <w:rPr>
          <w:rFonts w:hint="eastAsia"/>
          <w:color w:val="000000" w:themeColor="text1"/>
          <w:highlight w:val="none"/>
          <w14:textFill>
            <w14:solidFill>
              <w14:schemeClr w14:val="tx1"/>
            </w14:solidFill>
          </w14:textFill>
        </w:rPr>
        <w:t>合格的投标人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_Toc10849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4 </w:t>
      </w:r>
      <w:r>
        <w:rPr>
          <w:rFonts w:hint="eastAsia"/>
          <w:color w:val="000000" w:themeColor="text1"/>
          <w:highlight w:val="none"/>
          <w14:textFill>
            <w14:solidFill>
              <w14:schemeClr w14:val="tx1"/>
            </w14:solidFill>
          </w14:textFill>
        </w:rPr>
        <w:t>投标费用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_Toc10849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_Toc6443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Ｂ招标文件说明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_Toc6443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_Toc28989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5 </w:t>
      </w:r>
      <w:r>
        <w:rPr>
          <w:rFonts w:hint="eastAsia"/>
          <w:color w:val="000000" w:themeColor="text1"/>
          <w:highlight w:val="none"/>
          <w14:textFill>
            <w14:solidFill>
              <w14:schemeClr w14:val="tx1"/>
            </w14:solidFill>
          </w14:textFill>
        </w:rPr>
        <w:t>招标文件的构成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_Toc28989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_Toc19303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6 </w:t>
      </w:r>
      <w:r>
        <w:rPr>
          <w:rFonts w:hint="eastAsia"/>
          <w:color w:val="000000" w:themeColor="text1"/>
          <w:highlight w:val="none"/>
          <w14:textFill>
            <w14:solidFill>
              <w14:schemeClr w14:val="tx1"/>
            </w14:solidFill>
          </w14:textFill>
        </w:rPr>
        <w:t>招标文件的澄清、修改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_Toc19303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_Toc26298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Ｃ投标文件的编制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_Toc26298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_Toc25725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7 </w:t>
      </w:r>
      <w:r>
        <w:rPr>
          <w:rFonts w:hint="eastAsia"/>
          <w:color w:val="000000" w:themeColor="text1"/>
          <w:highlight w:val="none"/>
          <w14:textFill>
            <w14:solidFill>
              <w14:schemeClr w14:val="tx1"/>
            </w14:solidFill>
          </w14:textFill>
        </w:rPr>
        <w:t>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_Toc25725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_Toc21617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8 </w:t>
      </w:r>
      <w:r>
        <w:rPr>
          <w:rFonts w:hint="eastAsia"/>
          <w:color w:val="000000" w:themeColor="text1"/>
          <w:highlight w:val="none"/>
          <w14:textFill>
            <w14:solidFill>
              <w14:schemeClr w14:val="tx1"/>
            </w14:solidFill>
          </w14:textFill>
        </w:rPr>
        <w:t>投标语言及计量单位</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_Toc21617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_Toc32653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9 </w:t>
      </w:r>
      <w:r>
        <w:rPr>
          <w:rFonts w:hint="eastAsia"/>
          <w:color w:val="000000" w:themeColor="text1"/>
          <w:highlight w:val="none"/>
          <w14:textFill>
            <w14:solidFill>
              <w14:schemeClr w14:val="tx1"/>
            </w14:solidFill>
          </w14:textFill>
        </w:rPr>
        <w:t>投标文件的构成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_Toc32653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_Toc10566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10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_Toc10566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_Toc5922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11 </w:t>
      </w:r>
      <w:r>
        <w:rPr>
          <w:rFonts w:hint="eastAsia"/>
          <w:color w:val="000000" w:themeColor="text1"/>
          <w:highlight w:val="none"/>
          <w14:textFill>
            <w14:solidFill>
              <w14:schemeClr w14:val="tx1"/>
            </w14:solidFill>
          </w14:textFill>
        </w:rPr>
        <w:t>资格证明文件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_Toc2023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12 </w:t>
      </w:r>
      <w:r>
        <w:rPr>
          <w:rFonts w:hint="eastAsia"/>
          <w:color w:val="000000" w:themeColor="text1"/>
          <w:highlight w:val="none"/>
          <w14:textFill>
            <w14:solidFill>
              <w14:schemeClr w14:val="tx1"/>
            </w14:solidFill>
          </w14:textFill>
        </w:rPr>
        <w:t>货物和服务的证明文件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_Toc21568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13 </w:t>
      </w:r>
      <w:r>
        <w:rPr>
          <w:rFonts w:hint="eastAsia"/>
          <w:color w:val="000000" w:themeColor="text1"/>
          <w:highlight w:val="none"/>
          <w14:textFill>
            <w14:solidFill>
              <w14:schemeClr w14:val="tx1"/>
            </w14:solidFill>
          </w14:textFill>
        </w:rPr>
        <w:t>投标报价与投标货币</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_Toc21568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_Toc27177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14 </w:t>
      </w:r>
      <w:r>
        <w:rPr>
          <w:rFonts w:hint="eastAsia"/>
          <w:color w:val="000000" w:themeColor="text1"/>
          <w:highlight w:val="none"/>
          <w14:textFill>
            <w14:solidFill>
              <w14:schemeClr w14:val="tx1"/>
            </w14:solidFill>
          </w14:textFill>
        </w:rPr>
        <w:t>投标保证金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_Toc27177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_Toc29374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15 </w:t>
      </w:r>
      <w:r>
        <w:rPr>
          <w:rFonts w:hint="eastAsia"/>
          <w:color w:val="000000" w:themeColor="text1"/>
          <w:highlight w:val="none"/>
          <w14:textFill>
            <w14:solidFill>
              <w14:schemeClr w14:val="tx1"/>
            </w14:solidFill>
          </w14:textFill>
        </w:rPr>
        <w:t>投标有效期</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_Toc29374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_Toc2173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16 </w:t>
      </w:r>
      <w:r>
        <w:rPr>
          <w:rFonts w:hint="eastAsia"/>
          <w:color w:val="000000" w:themeColor="text1"/>
          <w:highlight w:val="none"/>
          <w14:textFill>
            <w14:solidFill>
              <w14:schemeClr w14:val="tx1"/>
            </w14:solidFill>
          </w14:textFill>
        </w:rPr>
        <w:t>投标文件的签署及规定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_Toc19833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Ｄ投标文件的递交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_Toc19833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_Toc28108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17 </w:t>
      </w:r>
      <w:r>
        <w:rPr>
          <w:rFonts w:hint="eastAsia"/>
          <w:color w:val="000000" w:themeColor="text1"/>
          <w:highlight w:val="none"/>
          <w14:textFill>
            <w14:solidFill>
              <w14:schemeClr w14:val="tx1"/>
            </w14:solidFill>
          </w14:textFill>
        </w:rPr>
        <w:t>投标文件的密封和标记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_Toc28108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_Toc31018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18 </w:t>
      </w:r>
      <w:r>
        <w:rPr>
          <w:rFonts w:hint="eastAsia"/>
          <w:color w:val="000000" w:themeColor="text1"/>
          <w:highlight w:val="none"/>
          <w14:textFill>
            <w14:solidFill>
              <w14:schemeClr w14:val="tx1"/>
            </w14:solidFill>
          </w14:textFill>
        </w:rPr>
        <w:t>递交投标文件的时间、地点及截止时间</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_Toc31018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_Toc9087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19 </w:t>
      </w:r>
      <w:r>
        <w:rPr>
          <w:rFonts w:hint="eastAsia"/>
          <w:color w:val="000000" w:themeColor="text1"/>
          <w:highlight w:val="none"/>
          <w14:textFill>
            <w14:solidFill>
              <w14:schemeClr w14:val="tx1"/>
            </w14:solidFill>
          </w14:textFill>
        </w:rPr>
        <w:t>迟交的投标文件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_Toc9087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_Toc19171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20 </w:t>
      </w:r>
      <w:r>
        <w:rPr>
          <w:rFonts w:hint="eastAsia"/>
          <w:color w:val="000000" w:themeColor="text1"/>
          <w:highlight w:val="none"/>
          <w14:textFill>
            <w14:solidFill>
              <w14:schemeClr w14:val="tx1"/>
            </w14:solidFill>
          </w14:textFill>
        </w:rPr>
        <w:t>投标文件的修改和撤回</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_Toc19171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_Toc32384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Ｅ开标和评标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_Toc32384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_Toc20351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21 </w:t>
      </w:r>
      <w:r>
        <w:rPr>
          <w:rFonts w:hint="eastAsia"/>
          <w:color w:val="000000" w:themeColor="text1"/>
          <w:highlight w:val="none"/>
          <w14:textFill>
            <w14:solidFill>
              <w14:schemeClr w14:val="tx1"/>
            </w14:solidFill>
          </w14:textFill>
        </w:rPr>
        <w:t>开标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_Toc20351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_Toc7533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22 </w:t>
      </w:r>
      <w:r>
        <w:rPr>
          <w:rFonts w:hint="eastAsia"/>
          <w:color w:val="000000" w:themeColor="text1"/>
          <w:highlight w:val="none"/>
          <w14:textFill>
            <w14:solidFill>
              <w14:schemeClr w14:val="tx1"/>
            </w14:solidFill>
          </w14:textFill>
        </w:rPr>
        <w:t>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_Toc7533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_Toc9100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23 </w:t>
      </w:r>
      <w:r>
        <w:rPr>
          <w:rFonts w:hint="eastAsia"/>
          <w:color w:val="000000" w:themeColor="text1"/>
          <w:highlight w:val="none"/>
          <w14:textFill>
            <w14:solidFill>
              <w14:schemeClr w14:val="tx1"/>
            </w14:solidFill>
          </w14:textFill>
        </w:rPr>
        <w:t>对投标文件的初审和响应性的确定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_Toc9100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_Toc26980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24 </w:t>
      </w:r>
      <w:r>
        <w:rPr>
          <w:rFonts w:hint="eastAsia"/>
          <w:color w:val="000000" w:themeColor="text1"/>
          <w:highlight w:val="none"/>
          <w14:textFill>
            <w14:solidFill>
              <w14:schemeClr w14:val="tx1"/>
            </w14:solidFill>
          </w14:textFill>
        </w:rPr>
        <w:t>投标报价的审核</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_Toc26980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_Toc22385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25 </w:t>
      </w:r>
      <w:r>
        <w:rPr>
          <w:rFonts w:hint="eastAsia"/>
          <w:color w:val="000000" w:themeColor="text1"/>
          <w:highlight w:val="none"/>
          <w14:textFill>
            <w14:solidFill>
              <w14:schemeClr w14:val="tx1"/>
            </w14:solidFill>
          </w14:textFill>
        </w:rPr>
        <w:t>询标及投标文件的澄清</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_Toc22385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_Toc13823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26 </w:t>
      </w:r>
      <w:r>
        <w:rPr>
          <w:rFonts w:hint="eastAsia"/>
          <w:color w:val="000000" w:themeColor="text1"/>
          <w:highlight w:val="none"/>
          <w14:textFill>
            <w14:solidFill>
              <w14:schemeClr w14:val="tx1"/>
            </w14:solidFill>
          </w14:textFill>
        </w:rPr>
        <w:t>评标原则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_Toc13823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_Toc10721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27 </w:t>
      </w:r>
      <w:r>
        <w:rPr>
          <w:rFonts w:hint="eastAsia"/>
          <w:color w:val="000000" w:themeColor="text1"/>
          <w:highlight w:val="none"/>
          <w14:textFill>
            <w14:solidFill>
              <w14:schemeClr w14:val="tx1"/>
            </w14:solidFill>
          </w14:textFill>
        </w:rPr>
        <w:t>评标标准和办法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_Toc10721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_Toc17032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28 </w:t>
      </w:r>
      <w:r>
        <w:rPr>
          <w:rFonts w:hint="eastAsia"/>
          <w:color w:val="000000" w:themeColor="text1"/>
          <w:highlight w:val="none"/>
          <w14:textFill>
            <w14:solidFill>
              <w14:schemeClr w14:val="tx1"/>
            </w14:solidFill>
          </w14:textFill>
        </w:rPr>
        <w:t>评标注意事项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_Toc17032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_Toc29407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29 </w:t>
      </w:r>
      <w:r>
        <w:rPr>
          <w:rFonts w:hint="eastAsia"/>
          <w:color w:val="000000" w:themeColor="text1"/>
          <w:highlight w:val="none"/>
          <w14:textFill>
            <w14:solidFill>
              <w14:schemeClr w14:val="tx1"/>
            </w14:solidFill>
          </w14:textFill>
        </w:rPr>
        <w:t>接受和拒绝投标的权利</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_Toc29407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_Toc11623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30 </w:t>
      </w:r>
      <w:r>
        <w:rPr>
          <w:rFonts w:hint="eastAsia"/>
          <w:color w:val="000000" w:themeColor="text1"/>
          <w:highlight w:val="none"/>
          <w14:textFill>
            <w14:solidFill>
              <w14:schemeClr w14:val="tx1"/>
            </w14:solidFill>
          </w14:textFill>
        </w:rPr>
        <w:t>发布中标结果公告和发放中标通知书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_Toc11225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31 </w:t>
      </w:r>
      <w:r>
        <w:rPr>
          <w:rFonts w:hint="eastAsia"/>
          <w:color w:val="000000" w:themeColor="text1"/>
          <w:highlight w:val="none"/>
          <w14:textFill>
            <w14:solidFill>
              <w14:schemeClr w14:val="tx1"/>
            </w14:solidFill>
          </w14:textFill>
        </w:rPr>
        <w:t>投标人对中标结果的质疑、投诉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_Toc11225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_Toc13394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Ｆ  授予合同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_Toc13394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_Toc9639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32 </w:t>
      </w:r>
      <w:r>
        <w:rPr>
          <w:rFonts w:hint="eastAsia"/>
          <w:color w:val="000000" w:themeColor="text1"/>
          <w:highlight w:val="none"/>
          <w14:textFill>
            <w14:solidFill>
              <w14:schemeClr w14:val="tx1"/>
            </w14:solidFill>
          </w14:textFill>
        </w:rPr>
        <w:t>合同授予标准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_Toc9639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_Toc11990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33 </w:t>
      </w:r>
      <w:r>
        <w:rPr>
          <w:rFonts w:hint="eastAsia"/>
          <w:color w:val="000000" w:themeColor="text1"/>
          <w:highlight w:val="none"/>
          <w14:textFill>
            <w14:solidFill>
              <w14:schemeClr w14:val="tx1"/>
            </w14:solidFill>
          </w14:textFill>
        </w:rPr>
        <w:t>签订合同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_Toc11990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_Toc17264 </w:instrText>
      </w:r>
      <w:r>
        <w:rPr>
          <w:bCs/>
          <w:caps/>
          <w:color w:val="000000" w:themeColor="text1"/>
          <w:szCs w:val="21"/>
          <w:highlight w:val="none"/>
          <w14:textFill>
            <w14:solidFill>
              <w14:schemeClr w14:val="tx1"/>
            </w14:solidFill>
          </w14:textFill>
        </w:rPr>
        <w:fldChar w:fldCharType="separate"/>
      </w:r>
      <w:r>
        <w:rPr>
          <w:color w:val="000000" w:themeColor="text1"/>
          <w:highlight w:val="none"/>
          <w14:textFill>
            <w14:solidFill>
              <w14:schemeClr w14:val="tx1"/>
            </w14:solidFill>
          </w14:textFill>
        </w:rPr>
        <w:t>G</w:t>
      </w:r>
      <w:r>
        <w:rPr>
          <w:rFonts w:hint="eastAsia"/>
          <w:color w:val="000000" w:themeColor="text1"/>
          <w:highlight w:val="none"/>
          <w14:textFill>
            <w14:solidFill>
              <w14:schemeClr w14:val="tx1"/>
            </w14:solidFill>
          </w14:textFill>
        </w:rPr>
        <w:t>、政府采购政策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_Toc24097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H、评标细则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_Toc24097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_Toc2495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第四部分  采购项目合同（参考范本）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_Toc17473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第五部分投标文件格式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_Toc17473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_Toc2903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资格审查封面格式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_Toc2903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_Toc1585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第一章 </w:t>
      </w:r>
      <w:r>
        <w:rPr>
          <w:rFonts w:hint="eastAsia"/>
          <w:color w:val="000000" w:themeColor="text1"/>
          <w:highlight w:val="none"/>
          <w14:textFill>
            <w14:solidFill>
              <w14:schemeClr w14:val="tx1"/>
            </w14:solidFill>
          </w14:textFill>
        </w:rPr>
        <w:t>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_Toc1585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_Toc18818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资格性自查表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_Toc14181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（一）资格审查文件要求提交的有效证明文件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_Toc14181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_Toc3050 </w:instrText>
      </w:r>
      <w:r>
        <w:rPr>
          <w:bCs/>
          <w:caps/>
          <w:color w:val="000000" w:themeColor="text1"/>
          <w:szCs w:val="21"/>
          <w:highlight w:val="none"/>
          <w14:textFill>
            <w14:solidFill>
              <w14:schemeClr w14:val="tx1"/>
            </w14:solidFill>
          </w14:textFill>
        </w:rPr>
        <w:fldChar w:fldCharType="separate"/>
      </w:r>
      <w:r>
        <w:rPr>
          <w:rFonts w:hint="eastAsia" w:hAnsi="黑体"/>
          <w:color w:val="000000" w:themeColor="text1"/>
          <w:szCs w:val="21"/>
          <w:highlight w:val="none"/>
          <w14:textFill>
            <w14:solidFill>
              <w14:schemeClr w14:val="tx1"/>
            </w14:solidFill>
          </w14:textFill>
        </w:rPr>
        <w:t>（二）无重大违法记录声明函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_Toc3050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_Toc8895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第二章 </w:t>
      </w:r>
      <w:r>
        <w:rPr>
          <w:rFonts w:hint="eastAsia"/>
          <w:color w:val="000000" w:themeColor="text1"/>
          <w:highlight w:val="none"/>
          <w14:textFill>
            <w14:solidFill>
              <w14:schemeClr w14:val="tx1"/>
            </w14:solidFill>
          </w14:textFill>
        </w:rPr>
        <w:t>投标文件商务及技术部分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_Toc8895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_Toc5191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商务及技术封面格式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_Toc5191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_Toc1033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_Toc29794 </w:instrText>
      </w:r>
      <w:r>
        <w:rPr>
          <w:bCs/>
          <w:caps/>
          <w:color w:val="000000" w:themeColor="text1"/>
          <w:szCs w:val="21"/>
          <w:highlight w:val="none"/>
          <w14:textFill>
            <w14:solidFill>
              <w14:schemeClr w14:val="tx1"/>
            </w14:solidFill>
          </w14:textFill>
        </w:rPr>
        <w:fldChar w:fldCharType="separate"/>
      </w:r>
      <w:r>
        <w:rPr>
          <w:rFonts w:hint="eastAsia" w:ascii="宋体"/>
          <w:color w:val="000000" w:themeColor="text1"/>
          <w:szCs w:val="21"/>
          <w:highlight w:val="none"/>
          <w14:textFill>
            <w14:solidFill>
              <w14:schemeClr w14:val="tx1"/>
            </w14:solidFill>
          </w14:textFill>
        </w:rPr>
        <w:t>评审项目投标资料表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_Toc29794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_Toc32365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（一）法定代表人（负责人）证明书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_Toc32365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_Toc16696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（二）法定代表人（负责人）授权书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_Toc16696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_Toc16259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附件一：投标函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_Toc16259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_Toc29772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附件二：开标一览表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_Toc29772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_Toc31719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附件三：商务条款偏离一览表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_Toc31719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_Toc5218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四</w:t>
      </w:r>
      <w:r>
        <w:rPr>
          <w:rFonts w:hint="eastAsia"/>
          <w:color w:val="000000" w:themeColor="text1"/>
          <w:highlight w:val="none"/>
          <w14:textFill>
            <w14:solidFill>
              <w14:schemeClr w14:val="tx1"/>
            </w14:solidFill>
          </w14:textFill>
        </w:rPr>
        <w:t>：技术条款偏离一览表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_Toc5218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_Toc6525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五</w:t>
      </w:r>
      <w:r>
        <w:rPr>
          <w:rFonts w:hint="eastAsia"/>
          <w:color w:val="000000" w:themeColor="text1"/>
          <w:highlight w:val="none"/>
          <w14:textFill>
            <w14:solidFill>
              <w14:schemeClr w14:val="tx1"/>
            </w14:solidFill>
          </w14:textFill>
        </w:rPr>
        <w:t>：同类业绩一览表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_Toc6525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_Toc18746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六</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中小微企业声明函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_Toc18746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_Toc15559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七</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残疾人福利性单位声明函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_Toc15559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_Toc23048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：中标服务费承诺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_Toc23048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_Toc23033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九</w:t>
      </w:r>
      <w:r>
        <w:rPr>
          <w:rFonts w:hint="eastAsia"/>
          <w:color w:val="000000" w:themeColor="text1"/>
          <w:highlight w:val="none"/>
          <w14:textFill>
            <w14:solidFill>
              <w14:schemeClr w14:val="tx1"/>
            </w14:solidFill>
          </w14:textFill>
        </w:rPr>
        <w:t>：投标人提交的其它商务和技术资料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_Toc23033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_Toc21688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其 他 格 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_Toc21688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_Toc12214 </w:instrText>
      </w:r>
      <w:r>
        <w:rPr>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投标保证金退付书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_Toc12214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rPr>
          <w:color w:val="000000" w:themeColor="text1"/>
          <w:highlight w:val="none"/>
          <w14:textFill>
            <w14:solidFill>
              <w14:schemeClr w14:val="tx1"/>
            </w14:solidFill>
          </w14:textFill>
        </w:rPr>
        <w:sectPr>
          <w:headerReference r:id="rId8" w:type="first"/>
          <w:footerReference r:id="rId9" w:type="first"/>
          <w:headerReference r:id="rId7"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14:textFill>
            <w14:solidFill>
              <w14:schemeClr w14:val="tx1"/>
            </w14:solidFill>
          </w14:textFill>
        </w:rPr>
        <w:fldChar w:fldCharType="end"/>
      </w:r>
    </w:p>
    <w:bookmarkEnd w:id="0"/>
    <w:p>
      <w:pPr>
        <w:pStyle w:val="3"/>
        <w:numPr>
          <w:ilvl w:val="0"/>
          <w:numId w:val="0"/>
        </w:numPr>
        <w:spacing w:beforeLines="0"/>
        <w:rPr>
          <w:color w:val="000000" w:themeColor="text1"/>
          <w:highlight w:val="none"/>
          <w14:textFill>
            <w14:solidFill>
              <w14:schemeClr w14:val="tx1"/>
            </w14:solidFill>
          </w14:textFill>
        </w:rPr>
      </w:pPr>
      <w:bookmarkStart w:id="1" w:name="_Toc365967002"/>
      <w:bookmarkStart w:id="2" w:name="_Toc341348291"/>
      <w:bookmarkStart w:id="3" w:name="_Toc349143546"/>
      <w:bookmarkStart w:id="4" w:name="_Toc13306"/>
      <w:bookmarkStart w:id="5" w:name="_Toc350756403"/>
      <w:bookmarkStart w:id="6" w:name="_Toc333237723"/>
      <w:bookmarkStart w:id="7" w:name="_Toc336681537"/>
      <w:bookmarkStart w:id="8" w:name="_Toc339019828"/>
      <w:bookmarkStart w:id="9" w:name="_Toc342296708"/>
      <w:bookmarkStart w:id="10" w:name="_Toc332206657"/>
      <w:bookmarkStart w:id="11" w:name="_Toc340672830"/>
      <w:bookmarkStart w:id="12" w:name="_Toc339362257"/>
      <w:bookmarkStart w:id="13" w:name="_Toc332270305"/>
      <w:bookmarkStart w:id="14" w:name="_Toc333238571"/>
      <w:bookmarkStart w:id="15" w:name="_Toc336681892"/>
      <w:bookmarkStart w:id="16" w:name="_Toc365985108"/>
      <w:bookmarkStart w:id="17" w:name="_Toc331683994"/>
      <w:bookmarkStart w:id="18" w:name="_Toc366072457"/>
      <w:bookmarkStart w:id="19" w:name="_Toc337632315"/>
      <w:bookmarkStart w:id="20" w:name="_Toc339020048"/>
      <w:bookmarkStart w:id="21" w:name="_Toc345513762"/>
      <w:bookmarkStart w:id="22" w:name="_Toc340507403"/>
      <w:bookmarkStart w:id="23" w:name="_Toc349127583"/>
      <w:bookmarkStart w:id="24" w:name="_Toc340677031"/>
      <w:bookmarkStart w:id="25" w:name="_Toc339019954"/>
      <w:bookmarkStart w:id="26" w:name="_Toc330459945"/>
      <w:bookmarkStart w:id="27" w:name="_Toc342060322"/>
      <w:bookmarkStart w:id="28" w:name="_Toc333237612"/>
      <w:bookmarkStart w:id="29" w:name="_Toc333935619"/>
      <w:bookmarkStart w:id="30" w:name="_Toc339441044"/>
      <w:bookmarkStart w:id="31" w:name="_Toc333935278"/>
      <w:bookmarkStart w:id="32" w:name="_Toc339020186"/>
      <w:bookmarkStart w:id="33" w:name="_Toc350438702"/>
      <w:bookmarkStart w:id="34" w:name="_Toc331512856"/>
      <w:bookmarkStart w:id="35" w:name="_Toc500860978"/>
      <w:r>
        <w:rPr>
          <w:rFonts w:hint="eastAsia"/>
          <w:color w:val="000000" w:themeColor="text1"/>
          <w:highlight w:val="none"/>
          <w14:textFill>
            <w14:solidFill>
              <w14:schemeClr w14:val="tx1"/>
            </w14:solidFill>
          </w14:textFill>
        </w:rPr>
        <w:t>第一</w:t>
      </w:r>
      <w:bookmarkStart w:id="36" w:name="_Hlt23321731"/>
      <w:bookmarkEnd w:id="36"/>
      <w:r>
        <w:rPr>
          <w:rFonts w:hint="eastAsia"/>
          <w:color w:val="000000" w:themeColor="text1"/>
          <w:highlight w:val="none"/>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广东业信招标有限公司</w:t>
      </w:r>
      <w:r>
        <w:rPr>
          <w:rFonts w:hint="eastAsia" w:ascii="宋体" w:hAnsi="宋体"/>
          <w:bCs/>
          <w:color w:val="000000" w:themeColor="text1"/>
          <w:highlight w:val="none"/>
          <w14:textFill>
            <w14:solidFill>
              <w14:schemeClr w14:val="tx1"/>
            </w14:solidFill>
          </w14:textFill>
        </w:rPr>
        <w:t>（以下简称“代理采购机构”）受</w:t>
      </w:r>
      <w:r>
        <w:rPr>
          <w:rFonts w:hint="eastAsia" w:ascii="宋体" w:hAnsi="宋体"/>
          <w:bCs/>
          <w:color w:val="000000" w:themeColor="text1"/>
          <w:highlight w:val="none"/>
          <w:lang w:eastAsia="zh-CN"/>
          <w14:textFill>
            <w14:solidFill>
              <w14:schemeClr w14:val="tx1"/>
            </w14:solidFill>
          </w14:textFill>
        </w:rPr>
        <w:t>阳西县人力资源和社会保障局</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阳西县创业担保贷款代理银行采购项目</w:t>
      </w:r>
      <w:r>
        <w:rPr>
          <w:rFonts w:hint="eastAsia" w:ascii="宋体" w:hAnsi="宋体"/>
          <w:bCs/>
          <w:color w:val="000000" w:themeColor="text1"/>
          <w:highlight w:val="none"/>
          <w14:textFill>
            <w14:solidFill>
              <w14:schemeClr w14:val="tx1"/>
            </w14:solidFill>
          </w14:textFill>
        </w:rPr>
        <w:t>进行公开招标(项目编号:</w:t>
      </w:r>
      <w:r>
        <w:rPr>
          <w:rFonts w:hint="eastAsia" w:ascii="宋体" w:hAnsi="宋体"/>
          <w:bCs/>
          <w:color w:val="000000" w:themeColor="text1"/>
          <w:highlight w:val="none"/>
          <w:lang w:eastAsia="zh-CN"/>
          <w14:textFill>
            <w14:solidFill>
              <w14:schemeClr w14:val="tx1"/>
            </w14:solidFill>
          </w14:textFill>
        </w:rPr>
        <w:t>YXZB-20230913</w:t>
      </w:r>
      <w:r>
        <w:rPr>
          <w:rFonts w:hint="eastAsia" w:ascii="宋体" w:hAnsi="宋体"/>
          <w:bCs/>
          <w:color w:val="000000" w:themeColor="text1"/>
          <w:highlight w:val="none"/>
          <w14:textFill>
            <w14:solidFill>
              <w14:schemeClr w14:val="tx1"/>
            </w14:solidFill>
          </w14:textFill>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Tahoma" w:hAnsi="Tahoma" w:cs="Tahoma"/>
          <w:b/>
          <w:bCs/>
          <w:color w:val="000000" w:themeColor="text1"/>
          <w:szCs w:val="21"/>
          <w:highlight w:val="none"/>
          <w14:textFill>
            <w14:solidFill>
              <w14:schemeClr w14:val="tx1"/>
            </w14:solidFill>
          </w14:textFill>
        </w:rPr>
        <w:t>招标项目的名称、用途、数量、采购方式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1785" w:leftChars="200" w:hanging="1365" w:hangingChars="6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ascii="宋体" w:hAnsi="宋体"/>
          <w:bCs/>
          <w:color w:val="000000" w:themeColor="text1"/>
          <w:highlight w:val="none"/>
          <w:lang w:eastAsia="zh-CN"/>
          <w14:textFill>
            <w14:solidFill>
              <w14:schemeClr w14:val="tx1"/>
            </w14:solidFill>
          </w14:textFill>
        </w:rPr>
        <w:t>阳西县创业担保贷款代理银行采购项目</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Cs/>
          <w:color w:val="000000" w:themeColor="text1"/>
          <w:highlight w:val="none"/>
          <w:lang w:eastAsia="zh-CN"/>
          <w14:textFill>
            <w14:solidFill>
              <w14:schemeClr w14:val="tx1"/>
            </w14:solidFill>
          </w14:textFill>
        </w:rPr>
        <w:t>：YXZB-20230913</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数  量：一项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服务期：3年。从合同生效之日起开始计算。（</w:t>
      </w:r>
      <w:r>
        <w:rPr>
          <w:rFonts w:hint="eastAsia" w:ascii="宋体" w:hAnsi="宋体"/>
          <w:color w:val="000000" w:themeColor="text1"/>
          <w:szCs w:val="21"/>
          <w:highlight w:val="none"/>
          <w:lang w:val="en-US" w:eastAsia="zh-CN"/>
          <w14:textFill>
            <w14:solidFill>
              <w14:schemeClr w14:val="tx1"/>
            </w14:solidFill>
          </w14:textFill>
        </w:rPr>
        <w:t>少于</w:t>
      </w:r>
      <w:r>
        <w:rPr>
          <w:rFonts w:hint="eastAsia" w:ascii="宋体" w:hAnsi="宋体"/>
          <w:color w:val="000000" w:themeColor="text1"/>
          <w:szCs w:val="21"/>
          <w:highlight w:val="none"/>
          <w14:textFill>
            <w14:solidFill>
              <w14:schemeClr w14:val="tx1"/>
            </w14:solidFill>
          </w14:textFill>
        </w:rPr>
        <w:t>该服务期将作为无效投标处理）</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5.中标供应商数量：1家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（1）具有独立承担民事责任的能力；</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（2）具有良好的商业信誉和健全的财务会计制度；</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（3）具有履行合同所必需的设备和专业技术能力；</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（4）有依法缴纳税收和社会保障资金的良好记录；</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（5）参加政府采购活动前三年内，在经营活动中没有重大违法记录；</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（6）法律、行政法规规定的其他条件。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2.投标人应为在阳西县依法设立并取得营业执照的县级商业银行、农村商业银行等吸收公众存款的金融机构以及政策性银行</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提供《金融许可证》</w:t>
      </w:r>
      <w:r>
        <w:rPr>
          <w:rFonts w:hint="eastAsia" w:ascii="宋体" w:hAnsi="宋体"/>
          <w:color w:val="000000" w:themeColor="text1"/>
          <w:szCs w:val="21"/>
          <w:highlight w:val="none"/>
          <w:lang w:eastAsia="zh-CN"/>
          <w14:textFill>
            <w14:solidFill>
              <w14:schemeClr w14:val="tx1"/>
            </w14:solidFill>
          </w14:textFill>
        </w:rPr>
        <w:t>）</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本项目不接受联合体投标，中标单位不得转分包项目；</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投标人须在招标代理机构登记并购买招标文件。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三、</w:t>
      </w:r>
      <w:r>
        <w:rPr>
          <w:rFonts w:ascii="Tahoma" w:hAnsi="Tahoma" w:cs="Tahoma"/>
          <w:b/>
          <w:bCs/>
          <w:color w:val="000000" w:themeColor="text1"/>
          <w:szCs w:val="21"/>
          <w:highlight w:val="none"/>
          <w14:textFill>
            <w14:solidFill>
              <w14:schemeClr w14:val="tx1"/>
            </w14:solidFill>
          </w14:textFill>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r>
        <w:rPr>
          <w:rFonts w:hint="eastAsia" w:ascii="宋体" w:hAnsi="宋体" w:cs="Arial"/>
          <w:color w:val="000000" w:themeColor="text1"/>
          <w:highlight w:val="none"/>
          <w14:textFill>
            <w14:solidFill>
              <w14:schemeClr w14:val="tx1"/>
            </w14:solidFill>
          </w14:textFill>
        </w:rPr>
        <w:t>招标文件公示时</w:t>
      </w:r>
      <w:r>
        <w:rPr>
          <w:rFonts w:hint="eastAsia" w:ascii="宋体" w:hAnsi="宋体"/>
          <w:bCs/>
          <w:color w:val="000000" w:themeColor="text1"/>
          <w:highlight w:val="none"/>
          <w14:textFill>
            <w14:solidFill>
              <w14:schemeClr w14:val="tx1"/>
            </w14:solidFill>
          </w14:textFill>
        </w:rPr>
        <w:t>间及下载：</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10</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26</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eastAsia="宋体" w:cs="宋体"/>
          <w:color w:val="000000" w:themeColor="text1"/>
          <w:szCs w:val="21"/>
          <w:highlight w:val="none"/>
          <w14:textFill>
            <w14:solidFill>
              <w14:schemeClr w14:val="tx1"/>
            </w14:solidFill>
          </w14:textFill>
        </w:rPr>
        <w:t>至</w:t>
      </w:r>
      <w:r>
        <w:rPr>
          <w:rFonts w:hint="eastAsia" w:ascii="宋体" w:hAnsi="宋体" w:eastAsia="宋体" w:cs="宋体"/>
          <w:color w:val="000000" w:themeColor="text1"/>
          <w:szCs w:val="21"/>
          <w:highlight w:val="none"/>
          <w:lang w:val="en-US" w:eastAsia="zh-CN"/>
          <w14:textFill>
            <w14:solidFill>
              <w14:schemeClr w14:val="tx1"/>
            </w14:solidFill>
          </w14:textFill>
        </w:rPr>
        <w:t>202</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11</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16</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100" w:hanging="105" w:hangingChars="50"/>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14:textFill>
            <w14:solidFill>
              <w14:schemeClr w14:val="tx1"/>
            </w14:solidFill>
          </w14:textFill>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1.购买招标文件</w:t>
      </w:r>
      <w:r>
        <w:rPr>
          <w:rFonts w:hint="eastAsia" w:ascii="宋体" w:hAnsi="宋体" w:eastAsia="宋体" w:cs="宋体"/>
          <w:bCs/>
          <w:color w:val="000000" w:themeColor="text1"/>
          <w:highlight w:val="none"/>
          <w14:textFill>
            <w14:solidFill>
              <w14:schemeClr w14:val="tx1"/>
            </w14:solidFill>
          </w14:textFill>
        </w:rPr>
        <w:t>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10</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26</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eastAsia="宋体" w:cs="宋体"/>
          <w:color w:val="000000" w:themeColor="text1"/>
          <w:szCs w:val="21"/>
          <w:highlight w:val="none"/>
          <w14:textFill>
            <w14:solidFill>
              <w14:schemeClr w14:val="tx1"/>
            </w14:solidFill>
          </w14:textFill>
        </w:rPr>
        <w:t>至</w:t>
      </w:r>
      <w:r>
        <w:rPr>
          <w:rFonts w:hint="eastAsia" w:ascii="宋体" w:hAnsi="宋体" w:eastAsia="宋体" w:cs="宋体"/>
          <w:color w:val="000000" w:themeColor="text1"/>
          <w:szCs w:val="21"/>
          <w:highlight w:val="none"/>
          <w:lang w:val="en-US" w:eastAsia="zh-CN"/>
          <w14:textFill>
            <w14:solidFill>
              <w14:schemeClr w14:val="tx1"/>
            </w14:solidFill>
          </w14:textFill>
        </w:rPr>
        <w:t>202</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11</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16</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eastAsia="宋体" w:cs="宋体"/>
          <w:bCs/>
          <w:color w:val="000000" w:themeColor="text1"/>
          <w:highlight w:val="none"/>
          <w14:textFill>
            <w14:solidFill>
              <w14:schemeClr w14:val="tx1"/>
            </w14:solidFill>
          </w14:textFill>
        </w:rPr>
        <w:t>，上午9:00～12:00，下午2:30～5:30（节假日除外）（北</w:t>
      </w:r>
      <w:r>
        <w:rPr>
          <w:rFonts w:hint="eastAsia" w:ascii="宋体" w:hAnsi="宋体" w:eastAsia="宋体" w:cs="宋体"/>
          <w:color w:val="000000" w:themeColor="text1"/>
          <w:highlight w:val="none"/>
          <w14:textFill>
            <w14:solidFill>
              <w14:schemeClr w14:val="tx1"/>
            </w14:solidFill>
          </w14:textFill>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2.购买招标文件地点：</w:t>
      </w:r>
      <w:r>
        <w:rPr>
          <w:rFonts w:hint="eastAsia" w:ascii="宋体" w:hAnsi="宋体" w:eastAsia="宋体" w:cs="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szCs w:val="21"/>
          <w:highlight w:val="none"/>
          <w:lang w:val="en-US" w:eastAsia="zh-CN"/>
          <w14:textFill>
            <w14:solidFill>
              <w14:schemeClr w14:val="tx1"/>
            </w14:solidFill>
          </w14:textFill>
        </w:rPr>
        <w:t>205室</w:t>
      </w:r>
      <w:r>
        <w:rPr>
          <w:rFonts w:hint="eastAsia" w:ascii="宋体" w:hAnsi="宋体" w:eastAsia="宋体" w:cs="宋体"/>
          <w:color w:val="000000" w:themeColor="text1"/>
          <w:szCs w:val="2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3.招标文件售价：</w:t>
      </w:r>
      <w:r>
        <w:rPr>
          <w:rFonts w:hint="eastAsia" w:ascii="宋体" w:hAnsi="宋体" w:eastAsia="宋体" w:cs="宋体"/>
          <w:bCs/>
          <w:color w:val="000000" w:themeColor="text1"/>
          <w:szCs w:val="21"/>
          <w:highlight w:val="none"/>
          <w14:textFill>
            <w14:solidFill>
              <w14:schemeClr w14:val="tx1"/>
            </w14:solidFill>
          </w14:textFill>
        </w:rPr>
        <w:t>招标文件每套人民币300元，售后不退</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5.</w:t>
      </w:r>
      <w:r>
        <w:rPr>
          <w:rFonts w:hint="eastAsia" w:ascii="宋体" w:hAnsi="宋体" w:eastAsia="宋体" w:cs="宋体"/>
          <w:bCs/>
          <w:color w:val="000000" w:themeColor="text1"/>
          <w:szCs w:val="21"/>
          <w:highlight w:val="none"/>
          <w14:textFill>
            <w14:solidFill>
              <w14:schemeClr w14:val="tx1"/>
            </w14:solidFill>
          </w14:textFill>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营业执照副本复印件和相关资质证书复印件及《购买标书登记表》加盖公章到指定地址购买。</w:t>
      </w:r>
      <w:r>
        <w:rPr>
          <w:rFonts w:hint="eastAsia" w:ascii="宋体" w:hAnsi="宋体" w:eastAsia="宋体" w:cs="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2）供应商须提供未被列入“信用中国”网站(www.creditchina.gov.cn)“记录失信被执行人或</w:t>
      </w:r>
      <w:r>
        <w:rPr>
          <w:rFonts w:hint="eastAsia" w:ascii="宋体" w:hAnsi="宋体" w:eastAsia="宋体" w:cs="宋体"/>
          <w:b/>
          <w:bCs/>
          <w:color w:val="000000" w:themeColor="text1"/>
          <w:highlight w:val="none"/>
          <w:lang w:val="en-US" w:eastAsia="zh-CN"/>
          <w14:textFill>
            <w14:solidFill>
              <w14:schemeClr w14:val="tx1"/>
            </w14:solidFill>
          </w14:textFill>
        </w:rPr>
        <w:t>重大税收违法失信主体</w:t>
      </w:r>
      <w:r>
        <w:rPr>
          <w:rFonts w:hint="eastAsia" w:ascii="宋体" w:hAnsi="宋体" w:eastAsia="宋体" w:cs="宋体"/>
          <w:b/>
          <w:bCs/>
          <w:color w:val="000000" w:themeColor="text1"/>
          <w:highlight w:val="none"/>
          <w14:textFill>
            <w14:solidFill>
              <w14:schemeClr w14:val="tx1"/>
            </w14:solidFill>
          </w14:textFill>
        </w:rPr>
        <w:t>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1.递交投标文件时间：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12</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4</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 xml:space="preserve">  14</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0-</w:t>
      </w:r>
      <w:r>
        <w:rPr>
          <w:rFonts w:hint="eastAsia" w:ascii="宋体" w:hAnsi="宋体" w:cs="宋体"/>
          <w:color w:val="000000" w:themeColor="text1"/>
          <w:highlight w:val="none"/>
          <w:lang w:val="en-US" w:eastAsia="zh-CN"/>
          <w14:textFill>
            <w14:solidFill>
              <w14:schemeClr w14:val="tx1"/>
            </w14:solidFill>
          </w14:textFill>
        </w:rPr>
        <w:t>15</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00</w:t>
      </w:r>
      <w:r>
        <w:rPr>
          <w:rFonts w:hint="eastAsia" w:ascii="宋体" w:hAnsi="宋体" w:eastAsia="宋体" w:cs="宋体"/>
          <w:color w:val="000000" w:themeColor="text1"/>
          <w:highlight w:val="none"/>
          <w14:textFill>
            <w14:solidFill>
              <w14:schemeClr w14:val="tx1"/>
            </w14:solidFill>
          </w14:textFill>
        </w:rPr>
        <w:t xml:space="preserve"> (北京时间)。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2.投标截止时间、开标时间：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12</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4</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 xml:space="preserve">  15</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00</w:t>
      </w:r>
      <w:r>
        <w:rPr>
          <w:rFonts w:hint="eastAsia" w:ascii="宋体" w:hAnsi="宋体" w:eastAsia="宋体" w:cs="宋体"/>
          <w:color w:val="000000" w:themeColor="text1"/>
          <w:highlight w:val="none"/>
          <w14:textFill>
            <w14:solidFill>
              <w14:schemeClr w14:val="tx1"/>
            </w14:solidFill>
          </w14:textFill>
        </w:rPr>
        <w:t>(北京时间)。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3.递交投标文件地点、开标地点：</w:t>
      </w:r>
      <w:r>
        <w:rPr>
          <w:rFonts w:hint="eastAsia" w:ascii="宋体" w:hAnsi="宋体" w:eastAsia="宋体" w:cs="宋体"/>
          <w:color w:val="000000" w:themeColor="text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highlight w:val="none"/>
          <w:lang w:val="en-US" w:eastAsia="zh-CN"/>
          <w14:textFill>
            <w14:solidFill>
              <w14:schemeClr w14:val="tx1"/>
            </w14:solidFill>
          </w14:textFill>
        </w:rPr>
        <w:t>201</w:t>
      </w:r>
      <w:r>
        <w:rPr>
          <w:rFonts w:hint="eastAsia" w:ascii="宋体" w:hAnsi="宋体" w:eastAsia="宋体" w:cs="宋体"/>
          <w:color w:val="000000" w:themeColor="text1"/>
          <w:highlight w:val="none"/>
          <w14:textFill>
            <w14:solidFill>
              <w14:schemeClr w14:val="tx1"/>
            </w14:solidFill>
          </w14:textFill>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lang w:eastAsia="zh-CN"/>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名    称：</w:t>
      </w:r>
      <w:r>
        <w:rPr>
          <w:rFonts w:hint="eastAsia" w:ascii="宋体" w:hAnsi="宋体" w:cs="宋体"/>
          <w:color w:val="000000" w:themeColor="text1"/>
          <w:kern w:val="28"/>
          <w:szCs w:val="21"/>
          <w:highlight w:val="none"/>
          <w:lang w:eastAsia="zh-CN"/>
          <w14:textFill>
            <w14:solidFill>
              <w14:schemeClr w14:val="tx1"/>
            </w14:solidFill>
          </w14:textFill>
        </w:rPr>
        <w:t>阳西县人力资源和社会保障局</w:t>
      </w:r>
    </w:p>
    <w:p>
      <w:pPr>
        <w:tabs>
          <w:tab w:val="left" w:pos="735"/>
          <w:tab w:val="left" w:pos="4680"/>
        </w:tabs>
        <w:adjustRightInd w:val="0"/>
        <w:snapToGrid w:val="0"/>
        <w:spacing w:line="390" w:lineRule="exact"/>
        <w:ind w:firstLine="630" w:firstLineChars="30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地    址：阳西县桥平一路2号</w:t>
      </w:r>
    </w:p>
    <w:p>
      <w:pPr>
        <w:tabs>
          <w:tab w:val="left" w:pos="735"/>
          <w:tab w:val="left" w:pos="4680"/>
        </w:tabs>
        <w:adjustRightInd w:val="0"/>
        <w:snapToGrid w:val="0"/>
        <w:spacing w:line="390" w:lineRule="exact"/>
        <w:ind w:firstLine="630" w:firstLineChars="300"/>
        <w:rPr>
          <w:rFonts w:hint="default" w:ascii="宋体" w:hAnsi="宋体" w:eastAsia="宋体" w:cs="Tahoma"/>
          <w:color w:val="000000" w:themeColor="text1"/>
          <w:kern w:val="28"/>
          <w:szCs w:val="21"/>
          <w:highlight w:val="none"/>
          <w:lang w:val="en-US"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 系 人：</w:t>
      </w:r>
      <w:r>
        <w:rPr>
          <w:rFonts w:hint="eastAsia" w:ascii="宋体" w:hAnsi="宋体" w:cs="Tahoma"/>
          <w:color w:val="000000" w:themeColor="text1"/>
          <w:kern w:val="28"/>
          <w:szCs w:val="21"/>
          <w:highlight w:val="none"/>
          <w:lang w:val="en-US" w:eastAsia="zh-CN"/>
          <w14:textFill>
            <w14:solidFill>
              <w14:schemeClr w14:val="tx1"/>
            </w14:solidFill>
          </w14:textFill>
        </w:rPr>
        <w:t>黄祖建</w:t>
      </w:r>
    </w:p>
    <w:p>
      <w:pPr>
        <w:tabs>
          <w:tab w:val="left" w:pos="735"/>
          <w:tab w:val="left" w:pos="4680"/>
        </w:tabs>
        <w:adjustRightInd w:val="0"/>
        <w:snapToGrid w:val="0"/>
        <w:spacing w:line="390" w:lineRule="exact"/>
        <w:ind w:firstLine="630" w:firstLineChars="30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联系电话：0662-5522077</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名    称：</w:t>
      </w:r>
      <w:r>
        <w:rPr>
          <w:rFonts w:hint="eastAsia" w:ascii="宋体" w:hAnsi="宋体" w:eastAsia="宋体" w:cs="宋体"/>
          <w:color w:val="000000" w:themeColor="text1"/>
          <w:highlight w:val="none"/>
          <w:lang w:eastAsia="zh-CN"/>
          <w14:textFill>
            <w14:solidFill>
              <w14:schemeClr w14:val="tx1"/>
            </w14:solidFill>
          </w14:textFill>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地    址：</w:t>
      </w:r>
      <w:r>
        <w:rPr>
          <w:rFonts w:hint="eastAsia" w:ascii="宋体" w:hAnsi="宋体" w:eastAsia="宋体" w:cs="宋体"/>
          <w:color w:val="000000" w:themeColor="text1"/>
          <w:highlight w:val="none"/>
          <w:lang w:eastAsia="zh-CN"/>
          <w14:textFill>
            <w14:solidFill>
              <w14:schemeClr w14:val="tx1"/>
            </w14:solidFill>
          </w14:textFill>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 系 人：</w:t>
      </w:r>
      <w:r>
        <w:rPr>
          <w:rFonts w:hint="eastAsia" w:ascii="宋体" w:hAnsi="宋体" w:eastAsia="宋体" w:cs="宋体"/>
          <w:color w:val="000000" w:themeColor="text1"/>
          <w:highlight w:val="none"/>
          <w:lang w:val="en-US" w:eastAsia="zh-CN"/>
          <w14:textFill>
            <w14:solidFill>
              <w14:schemeClr w14:val="tx1"/>
            </w14:solidFill>
          </w14:textFill>
        </w:rPr>
        <w:t>谢小姐</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b/>
          <w:color w:val="000000" w:themeColor="text1"/>
          <w:spacing w:val="20"/>
          <w:szCs w:val="2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网    址：</w:t>
      </w:r>
      <w:r>
        <w:rPr>
          <w:rFonts w:hint="eastAsia" w:ascii="宋体" w:hAnsi="宋体" w:eastAsia="宋体" w:cs="宋体"/>
          <w:bCs/>
          <w:color w:val="000000" w:themeColor="text1"/>
          <w:highlight w:val="none"/>
          <w14:textFill>
            <w14:solidFill>
              <w14:schemeClr w14:val="tx1"/>
            </w14:solidFill>
          </w14:textFill>
        </w:rPr>
        <w:t>http://www.yjcg.cc</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lang w:eastAsia="zh-CN"/>
          <w14:textFill>
            <w14:solidFill>
              <w14:schemeClr w14:val="tx1"/>
            </w14:solidFill>
          </w14:textFill>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lang w:eastAsia="zh-CN"/>
          <w14:textFill>
            <w14:solidFill>
              <w14:schemeClr w14:val="tx1"/>
            </w14:solidFill>
          </w14:textFill>
        </w:rPr>
      </w:pPr>
      <w:r>
        <w:rPr>
          <w:rFonts w:hint="eastAsia" w:ascii="宋体" w:hAnsi="宋体" w:eastAsia="宋体" w:cs="宋体"/>
          <w:bCs/>
          <w:color w:val="000000" w:themeColor="text1"/>
          <w:highlight w:val="none"/>
          <w:lang w:eastAsia="zh-CN"/>
          <w14:textFill>
            <w14:solidFill>
              <w14:schemeClr w14:val="tx1"/>
            </w14:solidFill>
          </w14:textFill>
        </w:rPr>
        <w:t>广东业信招标有限公司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14:textFill>
            <w14:solidFill>
              <w14:schemeClr w14:val="tx1"/>
            </w14:solidFill>
          </w14:textFill>
        </w:rPr>
      </w:pPr>
      <w:bookmarkStart w:id="37" w:name="_Toc340507404"/>
      <w:bookmarkStart w:id="38" w:name="_Toc339020049"/>
      <w:bookmarkStart w:id="39" w:name="_Toc336681893"/>
      <w:bookmarkStart w:id="40" w:name="_Toc339362258"/>
      <w:bookmarkStart w:id="41" w:name="_Toc340677032"/>
      <w:bookmarkStart w:id="42" w:name="_Toc339019829"/>
      <w:bookmarkStart w:id="43" w:name="_Toc350438703"/>
      <w:bookmarkStart w:id="44" w:name="_Toc339020187"/>
      <w:bookmarkStart w:id="45" w:name="_Toc340672831"/>
      <w:bookmarkStart w:id="46" w:name="_Toc331512857"/>
      <w:bookmarkStart w:id="47" w:name="_Toc333935620"/>
      <w:bookmarkStart w:id="48" w:name="_Toc333238572"/>
      <w:bookmarkStart w:id="49" w:name="_Toc365985109"/>
      <w:bookmarkStart w:id="50" w:name="_Toc337632316"/>
      <w:bookmarkStart w:id="51" w:name="_Toc341348292"/>
      <w:bookmarkStart w:id="52" w:name="_Toc331683995"/>
      <w:bookmarkStart w:id="53" w:name="_Toc349127584"/>
      <w:bookmarkStart w:id="54" w:name="_Toc345513763"/>
      <w:bookmarkStart w:id="55" w:name="_Toc336681538"/>
      <w:bookmarkStart w:id="56" w:name="_Toc349143547"/>
      <w:bookmarkStart w:id="57" w:name="_Toc350756404"/>
      <w:bookmarkStart w:id="58" w:name="_Toc366072458"/>
      <w:bookmarkStart w:id="59" w:name="_Toc339441045"/>
      <w:bookmarkStart w:id="60" w:name="_Toc330459946"/>
      <w:bookmarkStart w:id="61" w:name="_Toc339019955"/>
      <w:bookmarkStart w:id="62" w:name="_Toc332206658"/>
      <w:bookmarkStart w:id="63" w:name="_Toc333935279"/>
      <w:bookmarkStart w:id="64" w:name="_Toc365967003"/>
      <w:bookmarkStart w:id="65" w:name="_Toc333237613"/>
      <w:bookmarkStart w:id="66" w:name="_Toc333237724"/>
      <w:bookmarkStart w:id="67" w:name="_Toc332270306"/>
      <w:bookmarkStart w:id="68" w:name="_Toc342296709"/>
      <w:bookmarkStart w:id="69" w:name="_Toc342060323"/>
      <w:r>
        <w:rPr>
          <w:rFonts w:hint="eastAsia" w:ascii="宋体" w:hAnsi="宋体" w:cs="宋体"/>
          <w:color w:val="000000" w:themeColor="text1"/>
          <w:kern w:val="2"/>
          <w:sz w:val="21"/>
          <w:szCs w:val="24"/>
          <w:highlight w:val="none"/>
          <w:lang w:val="en-US" w:eastAsia="zh-CN" w:bidi="ar-SA"/>
          <w14:textFill>
            <w14:solidFill>
              <w14:schemeClr w14:val="tx1"/>
            </w14:solidFill>
          </w14:textFill>
        </w:rPr>
        <w:t>2023</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11</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4"/>
          <w:highlight w:val="none"/>
          <w:lang w:val="en-US" w:eastAsia="zh-CN" w:bidi="ar-SA"/>
          <w14:textFill>
            <w14:solidFill>
              <w14:schemeClr w14:val="tx1"/>
            </w14:solidFill>
          </w14:textFill>
        </w:rPr>
        <w:t>9</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日</w:t>
      </w:r>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bookmarkStart w:id="70" w:name="_Toc15178"/>
      <w:r>
        <w:rPr>
          <w:rFonts w:hint="eastAsia"/>
          <w:color w:val="000000" w:themeColor="text1"/>
          <w:highlight w:val="none"/>
          <w14:textFill>
            <w14:solidFill>
              <w14:schemeClr w14:val="tx1"/>
            </w14:solidFill>
          </w14:textFill>
        </w:rPr>
        <w:br w:type="page"/>
      </w:r>
    </w:p>
    <w:p>
      <w:pPr>
        <w:pStyle w:val="3"/>
        <w:numPr>
          <w:ilvl w:val="0"/>
          <w:numId w:val="0"/>
        </w:numPr>
        <w:spacing w:beforeLines="0" w:afterLines="50" w:line="390" w:lineRule="exact"/>
        <w:ind w:left="105" w:leftChars="50" w:firstLine="48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237614"/>
      <w:bookmarkStart w:id="73" w:name="_Toc333935621"/>
      <w:bookmarkStart w:id="74" w:name="_Toc333935280"/>
      <w:bookmarkStart w:id="75" w:name="_Toc333237725"/>
      <w:bookmarkStart w:id="76" w:name="_Toc75570886"/>
      <w:bookmarkStart w:id="77" w:name="_Toc333238573"/>
      <w:bookmarkStart w:id="78" w:name="_Toc330459949"/>
      <w:r>
        <w:rPr>
          <w:rFonts w:hint="eastAsia"/>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79" w:name="_Toc32255"/>
      <w:bookmarkStart w:id="80" w:name="_Toc339020062"/>
      <w:bookmarkStart w:id="81" w:name="_Toc342296727"/>
      <w:bookmarkStart w:id="82" w:name="_Toc333935313"/>
      <w:bookmarkStart w:id="83" w:name="_Toc339441054"/>
      <w:bookmarkStart w:id="84" w:name="_Toc339019982"/>
      <w:bookmarkStart w:id="85" w:name="_Toc336681902"/>
      <w:bookmarkStart w:id="86" w:name="_Toc340507409"/>
      <w:bookmarkStart w:id="87" w:name="_Toc330459952"/>
      <w:bookmarkStart w:id="88" w:name="_Toc350756417"/>
      <w:bookmarkStart w:id="89" w:name="_Toc331684005"/>
      <w:bookmarkStart w:id="90" w:name="_Toc333237644"/>
      <w:bookmarkStart w:id="91" w:name="_Toc333237755"/>
      <w:bookmarkStart w:id="92" w:name="_Toc366072495"/>
      <w:bookmarkStart w:id="93" w:name="_Toc339019856"/>
      <w:bookmarkStart w:id="94" w:name="_Toc349143556"/>
      <w:bookmarkStart w:id="95" w:name="_Toc339020200"/>
      <w:bookmarkStart w:id="96" w:name="_Toc341348305"/>
      <w:bookmarkStart w:id="97" w:name="_Toc365985146"/>
      <w:bookmarkStart w:id="98" w:name="_Toc365967040"/>
      <w:bookmarkStart w:id="99" w:name="_Toc342060341"/>
      <w:bookmarkStart w:id="100" w:name="_Toc350438716"/>
      <w:bookmarkStart w:id="101" w:name="_Toc339362267"/>
      <w:bookmarkStart w:id="102" w:name="_Toc332206675"/>
      <w:bookmarkStart w:id="103" w:name="_Toc340677037"/>
      <w:bookmarkStart w:id="104" w:name="_Toc333935654"/>
      <w:bookmarkStart w:id="105" w:name="_Toc332270313"/>
      <w:bookmarkStart w:id="106" w:name="_Toc333238600"/>
      <w:bookmarkStart w:id="107" w:name="_Toc337632325"/>
      <w:bookmarkStart w:id="108" w:name="_Toc349127593"/>
      <w:bookmarkStart w:id="109" w:name="_Toc345513834"/>
      <w:bookmarkStart w:id="110" w:name="_Toc336681547"/>
      <w:bookmarkStart w:id="111" w:name="_Toc340672836"/>
      <w:bookmarkStart w:id="112" w:name="_Toc331512865"/>
      <w:r>
        <w:rPr>
          <w:color w:val="000000" w:themeColor="text1"/>
          <w:kern w:val="0"/>
          <w:sz w:val="24"/>
          <w:highlight w:val="none"/>
          <w14:textFill>
            <w14:solidFill>
              <w14:schemeClr w14:val="tx1"/>
            </w14:solidFill>
          </w14:textFill>
        </w:rPr>
        <w:t xml:space="preserve">A  </w:t>
      </w:r>
      <w:r>
        <w:rPr>
          <w:rFonts w:hint="eastAsia"/>
          <w:color w:val="000000" w:themeColor="text1"/>
          <w:kern w:val="0"/>
          <w:sz w:val="24"/>
          <w:highlight w:val="none"/>
          <w14:textFill>
            <w14:solidFill>
              <w14:schemeClr w14:val="tx1"/>
            </w14:solidFill>
          </w14:textFill>
        </w:rPr>
        <w:t>商务要求</w:t>
      </w:r>
      <w:bookmarkEnd w:id="79"/>
    </w:p>
    <w:tbl>
      <w:tblPr>
        <w:tblStyle w:val="46"/>
        <w:tblW w:w="9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项目</w:t>
            </w:r>
          </w:p>
        </w:tc>
        <w:tc>
          <w:tcPr>
            <w:tcW w:w="6707"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投标人投标资格要求</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详见第一</w:t>
            </w:r>
            <w:r>
              <w:rPr>
                <w:rFonts w:hint="eastAsia" w:ascii="宋体" w:hAnsi="宋体" w:eastAsia="宋体" w:cs="宋体"/>
                <w:color w:val="000000" w:themeColor="text1"/>
                <w:highlight w:val="none"/>
                <w:lang w:eastAsia="zh-CN"/>
                <w14:textFill>
                  <w14:solidFill>
                    <w14:schemeClr w14:val="tx1"/>
                  </w14:solidFill>
                </w14:textFill>
              </w:rPr>
              <w:t>部分</w:t>
            </w:r>
            <w:r>
              <w:rPr>
                <w:rFonts w:hint="eastAsia" w:ascii="宋体" w:hAnsi="宋体" w:eastAsia="宋体" w:cs="宋体"/>
                <w:color w:val="000000" w:themeColor="text1"/>
                <w:highlight w:val="none"/>
                <w14:textFill>
                  <w14:solidFill>
                    <w14:schemeClr w14:val="tx1"/>
                  </w14:solidFill>
                </w14:textFill>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服务期</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合同签订要求</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采购合同由中标人凭《中标通知书》与采购人双方签订，签订时间为中标人收到《中标通知书》后30日内。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lang w:val="en-US" w:eastAsia="zh-CN"/>
                <w14:textFill>
                  <w14:solidFill>
                    <w14:schemeClr w14:val="tx1"/>
                  </w14:solidFill>
                </w14:textFill>
              </w:rPr>
              <w:t>服务</w:t>
            </w:r>
            <w:r>
              <w:rPr>
                <w:rFonts w:hint="eastAsia" w:ascii="宋体" w:hAnsi="宋体" w:eastAsia="宋体" w:cs="宋体"/>
                <w:b/>
                <w:color w:val="000000" w:themeColor="text1"/>
                <w:highlight w:val="none"/>
                <w14:textFill>
                  <w14:solidFill>
                    <w14:schemeClr w14:val="tx1"/>
                  </w14:solidFill>
                </w14:textFill>
              </w:rPr>
              <w:t>地点</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采购人指定地点</w:t>
            </w:r>
            <w:r>
              <w:rPr>
                <w:rFonts w:hint="eastAsia" w:ascii="宋体" w:hAnsi="宋体" w:eastAsia="宋体" w:cs="宋体"/>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商务要求</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1.投标人所提交的货物或服务应符合或优于国家现行相关标准。没有国家标准的，执行现行的行业标准。</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2.投标人必须具备良好的资产质量状况、良好的偿付能力、良好的运营能力和严格的内部控制制度,保证账户资金安全。</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3.投标人应对我市经济发展做出贡献。近三年来投标人对我县各行业贷款总规模情况良好，尤其对三农等民生领域及全县重点项目、小微企业的贷款情况良好。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其他要求</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投标人的投标方案应包括但不限于以下内容：</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1.业务的组织（包括业务组织架构，参与业务的人员配备和素质、管理体系等）。内部规章制度、中国人民银行阳江市中心支行或阳江银监局核准的数据材料；</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2.投标人需提供正在实施的利率文件或业务协议或业务操作规程等材料；</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3.业务处理流程；</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4.保证资金及时、安全、准确汇划的措施；</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5.划拨资金、汇总、报表处理措施；</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6.信息反馈的措施、手段；</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7.紧急业务处理程序和时间限定；</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8.保密措施；</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9.对财政部门、创业担保贷款经办机构的其他服务承诺和优惠措施；</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10.纠错处理措施；</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11.廉政承诺书；</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12.其他需要说明的问题。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7</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lang w:eastAsia="zh-CN"/>
                <w14:textFill>
                  <w14:solidFill>
                    <w14:schemeClr w14:val="tx1"/>
                  </w14:solidFill>
                </w14:textFill>
              </w:rPr>
              <w:t>盖章说明</w:t>
            </w:r>
          </w:p>
        </w:tc>
        <w:tc>
          <w:tcPr>
            <w:tcW w:w="6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如</w:t>
            </w:r>
            <w:r>
              <w:rPr>
                <w:rFonts w:hint="eastAsia" w:ascii="宋体" w:hAnsi="宋体" w:eastAsia="宋体" w:cs="宋体"/>
                <w:color w:val="000000" w:themeColor="text1"/>
                <w:highlight w:val="none"/>
                <w:lang w:eastAsia="zh-CN"/>
                <w14:textFill>
                  <w14:solidFill>
                    <w14:schemeClr w14:val="tx1"/>
                  </w14:solidFill>
                </w14:textFill>
              </w:rPr>
              <w:t>投标人</w:t>
            </w:r>
            <w:r>
              <w:rPr>
                <w:rFonts w:hint="eastAsia" w:ascii="宋体" w:hAnsi="宋体" w:eastAsia="宋体" w:cs="宋体"/>
                <w:color w:val="000000" w:themeColor="text1"/>
                <w:highlight w:val="none"/>
                <w:lang w:val="en-US" w:eastAsia="zh-CN"/>
                <w14:textFill>
                  <w14:solidFill>
                    <w14:schemeClr w14:val="tx1"/>
                  </w14:solidFill>
                </w14:textFill>
              </w:rPr>
              <w:t>所在支行没有公章</w:t>
            </w:r>
            <w:r>
              <w:rPr>
                <w:rFonts w:hint="eastAsia" w:ascii="宋体" w:hAnsi="宋体" w:eastAsia="宋体" w:cs="宋体"/>
                <w:color w:val="000000" w:themeColor="text1"/>
                <w:highlight w:val="none"/>
                <w:lang w:eastAsia="zh-CN"/>
                <w14:textFill>
                  <w14:solidFill>
                    <w14:schemeClr w14:val="tx1"/>
                  </w14:solidFill>
                </w14:textFill>
              </w:rPr>
              <w:t>可</w:t>
            </w:r>
            <w:r>
              <w:rPr>
                <w:rFonts w:hint="eastAsia" w:ascii="宋体" w:hAnsi="宋体" w:eastAsia="宋体" w:cs="宋体"/>
                <w:color w:val="000000" w:themeColor="text1"/>
                <w:highlight w:val="none"/>
                <w:lang w:val="en-US" w:eastAsia="zh-CN"/>
                <w14:textFill>
                  <w14:solidFill>
                    <w14:schemeClr w14:val="tx1"/>
                  </w14:solidFill>
                </w14:textFill>
              </w:rPr>
              <w:t>使用</w:t>
            </w:r>
            <w:r>
              <w:rPr>
                <w:rFonts w:hint="eastAsia" w:ascii="宋体" w:hAnsi="宋体" w:eastAsia="宋体" w:cs="宋体"/>
                <w:color w:val="000000" w:themeColor="text1"/>
                <w:highlight w:val="none"/>
                <w:lang w:eastAsia="zh-CN"/>
                <w14:textFill>
                  <w14:solidFill>
                    <w14:schemeClr w14:val="tx1"/>
                  </w14:solidFill>
                </w14:textFill>
              </w:rPr>
              <w:t>所在分行的公章。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8</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投标保证金</w:t>
            </w:r>
          </w:p>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（应当以支票、汇票、本票或者金融机构、担保机构出具的保函等非现金</w:t>
            </w:r>
          </w:p>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形式提交）。</w:t>
            </w:r>
          </w:p>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提交主体：应以投标人名义交纳，如由上级行或其他上级金融机构代交的，须出具《情况说明书》，并说明理由。</w:t>
            </w:r>
            <w:r>
              <w:rPr>
                <w:rFonts w:hint="eastAsia" w:ascii="宋体" w:hAnsi="宋体" w:eastAsia="宋体" w:cs="宋体"/>
                <w:color w:val="000000" w:themeColor="text1"/>
                <w:sz w:val="21"/>
                <w:szCs w:val="21"/>
                <w:highlight w:val="none"/>
                <w14:textFill>
                  <w14:solidFill>
                    <w14:schemeClr w14:val="tx1"/>
                  </w14:solidFill>
                </w14:textFill>
              </w:rPr>
              <w:t>应注明“</w:t>
            </w:r>
            <w:r>
              <w:rPr>
                <w:rFonts w:hint="eastAsia" w:ascii="宋体" w:hAnsi="宋体" w:eastAsia="宋体" w:cs="宋体"/>
                <w:b/>
                <w:color w:val="000000" w:themeColor="text1"/>
                <w:sz w:val="21"/>
                <w:szCs w:val="21"/>
                <w:highlight w:val="none"/>
                <w14:textFill>
                  <w14:solidFill>
                    <w14:schemeClr w14:val="tx1"/>
                  </w14:solidFill>
                </w14:textFill>
              </w:rPr>
              <w:t>（项目编号）投标保证金</w:t>
            </w:r>
            <w:r>
              <w:rPr>
                <w:rFonts w:hint="eastAsia" w:ascii="宋体" w:hAnsi="宋体" w:eastAsia="宋体" w:cs="宋体"/>
                <w:color w:val="000000" w:themeColor="text1"/>
                <w:sz w:val="21"/>
                <w:szCs w:val="21"/>
                <w:highlight w:val="none"/>
                <w14:textFill>
                  <w14:solidFill>
                    <w14:schemeClr w14:val="tx1"/>
                  </w14:solidFill>
                </w14:textFill>
              </w:rPr>
              <w:t>”。</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保证金数额</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ind w:left="316" w:hanging="316" w:hangingChars="150"/>
              <w:jc w:val="left"/>
              <w:textAlignment w:val="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人</w:t>
            </w:r>
            <w:r>
              <w:rPr>
                <w:rFonts w:hint="eastAsia" w:ascii="宋体" w:hAnsi="宋体" w:eastAsia="宋体" w:cs="宋体"/>
                <w:b/>
                <w:color w:val="000000" w:themeColor="text1"/>
                <w:sz w:val="21"/>
                <w:szCs w:val="21"/>
                <w:highlight w:val="none"/>
                <w14:textFill>
                  <w14:solidFill>
                    <w14:schemeClr w14:val="tx1"/>
                  </w14:solidFill>
                </w14:textFill>
              </w:rPr>
              <w:t>民币</w:t>
            </w:r>
            <w:r>
              <w:rPr>
                <w:rFonts w:hint="eastAsia" w:ascii="宋体" w:hAnsi="宋体" w:eastAsia="宋体" w:cs="宋体"/>
                <w:b/>
                <w:color w:val="000000" w:themeColor="text1"/>
                <w:sz w:val="21"/>
                <w:szCs w:val="21"/>
                <w:highlight w:val="none"/>
                <w:lang w:eastAsia="zh-CN"/>
                <w14:textFill>
                  <w14:solidFill>
                    <w14:schemeClr w14:val="tx1"/>
                  </w14:solidFill>
                </w14:textFill>
              </w:rPr>
              <w:t>伍万</w:t>
            </w:r>
            <w:r>
              <w:rPr>
                <w:rFonts w:hint="eastAsia" w:ascii="宋体" w:hAnsi="宋体" w:eastAsia="宋体" w:cs="宋体"/>
                <w:b/>
                <w:color w:val="000000" w:themeColor="text1"/>
                <w:sz w:val="21"/>
                <w:szCs w:val="21"/>
                <w:highlight w:val="none"/>
                <w14:textFill>
                  <w14:solidFill>
                    <w14:schemeClr w14:val="tx1"/>
                  </w14:solidFill>
                </w14:textFill>
              </w:rPr>
              <w:t>元整（￥</w:t>
            </w:r>
            <w:r>
              <w:rPr>
                <w:rFonts w:hint="eastAsia" w:ascii="宋体" w:hAnsi="宋体" w:eastAsia="宋体" w:cs="宋体"/>
                <w:b/>
                <w:color w:val="000000" w:themeColor="text1"/>
                <w:sz w:val="21"/>
                <w:szCs w:val="21"/>
                <w:highlight w:val="none"/>
                <w:lang w:val="en-US" w:eastAsia="zh-CN"/>
                <w14:textFill>
                  <w14:solidFill>
                    <w14:schemeClr w14:val="tx1"/>
                  </w14:solidFill>
                </w14:textFill>
              </w:rPr>
              <w:t>50000</w:t>
            </w:r>
            <w:r>
              <w:rPr>
                <w:rFonts w:hint="eastAsia" w:ascii="宋体" w:hAnsi="宋体" w:eastAsia="宋体" w:cs="宋体"/>
                <w:b/>
                <w:color w:val="000000" w:themeColor="text1"/>
                <w:sz w:val="21"/>
                <w:szCs w:val="21"/>
                <w:highlight w:val="none"/>
                <w14:textFill>
                  <w14:solidFill>
                    <w14:schemeClr w14:val="tx1"/>
                  </w14:solidFill>
                </w14:textFill>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开户名称</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账    号</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开户银行</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交纳时间</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9</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中标服务费</w:t>
            </w:r>
          </w:p>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收费标准：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根据发改价格[2015]299号文的规定</w:t>
            </w:r>
            <w:r>
              <w:rPr>
                <w:rFonts w:hint="eastAsia" w:ascii="宋体" w:hAnsi="宋体" w:eastAsia="宋体" w:cs="宋体"/>
                <w:color w:val="000000" w:themeColor="text1"/>
                <w:sz w:val="21"/>
                <w:szCs w:val="21"/>
                <w:highlight w:val="none"/>
                <w14:textFill>
                  <w14:solidFill>
                    <w14:schemeClr w14:val="tx1"/>
                  </w14:solidFill>
                </w14:textFill>
              </w:rPr>
              <w:t>，招标代理服务费实行市场调节价。</w:t>
            </w:r>
            <w:r>
              <w:rPr>
                <w:rFonts w:hint="eastAsia" w:ascii="宋体" w:hAnsi="宋体" w:eastAsia="宋体" w:cs="宋体"/>
                <w:bCs/>
                <w:color w:val="000000" w:themeColor="text1"/>
                <w:sz w:val="21"/>
                <w:szCs w:val="21"/>
                <w:highlight w:val="none"/>
                <w14:textFill>
                  <w14:solidFill>
                    <w14:schemeClr w14:val="tx1"/>
                  </w14:solidFill>
                </w14:textFill>
              </w:rPr>
              <w:t>中标供应商在领取《中标通知书》前应一次性交纳招标代理服务费</w:t>
            </w:r>
            <w:r>
              <w:rPr>
                <w:rFonts w:hint="eastAsia" w:ascii="宋体" w:hAnsi="宋体" w:eastAsia="宋体" w:cs="宋体"/>
                <w:color w:val="000000" w:themeColor="text1"/>
                <w:sz w:val="21"/>
                <w:szCs w:val="21"/>
                <w:highlight w:val="none"/>
                <w:lang w:eastAsia="zh-CN"/>
                <w14:textFill>
                  <w14:solidFill>
                    <w14:schemeClr w14:val="tx1"/>
                  </w14:solidFill>
                </w14:textFill>
              </w:rPr>
              <w:t>伍</w:t>
            </w:r>
            <w:r>
              <w:rPr>
                <w:rFonts w:hint="eastAsia" w:ascii="宋体" w:hAnsi="宋体" w:eastAsia="宋体" w:cs="宋体"/>
                <w:color w:val="000000" w:themeColor="text1"/>
                <w:sz w:val="21"/>
                <w:szCs w:val="21"/>
                <w:highlight w:val="none"/>
                <w14:textFill>
                  <w14:solidFill>
                    <w14:schemeClr w14:val="tx1"/>
                  </w14:solidFill>
                </w14:textFill>
              </w:rPr>
              <w:t>万元整（￥</w:t>
            </w: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开户名称</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账    号</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开户银行</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中国农业银行股份有限公司阳江江城支行</w:t>
            </w:r>
          </w:p>
        </w:tc>
      </w:tr>
    </w:tbl>
    <w:p>
      <w:pPr>
        <w:adjustRightInd w:val="0"/>
        <w:snapToGrid w:val="0"/>
        <w:spacing w:line="360" w:lineRule="auto"/>
        <w:rPr>
          <w:b/>
          <w:color w:val="000000" w:themeColor="text1"/>
          <w:szCs w:val="21"/>
          <w:highlight w:val="none"/>
          <w14:textFill>
            <w14:solidFill>
              <w14:schemeClr w14:val="tx1"/>
            </w14:solidFill>
          </w14:textFill>
        </w:rPr>
      </w:pPr>
    </w:p>
    <w:p>
      <w:pPr>
        <w:rPr>
          <w:rFonts w:hint="eastAsia"/>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br w:type="page"/>
      </w:r>
    </w:p>
    <w:p>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113" w:name="_Toc15390"/>
      <w:r>
        <w:rPr>
          <w:rFonts w:hint="eastAsia"/>
          <w:color w:val="000000" w:themeColor="text1"/>
          <w:kern w:val="0"/>
          <w:sz w:val="24"/>
          <w:highlight w:val="none"/>
          <w14:textFill>
            <w14:solidFill>
              <w14:schemeClr w14:val="tx1"/>
            </w14:solidFill>
          </w14:textFill>
        </w:rPr>
        <w:t>B  技术要求</w:t>
      </w:r>
      <w:bookmarkEnd w:id="113"/>
    </w:p>
    <w:p>
      <w:pPr>
        <w:spacing w:line="360" w:lineRule="auto"/>
        <w:ind w:firstLine="420" w:firstLineChars="200"/>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一、项目基本情况</w:t>
      </w:r>
    </w:p>
    <w:p>
      <w:pPr>
        <w:spacing w:line="360" w:lineRule="auto"/>
        <w:ind w:firstLine="420" w:firstLineChars="200"/>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一)本项目主要为推动阳西县城乡居民创业工作，开设创业担保基金账户，用于发放的创业担保贷款提供担保。同时加强创业担保贷款基金和贴息资金管理，提高资金使用规范性、安全性和有效性，就代理银行进行招标。</w:t>
      </w:r>
    </w:p>
    <w:p>
      <w:pPr>
        <w:spacing w:line="360" w:lineRule="auto"/>
        <w:ind w:firstLine="420" w:firstLineChars="200"/>
        <w:rPr>
          <w:rFonts w:hint="eastAsia"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二)委托承办的业务包括：阳西县创业担保贷款预算单位专户的开设、管理，创业担保贷款担保基金和贴息资金的收入、划拨等业务。在确保资金安全的前提下，按照国家政策有关规定，以最优的方式使本账户结余存款实现最大化的保值增值。代理银行与业主共同开展创业担保贷款业务合作。</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二</w:t>
      </w:r>
      <w:r>
        <w:rPr>
          <w:rFonts w:hint="eastAsia" w:ascii="宋体" w:hAnsi="宋体" w:eastAsia="宋体" w:cs="宋体"/>
          <w:color w:val="000000" w:themeColor="text1"/>
          <w:sz w:val="21"/>
          <w:szCs w:val="21"/>
          <w:highlight w:val="none"/>
          <w14:textFill>
            <w14:solidFill>
              <w14:schemeClr w14:val="tx1"/>
            </w14:solidFill>
          </w14:textFill>
        </w:rPr>
        <w:t>、基本原则</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一是安全优先，在依法依规的基础上，采取公正透明的招投标方式，科学评估和选择代理银行，以确保资金安全为前提，防止出现资金安全风险事件；二是增值最大化，在符合国家利率政策的前提下，合理确定资金的存放方式，争取最多的利息收入；三是代理银行的服务质量良好，从投标银行提供的服务团队、操作规程和操作系统等软硬件方面考量，确保代理业务银行的服务质量有上乘的水平。</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color w:val="000000" w:themeColor="text1"/>
          <w:sz w:val="21"/>
          <w:szCs w:val="21"/>
          <w:highlight w:val="none"/>
          <w14:textFill>
            <w14:solidFill>
              <w14:schemeClr w14:val="tx1"/>
            </w14:solidFill>
          </w14:textFill>
        </w:rPr>
        <w:t>、技术要求</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1.投标人要求：</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1）投标人已具有健全的网络建设基础和规范的业务管理，以及能</w:t>
      </w:r>
      <w:bookmarkStart w:id="2001" w:name="_GoBack"/>
      <w:bookmarkEnd w:id="2001"/>
      <w:r>
        <w:rPr>
          <w:rFonts w:hint="eastAsia" w:ascii="宋体" w:hAnsi="宋体" w:eastAsia="宋体" w:cs="宋体"/>
          <w:color w:val="000000" w:themeColor="text1"/>
          <w:sz w:val="21"/>
          <w:szCs w:val="21"/>
          <w:highlight w:val="none"/>
          <w14:textFill>
            <w14:solidFill>
              <w14:schemeClr w14:val="tx1"/>
            </w14:solidFill>
          </w14:textFill>
        </w:rPr>
        <w:t>根据财政、创业担保贷款业务需要提供良好的服务。</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）投标人经营状况良好，不良贷款率低，近三年无发生资金安全事件。</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2.项目服务系统要求：</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1）投标人须保证采购人资金存储利息收入最大化。在符合国家利率的政策的基础上，在资金不转出专户的前提下，投标人采取合法合规的存款方式，能提供最大化的优惠利率。</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2）投标人具备满足专户业务需要的资金汇划清算系统，保证本行系统同城转账实时到账、异地汇划和跨行支付两小时内到账，保证资金汇划系统和内部网络的安全性，并承担自身网络安全问题方面的有关责任。</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3）投标人内部管理规范，内控制度健全，具有严格的操作规程和保密措施。</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投标人具备先进的信息反馈系统，能够及时、全面、准确地反馈专户收付业务信息,必须准确完整地接收每一笔基金收入的相关信息，包括付款方名称、账号、金额、摘要等内容，并及时将收入信息提供给财政部门。</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5）投标方案及实施措施应当符合省人力资源和社会保障厅、省财政厅等部门印发《</w:t>
      </w:r>
      <w:r>
        <w:rPr>
          <w:rFonts w:hint="eastAsia" w:ascii="宋体" w:hAnsi="宋体" w:eastAsia="宋体" w:cs="宋体"/>
          <w:color w:val="000000" w:themeColor="text1"/>
          <w:sz w:val="21"/>
          <w:szCs w:val="21"/>
          <w:highlight w:val="none"/>
          <w:lang w:eastAsia="zh-CN"/>
          <w14:textFill>
            <w14:solidFill>
              <w14:schemeClr w14:val="tx1"/>
            </w14:solidFill>
          </w14:textFill>
        </w:rPr>
        <w:t>关于印发</w:t>
      </w:r>
      <w:r>
        <w:rPr>
          <w:rFonts w:hint="eastAsia" w:ascii="宋体" w:hAnsi="宋体" w:eastAsia="宋体" w:cs="宋体"/>
          <w:color w:val="000000" w:themeColor="text1"/>
          <w:sz w:val="21"/>
          <w:szCs w:val="21"/>
          <w:highlight w:val="none"/>
          <w:lang w:val="en-US" w:eastAsia="zh-CN"/>
          <w14:textFill>
            <w14:solidFill>
              <w14:schemeClr w14:val="tx1"/>
            </w14:solidFill>
          </w14:textFill>
        </w:rPr>
        <w:t>&lt;广东省人力资源和社会保障厅、广东省财政厅、广东省地方金融监督管理局、中国人民银行广州分行关于创业担保贷款担保基金和贴息资金管理办法（修订稿）&gt;的通知</w:t>
      </w:r>
      <w:r>
        <w:rPr>
          <w:rFonts w:hint="eastAsia" w:ascii="宋体" w:hAnsi="宋体" w:eastAsia="宋体" w:cs="宋体"/>
          <w:color w:val="000000" w:themeColor="text1"/>
          <w:sz w:val="21"/>
          <w:szCs w:val="21"/>
          <w:highlight w:val="none"/>
          <w14:textFill>
            <w14:solidFill>
              <w14:schemeClr w14:val="tx1"/>
            </w14:solidFill>
          </w14:textFill>
        </w:rPr>
        <w:t>》（粤人社规﹝20</w:t>
      </w:r>
      <w:r>
        <w:rPr>
          <w:rFonts w:hint="eastAsia" w:ascii="宋体" w:hAnsi="宋体" w:eastAsia="宋体" w:cs="宋体"/>
          <w:color w:val="000000" w:themeColor="text1"/>
          <w:sz w:val="21"/>
          <w:szCs w:val="21"/>
          <w:highlight w:val="none"/>
          <w:lang w:val="en-US" w:eastAsia="zh-CN"/>
          <w14:textFill>
            <w14:solidFill>
              <w14:schemeClr w14:val="tx1"/>
            </w14:solidFill>
          </w14:textFill>
        </w:rPr>
        <w:t>22</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5号）的规定。</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投标人具备满足专户收付业务需要的经营网点规模、成熟的管理协调能力和完善的员工培训机制，配备专职人员负责专户业务日常跟踪服务工作，并派专人负责为采购人送递、收取相关票据（账户回单、对账单和取拨款单据等），投标人对账单要及时送达采购人。</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7）投标人不得收取采购人委托代理的专户业务任何服务费、手续费，投标人应予以承诺。</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8）接受阳西县财政局、阳西县人力资源和社会保障局和中国人民银行阳西支行对预算单位专户业务的监督管理。</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9）有完善的担保贷款规章制度，能确保担保贷款贷前贷中贷后有完善的风险控制措施。</w:t>
      </w:r>
    </w:p>
    <w:p>
      <w:pPr>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10）具有丰富担保贷款业务经办经验。</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pStyle w:val="2"/>
        <w:rPr>
          <w:rFonts w:hint="eastAsia" w:ascii="华文仿宋" w:hAnsi="华文仿宋" w:eastAsia="华文仿宋"/>
          <w:color w:val="000000" w:themeColor="text1"/>
          <w:sz w:val="32"/>
          <w:szCs w:val="32"/>
          <w:highlight w:val="none"/>
          <w14:textFill>
            <w14:solidFill>
              <w14:schemeClr w14:val="tx1"/>
            </w14:solidFill>
          </w14:textFill>
        </w:rPr>
      </w:pPr>
    </w:p>
    <w:p>
      <w:pPr>
        <w:rPr>
          <w:rFonts w:hint="eastAsia" w:ascii="华文仿宋" w:hAnsi="华文仿宋" w:eastAsia="华文仿宋"/>
          <w:color w:val="000000" w:themeColor="text1"/>
          <w:sz w:val="32"/>
          <w:szCs w:val="32"/>
          <w:highlight w:val="none"/>
          <w14:textFill>
            <w14:solidFill>
              <w14:schemeClr w14:val="tx1"/>
            </w14:solidFill>
          </w14:textFill>
        </w:rPr>
      </w:pPr>
    </w:p>
    <w:p>
      <w:pPr>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br w:type="page"/>
      </w:r>
    </w:p>
    <w:p>
      <w:pPr>
        <w:pStyle w:val="23"/>
        <w:spacing w:line="48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附表：</w:t>
      </w:r>
    </w:p>
    <w:tbl>
      <w:tblPr>
        <w:tblStyle w:val="46"/>
        <w:tblW w:w="8860" w:type="dxa"/>
        <w:tblInd w:w="93" w:type="dxa"/>
        <w:tblLayout w:type="fixed"/>
        <w:tblCellMar>
          <w:top w:w="0" w:type="dxa"/>
          <w:left w:w="108" w:type="dxa"/>
          <w:bottom w:w="0" w:type="dxa"/>
          <w:right w:w="108" w:type="dxa"/>
        </w:tblCellMar>
      </w:tblPr>
      <w:tblGrid>
        <w:gridCol w:w="1080"/>
        <w:gridCol w:w="4981"/>
        <w:gridCol w:w="2799"/>
      </w:tblGrid>
      <w:tr>
        <w:tblPrEx>
          <w:tblCellMar>
            <w:top w:w="0" w:type="dxa"/>
            <w:left w:w="108" w:type="dxa"/>
            <w:bottom w:w="0" w:type="dxa"/>
            <w:right w:w="108" w:type="dxa"/>
          </w:tblCellMar>
        </w:tblPrEx>
        <w:trPr>
          <w:trHeight w:val="671" w:hRule="atLeast"/>
        </w:trPr>
        <w:tc>
          <w:tcPr>
            <w:tcW w:w="8860" w:type="dxa"/>
            <w:gridSpan w:val="3"/>
            <w:tcBorders>
              <w:top w:val="nil"/>
              <w:left w:val="nil"/>
              <w:bottom w:val="nil"/>
              <w:right w:val="nil"/>
            </w:tcBorders>
            <w:noWrap w:val="0"/>
            <w:vAlign w:val="center"/>
          </w:tcPr>
          <w:p>
            <w:pPr>
              <w:widowControl/>
              <w:jc w:val="center"/>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20</w:t>
            </w:r>
            <w:r>
              <w:rPr>
                <w:rFonts w:hint="eastAsia" w:ascii="宋体" w:hAnsi="宋体" w:eastAsia="宋体" w:cs="宋体"/>
                <w:b/>
                <w:bCs/>
                <w:color w:val="000000" w:themeColor="text1"/>
                <w:kern w:val="0"/>
                <w:sz w:val="24"/>
                <w:szCs w:val="24"/>
                <w:highlight w:val="none"/>
                <w:lang w:val="en-US" w:eastAsia="zh-CN"/>
                <w14:textFill>
                  <w14:solidFill>
                    <w14:schemeClr w14:val="tx1"/>
                  </w14:solidFill>
                </w14:textFill>
              </w:rPr>
              <w:t>22</w:t>
            </w:r>
            <w:r>
              <w:rPr>
                <w:rFonts w:hint="eastAsia" w:ascii="宋体" w:hAnsi="宋体" w:eastAsia="宋体" w:cs="宋体"/>
                <w:b/>
                <w:bCs/>
                <w:color w:val="000000" w:themeColor="text1"/>
                <w:kern w:val="0"/>
                <w:sz w:val="24"/>
                <w:szCs w:val="24"/>
                <w:highlight w:val="none"/>
                <w14:textFill>
                  <w14:solidFill>
                    <w14:schemeClr w14:val="tx1"/>
                  </w14:solidFill>
                </w14:textFill>
              </w:rPr>
              <w:t>年投标人经营指标情况表</w:t>
            </w:r>
          </w:p>
        </w:tc>
      </w:tr>
      <w:tr>
        <w:tblPrEx>
          <w:tblCellMar>
            <w:top w:w="0" w:type="dxa"/>
            <w:left w:w="108" w:type="dxa"/>
            <w:bottom w:w="0" w:type="dxa"/>
            <w:right w:w="108" w:type="dxa"/>
          </w:tblCellMar>
        </w:tblPrEx>
        <w:trPr>
          <w:trHeight w:val="480" w:hRule="atLeast"/>
        </w:trPr>
        <w:tc>
          <w:tcPr>
            <w:tcW w:w="6061" w:type="dxa"/>
            <w:gridSpan w:val="2"/>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编制单位：</w:t>
            </w:r>
          </w:p>
        </w:tc>
        <w:tc>
          <w:tcPr>
            <w:tcW w:w="2799"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单位：万元（本外币）</w:t>
            </w:r>
          </w:p>
        </w:tc>
      </w:tr>
      <w:tr>
        <w:tblPrEx>
          <w:tblCellMar>
            <w:top w:w="0" w:type="dxa"/>
            <w:left w:w="108" w:type="dxa"/>
            <w:bottom w:w="0" w:type="dxa"/>
            <w:right w:w="108" w:type="dxa"/>
          </w:tblCellMar>
        </w:tblPrEx>
        <w:trPr>
          <w:trHeight w:val="691"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序号 </w:t>
            </w:r>
          </w:p>
        </w:tc>
        <w:tc>
          <w:tcPr>
            <w:tcW w:w="4981"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项目 </w:t>
            </w:r>
          </w:p>
        </w:tc>
        <w:tc>
          <w:tcPr>
            <w:tcW w:w="279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金额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1</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资产总额 </w:t>
            </w:r>
          </w:p>
        </w:tc>
        <w:tc>
          <w:tcPr>
            <w:tcW w:w="2799"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2</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贷款总规模（贷款余额） </w:t>
            </w:r>
          </w:p>
        </w:tc>
        <w:tc>
          <w:tcPr>
            <w:tcW w:w="2799"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3</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存款总规模（存款余额） </w:t>
            </w:r>
          </w:p>
        </w:tc>
        <w:tc>
          <w:tcPr>
            <w:tcW w:w="2799"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4</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贷存款比例（贷款/存款*100%） </w:t>
            </w:r>
          </w:p>
        </w:tc>
        <w:tc>
          <w:tcPr>
            <w:tcW w:w="2799"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5</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不良贷款余额 </w:t>
            </w:r>
          </w:p>
        </w:tc>
        <w:tc>
          <w:tcPr>
            <w:tcW w:w="2799"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6</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不良贷款率（不良贷款余额/各项贷款余额）（%） </w:t>
            </w:r>
          </w:p>
        </w:tc>
        <w:tc>
          <w:tcPr>
            <w:tcW w:w="2799"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7</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营业收入 </w:t>
            </w:r>
          </w:p>
        </w:tc>
        <w:tc>
          <w:tcPr>
            <w:tcW w:w="2799"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1"/>
                <w:szCs w:val="21"/>
                <w:highlight w:val="none"/>
                <w14:textFill>
                  <w14:solidFill>
                    <w14:schemeClr w14:val="tx1"/>
                  </w14:solidFill>
                </w14:textFill>
              </w:rPr>
            </w:pPr>
            <w:r>
              <w:rPr>
                <w:rFonts w:hint="eastAsia" w:ascii="宋体" w:hAnsi="宋体" w:eastAsia="宋体" w:cs="宋体"/>
                <w:b/>
                <w:color w:val="000000" w:themeColor="text1"/>
                <w:kern w:val="0"/>
                <w:sz w:val="21"/>
                <w:szCs w:val="21"/>
                <w:highlight w:val="none"/>
                <w14:textFill>
                  <w14:solidFill>
                    <w14:schemeClr w14:val="tx1"/>
                  </w14:solidFill>
                </w14:textFill>
              </w:rPr>
              <w:t>8</w:t>
            </w:r>
          </w:p>
        </w:tc>
        <w:tc>
          <w:tcPr>
            <w:tcW w:w="4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 xml:space="preserve"> 税前利润总额 </w:t>
            </w:r>
          </w:p>
        </w:tc>
        <w:tc>
          <w:tcPr>
            <w:tcW w:w="2799"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noWrap w:val="0"/>
            <w:vAlign w:val="center"/>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p>
        </w:tc>
        <w:tc>
          <w:tcPr>
            <w:tcW w:w="4981"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799"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p>
        </w:tc>
      </w:tr>
      <w:tr>
        <w:tblPrEx>
          <w:tblCellMar>
            <w:top w:w="0" w:type="dxa"/>
            <w:left w:w="108" w:type="dxa"/>
            <w:bottom w:w="0" w:type="dxa"/>
            <w:right w:w="108" w:type="dxa"/>
          </w:tblCellMar>
        </w:tblPrEx>
        <w:trPr>
          <w:trHeight w:val="285" w:hRule="atLeast"/>
        </w:trPr>
        <w:tc>
          <w:tcPr>
            <w:tcW w:w="8860" w:type="dxa"/>
            <w:gridSpan w:val="3"/>
            <w:tcBorders>
              <w:top w:val="nil"/>
              <w:left w:val="nil"/>
              <w:bottom w:val="nil"/>
              <w:right w:val="nil"/>
            </w:tcBorders>
            <w:noWrap w:val="0"/>
            <w:vAlign w:val="center"/>
          </w:tcPr>
          <w:p>
            <w:pPr>
              <w:widowControl/>
              <w:jc w:val="left"/>
              <w:rPr>
                <w:rFonts w:hint="eastAsia" w:ascii="宋体" w:hAnsi="宋体" w:eastAsia="宋体" w:cs="宋体"/>
                <w:b/>
                <w:bCs/>
                <w:color w:val="000000" w:themeColor="text1"/>
                <w:kern w:val="0"/>
                <w:sz w:val="21"/>
                <w:szCs w:val="21"/>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★注：本表数据为20</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22</w:t>
            </w:r>
            <w:r>
              <w:rPr>
                <w:rFonts w:hint="eastAsia" w:ascii="宋体" w:hAnsi="宋体" w:eastAsia="宋体" w:cs="宋体"/>
                <w:b/>
                <w:bCs/>
                <w:color w:val="000000" w:themeColor="text1"/>
                <w:kern w:val="0"/>
                <w:sz w:val="21"/>
                <w:szCs w:val="21"/>
                <w:highlight w:val="none"/>
                <w14:textFill>
                  <w14:solidFill>
                    <w14:schemeClr w14:val="tx1"/>
                  </w14:solidFill>
                </w14:textFill>
              </w:rPr>
              <w:t>年12月31日的时点数，投标人须如实反映本表数据，如查实虚报数据，保留追究法律责任的权利。（本表数据均保留小数点后两位，第三位四舍五入，允许四舍五入造成的数据误差）</w:t>
            </w:r>
          </w:p>
        </w:tc>
      </w:tr>
    </w:tbl>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3"/>
        <w:numPr>
          <w:ilvl w:val="0"/>
          <w:numId w:val="0"/>
        </w:numPr>
        <w:spacing w:beforeLines="0" w:line="240" w:lineRule="auto"/>
        <w:rPr>
          <w:color w:val="000000" w:themeColor="text1"/>
          <w:highlight w:val="none"/>
          <w14:textFill>
            <w14:solidFill>
              <w14:schemeClr w14:val="tx1"/>
            </w14:solidFill>
          </w14:textFill>
        </w:rPr>
      </w:pPr>
      <w:bookmarkStart w:id="114" w:name="_Toc32379"/>
      <w:r>
        <w:rPr>
          <w:rFonts w:hint="eastAsia"/>
          <w:color w:val="000000" w:themeColor="text1"/>
          <w:highlight w:val="none"/>
          <w14:textFill>
            <w14:solidFill>
              <w14:schemeClr w14:val="tx1"/>
            </w14:solidFill>
          </w14:textFill>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4"/>
        <w:numPr>
          <w:ilvl w:val="0"/>
          <w:numId w:val="0"/>
        </w:numPr>
        <w:rPr>
          <w:rFonts w:hint="eastAsia"/>
          <w:color w:val="000000" w:themeColor="text1"/>
          <w:szCs w:val="21"/>
          <w:highlight w:val="none"/>
          <w14:textFill>
            <w14:solidFill>
              <w14:schemeClr w14:val="tx1"/>
            </w14:solidFill>
          </w14:textFill>
        </w:rPr>
      </w:pPr>
      <w:bookmarkStart w:id="115" w:name="_Toc434832495"/>
      <w:bookmarkStart w:id="116" w:name="_Toc456272919"/>
      <w:bookmarkStart w:id="117" w:name="_Toc456648358"/>
      <w:bookmarkStart w:id="118" w:name="_Toc21226"/>
      <w:r>
        <w:rPr>
          <w:rFonts w:hint="eastAsia"/>
          <w:color w:val="000000" w:themeColor="text1"/>
          <w:szCs w:val="21"/>
          <w:highlight w:val="none"/>
          <w14:textFill>
            <w14:solidFill>
              <w14:schemeClr w14:val="tx1"/>
            </w14:solidFill>
          </w14:textFill>
        </w:rPr>
        <w:t>投标人须知前附表</w:t>
      </w:r>
      <w:bookmarkEnd w:id="115"/>
      <w:bookmarkEnd w:id="116"/>
      <w:bookmarkEnd w:id="117"/>
      <w:bookmarkEnd w:id="118"/>
    </w:p>
    <w:tbl>
      <w:tblPr>
        <w:tblStyle w:val="46"/>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评标委员会</w:t>
            </w:r>
            <w:r>
              <w:rPr>
                <w:rFonts w:hint="eastAsia" w:ascii="宋体"/>
                <w:bCs/>
                <w:color w:val="000000" w:themeColor="text1"/>
                <w:highlight w:val="none"/>
                <w:lang w:val="en-US" w:eastAsia="zh-CN"/>
                <w14:textFill>
                  <w14:solidFill>
                    <w14:schemeClr w14:val="tx1"/>
                  </w14:solidFill>
                </w14:textFill>
              </w:rPr>
              <w:t>根据政府采购相关法律法规组成</w:t>
            </w:r>
            <w:r>
              <w:rPr>
                <w:rFonts w:hint="eastAsia" w:ascii="宋体"/>
                <w:bCs/>
                <w:color w:val="000000" w:themeColor="text1"/>
                <w:highlight w:val="none"/>
                <w14:textFill>
                  <w14:solidFill>
                    <w14:schemeClr w14:val="tx1"/>
                  </w14:solidFill>
                </w14:textFill>
              </w:rPr>
              <w:t>，评审专家根据相关法律法规及法律程序</w:t>
            </w:r>
            <w:r>
              <w:rPr>
                <w:rFonts w:hint="eastAsia" w:ascii="宋体"/>
                <w:bCs/>
                <w:color w:val="000000" w:themeColor="text1"/>
                <w:highlight w:val="none"/>
                <w:lang w:eastAsia="zh-CN"/>
                <w14:textFill>
                  <w14:solidFill>
                    <w14:schemeClr w14:val="tx1"/>
                  </w14:solidFill>
                </w14:textFill>
              </w:rPr>
              <w:t>，</w:t>
            </w:r>
            <w:r>
              <w:rPr>
                <w:rFonts w:hint="eastAsia" w:ascii="宋体"/>
                <w:bCs/>
                <w:color w:val="000000" w:themeColor="text1"/>
                <w:highlight w:val="none"/>
                <w14:textFill>
                  <w14:solidFill>
                    <w14:schemeClr w14:val="tx1"/>
                  </w14:solidFill>
                </w14:textFill>
              </w:rPr>
              <w:t>依据本次采购活动的特点和需要在政府指定的专家库中随机抽取产生,</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5</w:t>
            </w:r>
            <w:r>
              <w:rPr>
                <w:rFonts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r>
              <w:rPr>
                <w:rFonts w:hint="eastAsia" w:ascii="宋体" w:hAnsi="宋体"/>
                <w:color w:val="000000" w:themeColor="text1"/>
                <w:szCs w:val="21"/>
                <w:highlight w:val="none"/>
                <w:lang w:val="en-US" w:eastAsia="zh-CN"/>
                <w14:textFill>
                  <w14:solidFill>
                    <w14:schemeClr w14:val="tx1"/>
                  </w14:solidFill>
                </w14:textFill>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ascii="宋体" w:hAnsi="宋体"/>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共提供4份</w:t>
            </w:r>
            <w:r>
              <w:rPr>
                <w:rFonts w:hint="eastAsia" w:ascii="宋体" w:hAnsi="宋体"/>
                <w:b/>
                <w:bCs/>
                <w:color w:val="000000" w:themeColor="text1"/>
                <w:szCs w:val="21"/>
                <w:highlight w:val="none"/>
                <w14:textFill>
                  <w14:solidFill>
                    <w14:schemeClr w14:val="tx1"/>
                  </w14:solidFill>
                </w14:textFill>
              </w:rPr>
              <w:t>投标</w:t>
            </w:r>
            <w:r>
              <w:rPr>
                <w:rFonts w:hint="eastAsia" w:ascii="宋体" w:hAnsi="宋体"/>
                <w:b/>
                <w:bCs/>
                <w:color w:val="000000" w:themeColor="text1"/>
                <w:szCs w:val="21"/>
                <w:highlight w:val="none"/>
                <w:lang w:val="en-US" w:eastAsia="zh-CN"/>
                <w14:textFill>
                  <w14:solidFill>
                    <w14:schemeClr w14:val="tx1"/>
                  </w14:solidFill>
                </w14:textFill>
              </w:rPr>
              <w:t>资料，分别封装：</w:t>
            </w:r>
          </w:p>
          <w:p>
            <w:pPr>
              <w:pStyle w:val="2"/>
              <w:rPr>
                <w:rFonts w:hint="eastAsia"/>
                <w:color w:val="000000" w:themeColor="text1"/>
                <w:highlight w:val="none"/>
                <w:lang w:eastAsia="zh-CN"/>
                <w14:textFill>
                  <w14:solidFill>
                    <w14:schemeClr w14:val="tx1"/>
                  </w14:solidFill>
                </w14:textFill>
              </w:rPr>
            </w:pP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1、</w:t>
            </w:r>
            <w:r>
              <w:rPr>
                <w:rFonts w:hint="eastAsia" w:ascii="宋体" w:hAnsi="宋体"/>
                <w:b/>
                <w:bCs/>
                <w:color w:val="000000" w:themeColor="text1"/>
                <w:szCs w:val="21"/>
                <w:highlight w:val="none"/>
                <w14:textFill>
                  <w14:solidFill>
                    <w14:schemeClr w14:val="tx1"/>
                  </w14:solidFill>
                </w14:textFill>
              </w:rPr>
              <w:t>资格审查文件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2、</w:t>
            </w:r>
            <w:r>
              <w:rPr>
                <w:rFonts w:hint="eastAsia" w:ascii="宋体" w:hAnsi="宋体"/>
                <w:b/>
                <w:bCs/>
                <w:color w:val="000000" w:themeColor="text1"/>
                <w:szCs w:val="21"/>
                <w:highlight w:val="none"/>
                <w14:textFill>
                  <w14:solidFill>
                    <w14:schemeClr w14:val="tx1"/>
                  </w14:solidFill>
                </w14:textFill>
              </w:rPr>
              <w:t>商务及技术文件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14:textFill>
                  <w14:solidFill>
                    <w14:schemeClr w14:val="tx1"/>
                  </w14:solidFill>
                </w14:textFill>
              </w:rPr>
              <w:t>开标信封</w:t>
            </w:r>
            <w:r>
              <w:rPr>
                <w:rFonts w:hint="eastAsia"/>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（内含“开标一览表”、“投标保证金”、“保证金退付书”、“法定代表人（负责人）证明书”和“法定代表人（负责人）授权书”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4、</w:t>
            </w:r>
            <w:r>
              <w:rPr>
                <w:rFonts w:hint="eastAsia"/>
                <w:b/>
                <w:bCs/>
                <w:color w:val="000000" w:themeColor="text1"/>
                <w:highlight w:val="none"/>
                <w:lang w:val="en-US" w:eastAsia="zh-CN"/>
                <w14:textFill>
                  <w14:solidFill>
                    <w14:schemeClr w14:val="tx1"/>
                  </w14:solidFill>
                </w14:textFill>
              </w:rPr>
              <w:t>投标文件电子版。</w:t>
            </w:r>
            <w:r>
              <w:rPr>
                <w:rFonts w:hint="eastAsia"/>
                <w:color w:val="000000" w:themeColor="text1"/>
                <w:highlight w:val="none"/>
                <w:lang w:val="en-US" w:eastAsia="zh-CN"/>
                <w14:textFill>
                  <w14:solidFill>
                    <w14:schemeClr w14:val="tx1"/>
                  </w14:solidFill>
                </w14:textFill>
              </w:rPr>
              <w:t>（以光盘或U盘提供，内含PDF及可编辑的投标文件电子版1份，</w:t>
            </w:r>
            <w:r>
              <w:rPr>
                <w:rFonts w:hint="eastAsia"/>
                <w:color w:val="000000" w:themeColor="text1"/>
                <w:szCs w:val="21"/>
                <w:highlight w:val="none"/>
                <w14:textFill>
                  <w14:solidFill>
                    <w14:schemeClr w14:val="tx1"/>
                  </w14:solidFill>
                </w14:textFill>
              </w:rPr>
              <w:t>在封面上注明“</w:t>
            </w:r>
            <w:r>
              <w:rPr>
                <w:rFonts w:hint="eastAsia"/>
                <w:color w:val="000000" w:themeColor="text1"/>
                <w:szCs w:val="21"/>
                <w:highlight w:val="none"/>
                <w:lang w:val="en-US" w:eastAsia="zh-CN"/>
                <w14:textFill>
                  <w14:solidFill>
                    <w14:schemeClr w14:val="tx1"/>
                  </w14:solidFill>
                </w14:textFill>
              </w:rPr>
              <w:t>公司名称-</w:t>
            </w:r>
            <w:r>
              <w:rPr>
                <w:rFonts w:hint="eastAsia"/>
                <w:color w:val="000000" w:themeColor="text1"/>
                <w:highlight w:val="none"/>
                <w:lang w:val="en-US" w:eastAsia="zh-CN"/>
                <w14:textFill>
                  <w14:solidFill>
                    <w14:schemeClr w14:val="tx1"/>
                  </w14:solidFill>
                </w14:textFill>
              </w:rPr>
              <w:t>投标文件电子版</w:t>
            </w:r>
            <w:r>
              <w:rPr>
                <w:rFonts w:hint="eastAsia"/>
                <w:color w:val="000000" w:themeColor="text1"/>
                <w:szCs w:val="2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hAnsi="宋体"/>
                <w:b/>
                <w:bCs w:val="0"/>
                <w:color w:val="000000" w:themeColor="text1"/>
                <w:szCs w:val="21"/>
                <w:highlight w:val="none"/>
                <w:lang w:val="en-US" w:eastAsia="zh-CN"/>
                <w14:textFill>
                  <w14:solidFill>
                    <w14:schemeClr w14:val="tx1"/>
                  </w14:solidFill>
                </w14:textFill>
              </w:rPr>
              <w:t>所有投标资料</w:t>
            </w:r>
            <w:r>
              <w:rPr>
                <w:rFonts w:hint="eastAsia" w:ascii="宋体"/>
                <w:bCs/>
                <w:color w:val="000000" w:themeColor="text1"/>
                <w:szCs w:val="21"/>
                <w:highlight w:val="none"/>
                <w14:textFill>
                  <w14:solidFill>
                    <w14:schemeClr w14:val="tx1"/>
                  </w14:solidFill>
                </w14:textFill>
              </w:rPr>
              <w:t>分别</w:t>
            </w:r>
            <w:r>
              <w:rPr>
                <w:rFonts w:hint="eastAsia" w:ascii="宋体" w:hAnsi="宋体"/>
                <w:bCs/>
                <w:color w:val="000000" w:themeColor="text1"/>
                <w:szCs w:val="2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每一密封封</w:t>
            </w:r>
            <w:r>
              <w:rPr>
                <w:rFonts w:hint="eastAsia" w:ascii="宋体"/>
                <w:bCs/>
                <w:color w:val="000000" w:themeColor="text1"/>
                <w:highlight w:val="none"/>
                <w:lang w:val="en-US" w:eastAsia="zh-CN"/>
                <w14:textFill>
                  <w14:solidFill>
                    <w14:schemeClr w14:val="tx1"/>
                  </w14:solidFill>
                </w14:textFill>
              </w:rPr>
              <w:t>装</w:t>
            </w:r>
            <w:r>
              <w:rPr>
                <w:rFonts w:hint="eastAsia" w:ascii="宋体"/>
                <w:bCs/>
                <w:color w:val="000000" w:themeColor="text1"/>
                <w:highlight w:val="none"/>
                <w14:textFill>
                  <w14:solidFill>
                    <w14:schemeClr w14:val="tx1"/>
                  </w14:solidFill>
                </w14:textFill>
              </w:rPr>
              <w:t>上均注明“于</w:t>
            </w:r>
            <w:r>
              <w:rPr>
                <w:rFonts w:hint="eastAsia" w:ascii="宋体"/>
                <w:bCs/>
                <w:color w:val="000000" w:themeColor="text1"/>
                <w:highlight w:val="none"/>
                <w:u w:val="single"/>
                <w14:textFill>
                  <w14:solidFill>
                    <w14:schemeClr w14:val="tx1"/>
                  </w14:solidFill>
                </w14:textFill>
              </w:rPr>
              <w:t xml:space="preserve">     （投标截止时间）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投标人未按上述规定对投标文件进行密封和加写标记，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r>
              <w:rPr>
                <w:b/>
                <w:bCs/>
                <w:color w:val="000000" w:themeColor="text1"/>
                <w:szCs w:val="21"/>
                <w:highlight w:val="none"/>
                <w14:textFill>
                  <w14:solidFill>
                    <w14:schemeClr w14:val="tx1"/>
                  </w14:solidFill>
                </w14:textFill>
              </w:rPr>
              <w:t>所有投标文件密封袋的封口处应加盖投标人</w:t>
            </w:r>
            <w:r>
              <w:rPr>
                <w:rFonts w:hint="eastAsia"/>
                <w:b/>
                <w:bCs/>
                <w:color w:val="000000" w:themeColor="text1"/>
                <w:szCs w:val="21"/>
                <w:highlight w:val="none"/>
                <w14:textFill>
                  <w14:solidFill>
                    <w14:schemeClr w14:val="tx1"/>
                  </w14:solidFill>
                </w14:textFill>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招标文件中打“★”号条款必须实质性响应，负偏离（不满足要求）将导致投标无效。</w:t>
            </w:r>
          </w:p>
          <w:p>
            <w:pPr>
              <w:pStyle w:val="5"/>
              <w:keepNext w:val="0"/>
              <w:keepLines w:val="0"/>
              <w:pageBreakBefore w:val="0"/>
              <w:numPr>
                <w:ilvl w:val="0"/>
                <w:numId w:val="0"/>
              </w:numPr>
              <w:tabs>
                <w:tab w:val="left" w:pos="26"/>
              </w:tabs>
              <w:kinsoku/>
              <w:wordWrap/>
              <w:overflowPunct/>
              <w:topLinePunct w:val="0"/>
              <w:bidi w:val="0"/>
              <w:snapToGrid/>
              <w:spacing w:line="400" w:lineRule="exact"/>
              <w:ind w:left="26" w:leftChars="0"/>
              <w:jc w:val="both"/>
              <w:rPr>
                <w:bCs/>
                <w:color w:val="000000" w:themeColor="text1"/>
                <w:highlight w:val="none"/>
                <w14:textFill>
                  <w14:solidFill>
                    <w14:schemeClr w14:val="tx1"/>
                  </w14:solidFill>
                </w14:textFill>
              </w:rPr>
            </w:pPr>
            <w:r>
              <w:rPr>
                <w:rFonts w:hint="eastAsia"/>
                <w:b/>
                <w:color w:val="000000" w:themeColor="text1"/>
                <w:sz w:val="21"/>
                <w:szCs w:val="21"/>
                <w:highlight w:val="none"/>
                <w:lang w:val="en-US" w:eastAsia="zh-CN"/>
                <w14:textFill>
                  <w14:solidFill>
                    <w14:schemeClr w14:val="tx1"/>
                  </w14:solidFill>
                </w14:textFill>
              </w:rPr>
              <w:t>2、</w:t>
            </w:r>
            <w:r>
              <w:rPr>
                <w:rFonts w:hint="eastAsia"/>
                <w:b/>
                <w:color w:val="000000" w:themeColor="text1"/>
                <w:sz w:val="21"/>
                <w:szCs w:val="21"/>
                <w:highlight w:val="none"/>
                <w14:textFill>
                  <w14:solidFill>
                    <w14:schemeClr w14:val="tx1"/>
                  </w14:solidFill>
                </w14:textFill>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5"/>
        <w:ind w:left="0" w:leftChars="0" w:firstLine="0" w:firstLineChars="0"/>
        <w:rPr>
          <w:rFonts w:hint="eastAsia"/>
          <w:color w:val="000000" w:themeColor="text1"/>
          <w:szCs w:val="21"/>
          <w:highlight w:val="none"/>
          <w14:textFill>
            <w14:solidFill>
              <w14:schemeClr w14:val="tx1"/>
            </w14:solidFill>
          </w14:textFill>
        </w:rPr>
      </w:pPr>
    </w:p>
    <w:p>
      <w:pPr>
        <w:pStyle w:val="5"/>
        <w:ind w:left="0" w:leftChars="0" w:firstLine="0" w:firstLineChars="0"/>
        <w:rPr>
          <w:rFonts w:hint="eastAsia"/>
          <w:color w:val="000000" w:themeColor="text1"/>
          <w:szCs w:val="2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19" w:name="_Hlt21938668"/>
      <w:bookmarkEnd w:id="119"/>
      <w:bookmarkStart w:id="120" w:name="_Hlt21938665"/>
      <w:bookmarkEnd w:id="120"/>
      <w:bookmarkStart w:id="121" w:name="_Toc330459953"/>
      <w:bookmarkStart w:id="122" w:name="_Toc336681903"/>
      <w:bookmarkStart w:id="123" w:name="_Toc345513835"/>
      <w:bookmarkStart w:id="124" w:name="_Toc337632326"/>
      <w:bookmarkStart w:id="125" w:name="_Toc333238601"/>
      <w:bookmarkStart w:id="126" w:name="_Toc339019983"/>
      <w:bookmarkStart w:id="127" w:name="_Toc366072496"/>
      <w:bookmarkStart w:id="128" w:name="_Toc333237756"/>
      <w:bookmarkStart w:id="129" w:name="_Toc332206676"/>
      <w:bookmarkStart w:id="130" w:name="_Toc341348306"/>
      <w:bookmarkStart w:id="131" w:name="_Toc342060342"/>
      <w:bookmarkStart w:id="132" w:name="_Toc331684006"/>
      <w:bookmarkStart w:id="133" w:name="_Toc333935655"/>
      <w:bookmarkStart w:id="134" w:name="_Toc333935314"/>
      <w:bookmarkStart w:id="135" w:name="_Toc332270314"/>
      <w:bookmarkStart w:id="136" w:name="_Toc497224194"/>
      <w:bookmarkStart w:id="137" w:name="_Toc503785396"/>
      <w:bookmarkStart w:id="138" w:name="_Toc339020201"/>
      <w:bookmarkStart w:id="139" w:name="_Toc365985147"/>
      <w:bookmarkStart w:id="140" w:name="_Toc339019857"/>
      <w:bookmarkStart w:id="141" w:name="_Toc340507410"/>
      <w:bookmarkStart w:id="142" w:name="_Toc339362268"/>
      <w:bookmarkStart w:id="143" w:name="_Toc331512866"/>
      <w:bookmarkStart w:id="144" w:name="_Toc342296728"/>
      <w:bookmarkStart w:id="145" w:name="_Toc349127594"/>
      <w:bookmarkStart w:id="146" w:name="_Toc339441055"/>
      <w:bookmarkStart w:id="147" w:name="_Toc340672837"/>
      <w:bookmarkStart w:id="148" w:name="_Toc340677038"/>
      <w:bookmarkStart w:id="149" w:name="_Toc339020063"/>
      <w:bookmarkStart w:id="150" w:name="_Toc336681548"/>
      <w:bookmarkStart w:id="151" w:name="_Toc365967041"/>
      <w:bookmarkStart w:id="152" w:name="_Toc350438717"/>
      <w:bookmarkStart w:id="153" w:name="_Toc349143557"/>
      <w:bookmarkStart w:id="154" w:name="_Toc333237645"/>
      <w:bookmarkStart w:id="155" w:name="_Toc350756418"/>
      <w:bookmarkStart w:id="156" w:name="_Toc3578"/>
      <w:r>
        <w:rPr>
          <w:rFonts w:hint="eastAsia"/>
          <w:color w:val="000000" w:themeColor="text1"/>
          <w:sz w:val="24"/>
          <w:highlight w:val="none"/>
          <w14:textFill>
            <w14:solidFill>
              <w14:schemeClr w14:val="tx1"/>
            </w14:solidFill>
          </w14:textFill>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57" w:name="_Toc497224195"/>
      <w:bookmarkStart w:id="158" w:name="_Toc503785397"/>
      <w:bookmarkStart w:id="159" w:name="_Toc342060343"/>
      <w:bookmarkStart w:id="160" w:name="_Toc331684007"/>
      <w:bookmarkStart w:id="161" w:name="_Toc333237646"/>
      <w:bookmarkStart w:id="162" w:name="_Toc21217"/>
      <w:bookmarkStart w:id="163" w:name="_Toc342296729"/>
      <w:bookmarkStart w:id="164" w:name="_Toc340507411"/>
      <w:bookmarkStart w:id="165" w:name="_Toc336681549"/>
      <w:bookmarkStart w:id="166" w:name="_Toc350756419"/>
      <w:bookmarkStart w:id="167" w:name="_Toc339441056"/>
      <w:bookmarkStart w:id="168" w:name="_Toc332206677"/>
      <w:bookmarkStart w:id="169" w:name="_Toc336681904"/>
      <w:bookmarkStart w:id="170" w:name="_Toc339020064"/>
      <w:bookmarkStart w:id="171" w:name="_Toc349127595"/>
      <w:bookmarkStart w:id="172" w:name="_Toc341348307"/>
      <w:bookmarkStart w:id="173" w:name="_Toc366072497"/>
      <w:bookmarkStart w:id="174" w:name="_Toc331512867"/>
      <w:bookmarkStart w:id="175" w:name="_Toc330459954"/>
      <w:bookmarkStart w:id="176" w:name="_Toc340672838"/>
      <w:bookmarkStart w:id="177" w:name="_Toc365985148"/>
      <w:bookmarkStart w:id="178" w:name="_Toc339019984"/>
      <w:bookmarkStart w:id="179" w:name="_Toc345513836"/>
      <w:bookmarkStart w:id="180" w:name="_Toc332270315"/>
      <w:bookmarkStart w:id="181" w:name="_Toc365967042"/>
      <w:bookmarkStart w:id="182" w:name="_Toc333935656"/>
      <w:bookmarkStart w:id="183" w:name="_Toc339362269"/>
      <w:bookmarkStart w:id="184" w:name="_Toc340677039"/>
      <w:bookmarkStart w:id="185" w:name="_Toc350438718"/>
      <w:bookmarkStart w:id="186" w:name="_Toc333237757"/>
      <w:bookmarkStart w:id="187" w:name="_Toc339020202"/>
      <w:bookmarkStart w:id="188" w:name="_Toc333935315"/>
      <w:bookmarkStart w:id="189" w:name="_Toc333238602"/>
      <w:bookmarkStart w:id="190" w:name="_Toc349143558"/>
      <w:bookmarkStart w:id="191" w:name="_Toc339019858"/>
      <w:bookmarkStart w:id="192" w:name="_Toc337632327"/>
      <w:r>
        <w:rPr>
          <w:rFonts w:hint="eastAsia"/>
          <w:color w:val="000000" w:themeColor="text1"/>
          <w:highlight w:val="none"/>
          <w14:textFill>
            <w14:solidFill>
              <w14:schemeClr w14:val="tx1"/>
            </w14:solidFill>
          </w14:textFill>
        </w:rPr>
        <w:t>适用范围</w:t>
      </w:r>
      <w:bookmarkEnd w:id="157"/>
      <w:bookmarkEnd w:id="158"/>
      <w:r>
        <w:rPr>
          <w:rFonts w:hint="eastAsia"/>
          <w:color w:val="000000" w:themeColor="text1"/>
          <w:highlight w:val="none"/>
          <w14:textFill>
            <w14:solidFill>
              <w14:schemeClr w14:val="tx1"/>
            </w14:solidFill>
          </w14:textFill>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bookmarkStart w:id="193" w:name="_Toc365967043"/>
      <w:bookmarkStart w:id="194" w:name="_Toc332270316"/>
      <w:bookmarkStart w:id="195" w:name="_Toc339362270"/>
      <w:bookmarkStart w:id="196" w:name="_Toc345513837"/>
      <w:bookmarkStart w:id="197" w:name="_Toc341348308"/>
      <w:bookmarkStart w:id="198" w:name="_Toc339020065"/>
      <w:bookmarkStart w:id="199" w:name="_Toc333237758"/>
      <w:bookmarkStart w:id="200" w:name="_Toc330459955"/>
      <w:bookmarkStart w:id="201" w:name="_Toc333935316"/>
      <w:bookmarkStart w:id="202" w:name="_Toc339019985"/>
      <w:bookmarkStart w:id="203" w:name="_Toc350756420"/>
      <w:bookmarkStart w:id="204" w:name="_Toc340507412"/>
      <w:bookmarkStart w:id="205" w:name="_Toc337632328"/>
      <w:bookmarkStart w:id="206" w:name="_Toc333238603"/>
      <w:bookmarkStart w:id="207" w:name="_Toc340672839"/>
      <w:bookmarkStart w:id="208" w:name="_Toc339019859"/>
      <w:bookmarkStart w:id="209" w:name="_Toc342296730"/>
      <w:bookmarkStart w:id="210" w:name="_Toc349127596"/>
      <w:bookmarkStart w:id="211" w:name="_Toc333237647"/>
      <w:bookmarkStart w:id="212" w:name="_Toc332206678"/>
      <w:bookmarkStart w:id="213" w:name="_Toc336681905"/>
      <w:bookmarkStart w:id="214" w:name="_Toc366072498"/>
      <w:bookmarkStart w:id="215" w:name="_Toc374454571"/>
      <w:bookmarkStart w:id="216" w:name="_Toc336681550"/>
      <w:bookmarkStart w:id="217" w:name="_Toc349143559"/>
      <w:bookmarkStart w:id="218" w:name="_Toc333935657"/>
      <w:bookmarkStart w:id="219" w:name="_Toc365985149"/>
      <w:bookmarkStart w:id="220" w:name="_Toc340677040"/>
      <w:bookmarkStart w:id="221" w:name="_Toc339441057"/>
      <w:bookmarkStart w:id="222" w:name="_Toc331684008"/>
      <w:bookmarkStart w:id="223" w:name="_Toc497224196"/>
      <w:bookmarkStart w:id="224" w:name="_Toc339020203"/>
      <w:bookmarkStart w:id="225" w:name="_Toc331512868"/>
      <w:bookmarkStart w:id="226" w:name="_Toc342060344"/>
      <w:bookmarkStart w:id="227" w:name="_Toc503785398"/>
      <w:bookmarkStart w:id="228" w:name="_Toc350438719"/>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    本招标文件由代理采购机构负责解释。</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29" w:name="_Toc1113"/>
      <w:r>
        <w:rPr>
          <w:rFonts w:hint="eastAsia"/>
          <w:color w:val="000000" w:themeColor="text1"/>
          <w:highlight w:val="none"/>
          <w14:textFill>
            <w14:solidFill>
              <w14:schemeClr w14:val="tx1"/>
            </w14:solidFill>
          </w14:textFill>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“代理采购机构”系指组织本次招标的</w:t>
      </w:r>
      <w:r>
        <w:rPr>
          <w:rFonts w:hint="eastAsia" w:ascii="宋体"/>
          <w:bCs/>
          <w:color w:val="000000" w:themeColor="text1"/>
          <w:highlight w:val="none"/>
          <w:lang w:eastAsia="zh-CN"/>
          <w14:textFill>
            <w14:solidFill>
              <w14:schemeClr w14:val="tx1"/>
            </w14:solidFill>
          </w14:textFill>
        </w:rPr>
        <w:t>广东业信招标有限公司</w:t>
      </w:r>
      <w:r>
        <w:rPr>
          <w:rFonts w:hint="eastAsia" w:ascii="宋体"/>
          <w:bCs/>
          <w:color w:val="000000" w:themeColor="text1"/>
          <w:highlight w:val="none"/>
          <w14:textFill>
            <w14:solidFill>
              <w14:schemeClr w14:val="tx1"/>
            </w14:solidFill>
          </w14:textFill>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“投标人”系指</w:t>
      </w:r>
      <w:r>
        <w:rPr>
          <w:rFonts w:hint="eastAsia" w:ascii="宋体" w:hAnsi="宋体"/>
          <w:bCs/>
          <w:color w:val="000000" w:themeColor="text1"/>
          <w:highlight w:val="none"/>
          <w14:textFill>
            <w14:solidFill>
              <w14:schemeClr w14:val="tx1"/>
            </w14:solidFill>
          </w14:textFill>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“采购人”系指</w:t>
      </w:r>
      <w:r>
        <w:rPr>
          <w:rFonts w:hint="eastAsia" w:ascii="宋体"/>
          <w:bCs/>
          <w:color w:val="000000" w:themeColor="text1"/>
          <w:highlight w:val="none"/>
          <w:lang w:eastAsia="zh-CN"/>
          <w14:textFill>
            <w14:solidFill>
              <w14:schemeClr w14:val="tx1"/>
            </w14:solidFill>
          </w14:textFill>
        </w:rPr>
        <w:t>阳西县人力资源和社会保障局</w:t>
      </w:r>
      <w:r>
        <w:rPr>
          <w:rFonts w:hint="eastAsia" w:ascii="宋体"/>
          <w:bCs/>
          <w:color w:val="000000" w:themeColor="text1"/>
          <w:highlight w:val="none"/>
          <w14:textFill>
            <w14:solidFill>
              <w14:schemeClr w14:val="tx1"/>
            </w14:solidFill>
          </w14:textFill>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货物</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“工作日”系指国家规定除法定节假日以外的以日</w:t>
      </w:r>
      <w:r>
        <w:rPr>
          <w:rFonts w:ascii="宋体" w:hAnsi="宋体"/>
          <w:bCs/>
          <w:color w:val="000000" w:themeColor="text1"/>
          <w:highlight w:val="none"/>
          <w14:textFill>
            <w14:solidFill>
              <w14:schemeClr w14:val="tx1"/>
            </w14:solidFill>
          </w14:textFill>
        </w:rPr>
        <w:t>为计算单位的工作时间</w:t>
      </w:r>
      <w:r>
        <w:rPr>
          <w:rFonts w:hint="eastAsia" w:ascii="宋体" w:hAnsi="宋体"/>
          <w:bCs/>
          <w:color w:val="000000" w:themeColor="text1"/>
          <w:highlight w:val="none"/>
          <w14:textFill>
            <w14:solidFill>
              <w14:schemeClr w14:val="tx1"/>
            </w14:solidFill>
          </w14:textFill>
        </w:rPr>
        <w:t>。</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30" w:name="_Toc497224197"/>
      <w:bookmarkStart w:id="231" w:name="_Toc503785399"/>
      <w:bookmarkStart w:id="232" w:name="_Toc332270317"/>
      <w:bookmarkStart w:id="233" w:name="_Toc349127597"/>
      <w:bookmarkStart w:id="234" w:name="_Toc350756421"/>
      <w:bookmarkStart w:id="235" w:name="_Toc339441058"/>
      <w:bookmarkStart w:id="236" w:name="_Toc342296731"/>
      <w:bookmarkStart w:id="237" w:name="_Toc350438720"/>
      <w:bookmarkStart w:id="238" w:name="_Toc339362271"/>
      <w:bookmarkStart w:id="239" w:name="_Toc365985150"/>
      <w:bookmarkStart w:id="240" w:name="_Toc345513838"/>
      <w:bookmarkStart w:id="241" w:name="_Toc341348309"/>
      <w:bookmarkStart w:id="242" w:name="_Toc340672840"/>
      <w:bookmarkStart w:id="243" w:name="_Toc340507413"/>
      <w:bookmarkStart w:id="244" w:name="_Toc339019860"/>
      <w:bookmarkStart w:id="245" w:name="_Toc366072499"/>
      <w:bookmarkStart w:id="246" w:name="_Toc340677041"/>
      <w:bookmarkStart w:id="247" w:name="_Toc374454572"/>
      <w:bookmarkStart w:id="248" w:name="_Toc333237759"/>
      <w:bookmarkStart w:id="249" w:name="_Toc339020204"/>
      <w:bookmarkStart w:id="250" w:name="_Toc336681906"/>
      <w:bookmarkStart w:id="251" w:name="_Toc332206679"/>
      <w:bookmarkStart w:id="252" w:name="_Toc333237648"/>
      <w:bookmarkStart w:id="253" w:name="_Toc365967044"/>
      <w:bookmarkStart w:id="254" w:name="_Toc337632329"/>
      <w:bookmarkStart w:id="255" w:name="_Toc339020066"/>
      <w:bookmarkStart w:id="256" w:name="_Toc349143560"/>
      <w:bookmarkStart w:id="257" w:name="_Toc333935658"/>
      <w:bookmarkStart w:id="258" w:name="_Toc333238604"/>
      <w:bookmarkStart w:id="259" w:name="_Toc331684009"/>
      <w:bookmarkStart w:id="260" w:name="_Toc342060345"/>
      <w:bookmarkStart w:id="261" w:name="_Toc2070"/>
      <w:bookmarkStart w:id="262" w:name="_Toc333935317"/>
      <w:bookmarkStart w:id="263" w:name="_Toc336681551"/>
      <w:bookmarkStart w:id="264" w:name="_Toc339019986"/>
      <w:bookmarkStart w:id="265" w:name="_Toc331512869"/>
      <w:bookmarkStart w:id="266" w:name="_Toc330459956"/>
      <w:r>
        <w:rPr>
          <w:rFonts w:hint="eastAsia"/>
          <w:color w:val="000000" w:themeColor="text1"/>
          <w:highlight w:val="none"/>
          <w14:textFill>
            <w14:solidFill>
              <w14:schemeClr w14:val="tx1"/>
            </w14:solidFill>
          </w14:textFill>
        </w:rPr>
        <w:t>合格的</w:t>
      </w:r>
      <w:bookmarkEnd w:id="230"/>
      <w:bookmarkEnd w:id="231"/>
      <w:r>
        <w:rPr>
          <w:rFonts w:hint="eastAsia"/>
          <w:color w:val="000000" w:themeColor="text1"/>
          <w:highlight w:val="none"/>
          <w14:textFill>
            <w14:solidFill>
              <w14:schemeClr w14:val="tx1"/>
            </w14:solidFill>
          </w14:textFill>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highlight w:val="none"/>
          <w14:textFill>
            <w14:solidFill>
              <w14:schemeClr w14:val="tx1"/>
            </w14:solidFill>
          </w14:textFill>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bCs/>
          <w:color w:val="000000" w:themeColor="text1"/>
          <w:szCs w:val="21"/>
          <w:highlight w:val="none"/>
          <w14:textFill>
            <w14:solidFill>
              <w14:schemeClr w14:val="tx1"/>
            </w14:solidFill>
          </w14:textFill>
        </w:rPr>
        <w:t>专门面向中小微企业采购的项目，只能由中小企业或微型企业参加。</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67" w:name="_Toc349127598"/>
      <w:bookmarkStart w:id="268" w:name="_Toc339019861"/>
      <w:bookmarkStart w:id="269" w:name="_Toc331512870"/>
      <w:bookmarkStart w:id="270" w:name="_Toc339362272"/>
      <w:bookmarkStart w:id="271" w:name="_Toc340672841"/>
      <w:bookmarkStart w:id="272" w:name="_Toc339020067"/>
      <w:bookmarkStart w:id="273" w:name="_Toc349143561"/>
      <w:bookmarkStart w:id="274" w:name="_Toc333935659"/>
      <w:bookmarkStart w:id="275" w:name="_Toc503785400"/>
      <w:bookmarkStart w:id="276" w:name="_Toc332270318"/>
      <w:bookmarkStart w:id="277" w:name="_Toc332206680"/>
      <w:bookmarkStart w:id="278" w:name="_Toc339441059"/>
      <w:bookmarkStart w:id="279" w:name="_Toc330459957"/>
      <w:bookmarkStart w:id="280" w:name="_Toc10849"/>
      <w:bookmarkStart w:id="281" w:name="_Toc342060346"/>
      <w:bookmarkStart w:id="282" w:name="_Toc341348310"/>
      <w:bookmarkStart w:id="283" w:name="_Toc497224198"/>
      <w:bookmarkStart w:id="284" w:name="_Toc333238605"/>
      <w:bookmarkStart w:id="285" w:name="_Toc342296732"/>
      <w:bookmarkStart w:id="286" w:name="_Toc366072500"/>
      <w:bookmarkStart w:id="287" w:name="_Toc339019987"/>
      <w:bookmarkStart w:id="288" w:name="_Toc365967045"/>
      <w:bookmarkStart w:id="289" w:name="_Toc340507414"/>
      <w:bookmarkStart w:id="290" w:name="_Toc331684010"/>
      <w:bookmarkStart w:id="291" w:name="_Toc339020205"/>
      <w:bookmarkStart w:id="292" w:name="_Toc345513839"/>
      <w:bookmarkStart w:id="293" w:name="_Toc350756422"/>
      <w:bookmarkStart w:id="294" w:name="_Toc333237649"/>
      <w:bookmarkStart w:id="295" w:name="_Toc336681907"/>
      <w:bookmarkStart w:id="296" w:name="_Toc374454573"/>
      <w:bookmarkStart w:id="297" w:name="_Toc340677042"/>
      <w:bookmarkStart w:id="298" w:name="_Toc333935318"/>
      <w:bookmarkStart w:id="299" w:name="_Toc337632330"/>
      <w:bookmarkStart w:id="300" w:name="_Toc336681552"/>
      <w:bookmarkStart w:id="301" w:name="_Toc350438721"/>
      <w:bookmarkStart w:id="302" w:name="_Toc365985151"/>
      <w:bookmarkStart w:id="303" w:name="_Toc333237760"/>
      <w:r>
        <w:rPr>
          <w:rFonts w:hint="eastAsia"/>
          <w:color w:val="000000" w:themeColor="text1"/>
          <w:highlight w:val="none"/>
          <w14:textFill>
            <w14:solidFill>
              <w14:schemeClr w14:val="tx1"/>
            </w14:solidFill>
          </w14:textFill>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4.1</w:t>
      </w:r>
      <w:r>
        <w:rPr>
          <w:rFonts w:hint="eastAsia" w:asci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投标人应承担所有与准备和参加投标有关的费用。不论投标的结果如何，代理采购机构和采购人均无义务和责任承担这些费用</w:t>
      </w:r>
      <w:r>
        <w:rPr>
          <w:rFonts w:hint="eastAsia" w:ascii="宋体"/>
          <w:bCs/>
          <w:color w:val="000000" w:themeColor="text1"/>
          <w:highlight w:val="none"/>
          <w14:textFill>
            <w14:solidFill>
              <w14:schemeClr w14:val="tx1"/>
            </w14:solidFill>
          </w14:textFill>
        </w:rPr>
        <w:t>。</w:t>
      </w:r>
      <w:bookmarkStart w:id="304" w:name="_Toc332270319"/>
      <w:bookmarkStart w:id="305" w:name="_Toc342296733"/>
      <w:bookmarkStart w:id="306" w:name="_Toc341348311"/>
      <w:bookmarkStart w:id="307" w:name="_Toc340672842"/>
      <w:bookmarkStart w:id="308" w:name="_Toc336681908"/>
      <w:bookmarkStart w:id="309" w:name="_Toc337632331"/>
      <w:bookmarkStart w:id="310" w:name="_Toc331684011"/>
      <w:bookmarkStart w:id="311" w:name="_Toc497224199"/>
      <w:bookmarkStart w:id="312" w:name="_Toc339019862"/>
      <w:bookmarkStart w:id="313" w:name="_Toc345513840"/>
      <w:bookmarkStart w:id="314" w:name="_Toc333935660"/>
      <w:bookmarkStart w:id="315" w:name="_Toc339019988"/>
      <w:bookmarkStart w:id="316" w:name="_Toc339020206"/>
      <w:bookmarkStart w:id="317" w:name="_Toc365985152"/>
      <w:bookmarkStart w:id="318" w:name="_Toc333237761"/>
      <w:bookmarkStart w:id="319" w:name="_Toc330459958"/>
      <w:bookmarkStart w:id="320" w:name="_Toc366072501"/>
      <w:bookmarkStart w:id="321" w:name="_Toc350756423"/>
      <w:bookmarkStart w:id="322" w:name="_Toc342060347"/>
      <w:bookmarkStart w:id="323" w:name="_Toc340507415"/>
      <w:bookmarkStart w:id="324" w:name="_Toc349143562"/>
      <w:bookmarkStart w:id="325" w:name="_Toc339441060"/>
      <w:bookmarkStart w:id="326" w:name="_Toc365967046"/>
      <w:bookmarkStart w:id="327" w:name="_Toc339020068"/>
      <w:bookmarkStart w:id="328" w:name="_Toc333238606"/>
      <w:bookmarkStart w:id="329" w:name="_Toc333237650"/>
      <w:bookmarkStart w:id="330" w:name="_Toc336681553"/>
      <w:bookmarkStart w:id="331" w:name="_Toc331512871"/>
      <w:bookmarkStart w:id="332" w:name="_Toc332206681"/>
      <w:bookmarkStart w:id="333" w:name="_Toc339362273"/>
      <w:bookmarkStart w:id="334" w:name="_Toc333935319"/>
      <w:bookmarkStart w:id="335" w:name="_Toc340677043"/>
      <w:bookmarkStart w:id="336" w:name="_Toc350438722"/>
      <w:bookmarkStart w:id="337" w:name="_Toc374454574"/>
      <w:bookmarkStart w:id="338" w:name="_Toc503785401"/>
      <w:bookmarkStart w:id="339" w:name="_Toc349127599"/>
    </w:p>
    <w:p>
      <w:pPr>
        <w:pStyle w:val="4"/>
        <w:numPr>
          <w:ilvl w:val="0"/>
          <w:numId w:val="0"/>
        </w:numPr>
        <w:rPr>
          <w:color w:val="000000" w:themeColor="text1"/>
          <w:sz w:val="24"/>
          <w:highlight w:val="none"/>
          <w14:textFill>
            <w14:solidFill>
              <w14:schemeClr w14:val="tx1"/>
            </w14:solidFill>
          </w14:textFill>
        </w:rPr>
      </w:pPr>
      <w:bookmarkStart w:id="340" w:name="_Toc6443"/>
      <w:r>
        <w:rPr>
          <w:rFonts w:hint="eastAsia"/>
          <w:color w:val="000000" w:themeColor="text1"/>
          <w:sz w:val="24"/>
          <w:highlight w:val="none"/>
          <w14:textFill>
            <w14:solidFill>
              <w14:schemeClr w14:val="tx1"/>
            </w14:solidFill>
          </w14:textFill>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41" w:name="_Toc330459959"/>
      <w:bookmarkStart w:id="342" w:name="_Toc337632332"/>
      <w:bookmarkStart w:id="343" w:name="_Toc349127600"/>
      <w:bookmarkStart w:id="344" w:name="_Toc339362274"/>
      <w:bookmarkStart w:id="345" w:name="_Toc345513841"/>
      <w:bookmarkStart w:id="346" w:name="_Toc333935320"/>
      <w:bookmarkStart w:id="347" w:name="_Toc336681554"/>
      <w:bookmarkStart w:id="348" w:name="_Toc342060348"/>
      <w:bookmarkStart w:id="349" w:name="_Toc333935661"/>
      <w:bookmarkStart w:id="350" w:name="_Toc336681909"/>
      <w:bookmarkStart w:id="351" w:name="_Toc365967047"/>
      <w:bookmarkStart w:id="352" w:name="_Toc339020207"/>
      <w:bookmarkStart w:id="353" w:name="_Toc365985153"/>
      <w:bookmarkStart w:id="354" w:name="_Toc332270320"/>
      <w:bookmarkStart w:id="355" w:name="_Toc340677044"/>
      <w:bookmarkStart w:id="356" w:name="_Toc340672843"/>
      <w:bookmarkStart w:id="357" w:name="_Toc339019989"/>
      <w:bookmarkStart w:id="358" w:name="_Toc339019863"/>
      <w:bookmarkStart w:id="359" w:name="_Toc333238607"/>
      <w:bookmarkStart w:id="360" w:name="_Toc350756424"/>
      <w:bookmarkStart w:id="361" w:name="_Toc331684012"/>
      <w:bookmarkStart w:id="362" w:name="_Toc341348312"/>
      <w:bookmarkStart w:id="363" w:name="_Toc366072502"/>
      <w:bookmarkStart w:id="364" w:name="_Toc28989"/>
      <w:bookmarkStart w:id="365" w:name="_Toc503785402"/>
      <w:bookmarkStart w:id="366" w:name="_Toc333237762"/>
      <w:bookmarkStart w:id="367" w:name="_Toc340507416"/>
      <w:bookmarkStart w:id="368" w:name="_Toc349143563"/>
      <w:bookmarkStart w:id="369" w:name="_Toc339441061"/>
      <w:bookmarkStart w:id="370" w:name="_Toc331512872"/>
      <w:bookmarkStart w:id="371" w:name="_Toc333237651"/>
      <w:bookmarkStart w:id="372" w:name="_Toc342296734"/>
      <w:bookmarkStart w:id="373" w:name="_Toc339020069"/>
      <w:bookmarkStart w:id="374" w:name="_Toc350438723"/>
      <w:bookmarkStart w:id="375" w:name="_Toc332206682"/>
      <w:bookmarkStart w:id="376" w:name="_Toc374454575"/>
      <w:bookmarkStart w:id="377" w:name="_Toc497224200"/>
      <w:r>
        <w:rPr>
          <w:rFonts w:hint="eastAsia"/>
          <w:color w:val="000000" w:themeColor="text1"/>
          <w:highlight w:val="none"/>
          <w14:textFill>
            <w14:solidFill>
              <w14:schemeClr w14:val="tx1"/>
            </w14:solidFill>
          </w14:textFill>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招标文件以中文编印。</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78" w:name="_Toc339362275"/>
      <w:bookmarkStart w:id="379" w:name="_Toc339019990"/>
      <w:bookmarkStart w:id="380" w:name="_Toc342060349"/>
      <w:bookmarkStart w:id="381" w:name="_Toc340672844"/>
      <w:bookmarkStart w:id="382" w:name="_Toc333237763"/>
      <w:bookmarkStart w:id="383" w:name="_Toc350756425"/>
      <w:bookmarkStart w:id="384" w:name="_Toc331684013"/>
      <w:bookmarkStart w:id="385" w:name="_Toc365967048"/>
      <w:bookmarkStart w:id="386" w:name="_Toc333935321"/>
      <w:bookmarkStart w:id="387" w:name="_Toc330459960"/>
      <w:bookmarkStart w:id="388" w:name="_Toc350438724"/>
      <w:bookmarkStart w:id="389" w:name="_Toc345513842"/>
      <w:bookmarkStart w:id="390" w:name="_Toc503785403"/>
      <w:bookmarkStart w:id="391" w:name="_Toc370388389"/>
      <w:bookmarkStart w:id="392" w:name="_Toc365985154"/>
      <w:bookmarkStart w:id="393" w:name="_Toc341348313"/>
      <w:bookmarkStart w:id="394" w:name="_Toc349143564"/>
      <w:bookmarkStart w:id="395" w:name="_Toc331512873"/>
      <w:bookmarkStart w:id="396" w:name="_Toc342296735"/>
      <w:bookmarkStart w:id="397" w:name="_Toc337632333"/>
      <w:bookmarkStart w:id="398" w:name="_Toc339020070"/>
      <w:bookmarkStart w:id="399" w:name="_Toc339019864"/>
      <w:bookmarkStart w:id="400" w:name="_Toc336681555"/>
      <w:bookmarkStart w:id="401" w:name="_Toc340507417"/>
      <w:bookmarkStart w:id="402" w:name="_Toc339441062"/>
      <w:bookmarkStart w:id="403" w:name="_Toc333238608"/>
      <w:bookmarkStart w:id="404" w:name="_Toc332206683"/>
      <w:bookmarkStart w:id="405" w:name="_Toc497224201"/>
      <w:bookmarkStart w:id="406" w:name="_Toc333237652"/>
      <w:bookmarkStart w:id="407" w:name="_Toc339020208"/>
      <w:bookmarkStart w:id="408" w:name="_Toc349127601"/>
      <w:bookmarkStart w:id="409" w:name="_Toc336681910"/>
      <w:bookmarkStart w:id="410" w:name="_Toc340677045"/>
      <w:bookmarkStart w:id="411" w:name="_Toc333935662"/>
      <w:bookmarkStart w:id="412" w:name="_Toc332270321"/>
      <w:bookmarkStart w:id="413" w:name="_Toc19303"/>
      <w:bookmarkStart w:id="414" w:name="_Toc374454576"/>
      <w:bookmarkStart w:id="415" w:name="_Toc497224203"/>
      <w:bookmarkStart w:id="416" w:name="_Toc503785405"/>
      <w:bookmarkStart w:id="417" w:name="_Toc339020072"/>
      <w:bookmarkStart w:id="418" w:name="_Toc330459962"/>
      <w:bookmarkStart w:id="419" w:name="_Toc333237654"/>
      <w:bookmarkStart w:id="420" w:name="_Toc366072505"/>
      <w:bookmarkStart w:id="421" w:name="_Toc340677047"/>
      <w:bookmarkStart w:id="422" w:name="_Toc350438726"/>
      <w:bookmarkStart w:id="423" w:name="_Toc333935664"/>
      <w:bookmarkStart w:id="424" w:name="_Toc349127603"/>
      <w:bookmarkStart w:id="425" w:name="_Toc340507419"/>
      <w:bookmarkStart w:id="426" w:name="_Toc365967050"/>
      <w:bookmarkStart w:id="427" w:name="_Toc349143566"/>
      <w:bookmarkStart w:id="428" w:name="_Toc332206685"/>
      <w:bookmarkStart w:id="429" w:name="_Toc337632335"/>
      <w:bookmarkStart w:id="430" w:name="_Toc333935323"/>
      <w:bookmarkStart w:id="431" w:name="_Toc350756427"/>
      <w:bookmarkStart w:id="432" w:name="_Toc342296737"/>
      <w:bookmarkStart w:id="433" w:name="_Toc341348315"/>
      <w:bookmarkStart w:id="434" w:name="_Toc339020210"/>
      <w:bookmarkStart w:id="435" w:name="_Toc339362277"/>
      <w:bookmarkStart w:id="436" w:name="_Toc332270323"/>
      <w:bookmarkStart w:id="437" w:name="_Toc331684015"/>
      <w:bookmarkStart w:id="438" w:name="_Toc339441064"/>
      <w:bookmarkStart w:id="439" w:name="_Toc365985156"/>
      <w:bookmarkStart w:id="440" w:name="_Toc336681912"/>
      <w:bookmarkStart w:id="441" w:name="_Toc339019866"/>
      <w:bookmarkStart w:id="442" w:name="_Toc336681557"/>
      <w:bookmarkStart w:id="443" w:name="_Toc342060351"/>
      <w:bookmarkStart w:id="444" w:name="_Toc333238610"/>
      <w:bookmarkStart w:id="445" w:name="_Toc340672846"/>
      <w:bookmarkStart w:id="446" w:name="_Toc339019992"/>
      <w:bookmarkStart w:id="447" w:name="_Toc331512875"/>
      <w:bookmarkStart w:id="448" w:name="_Toc345513844"/>
      <w:bookmarkStart w:id="449" w:name="_Toc333237765"/>
      <w:r>
        <w:rPr>
          <w:rFonts w:hint="eastAsia"/>
          <w:color w:val="000000" w:themeColor="text1"/>
          <w:highlight w:val="none"/>
          <w14:textFill>
            <w14:solidFill>
              <w14:schemeClr w14:val="tx1"/>
            </w14:solidFill>
          </w14:textFill>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14:textFill>
            <w14:solidFill>
              <w14:schemeClr w14:val="tx1"/>
            </w14:solidFill>
          </w14:textFill>
        </w:rPr>
        <w:t>、修改</w:t>
      </w:r>
      <w:bookmarkEnd w:id="413"/>
      <w:bookmarkEnd w:id="414"/>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澄清或修改时间距投标截止时间不足15日的，采购人或代理采购机构在征得已获取招标文件的投标人同意并书面确认后，可不改变投标截止时间。</w:t>
      </w:r>
    </w:p>
    <w:p>
      <w:pPr>
        <w:pStyle w:val="4"/>
        <w:numPr>
          <w:ilvl w:val="0"/>
          <w:numId w:val="0"/>
        </w:numPr>
        <w:rPr>
          <w:color w:val="000000" w:themeColor="text1"/>
          <w:sz w:val="24"/>
          <w:highlight w:val="none"/>
          <w14:textFill>
            <w14:solidFill>
              <w14:schemeClr w14:val="tx1"/>
            </w14:solidFill>
          </w14:textFill>
        </w:rPr>
      </w:pPr>
      <w:bookmarkStart w:id="450" w:name="_Toc374454577"/>
      <w:r>
        <w:rPr>
          <w:color w:val="000000" w:themeColor="text1"/>
          <w:sz w:val="24"/>
          <w:highlight w:val="none"/>
          <w14:textFill>
            <w14:solidFill>
              <w14:schemeClr w14:val="tx1"/>
            </w14:solidFill>
          </w14:textFill>
        </w:rPr>
        <w:br w:type="page"/>
      </w:r>
      <w:bookmarkStart w:id="451" w:name="_Toc26298"/>
      <w:r>
        <w:rPr>
          <w:rFonts w:hint="eastAsia"/>
          <w:color w:val="000000" w:themeColor="text1"/>
          <w:sz w:val="24"/>
          <w:highlight w:val="none"/>
          <w14:textFill>
            <w14:solidFill>
              <w14:schemeClr w14:val="tx1"/>
            </w14:solidFill>
          </w14:textFill>
        </w:rPr>
        <w:t>Ｃ投标文件的编</w:t>
      </w:r>
      <w:bookmarkEnd w:id="415"/>
      <w:bookmarkEnd w:id="416"/>
      <w:r>
        <w:rPr>
          <w:rFonts w:hint="eastAsia"/>
          <w:color w:val="000000" w:themeColor="text1"/>
          <w:sz w:val="24"/>
          <w:highlight w:val="none"/>
          <w14:textFill>
            <w14:solidFill>
              <w14:schemeClr w14:val="tx1"/>
            </w14:solidFill>
          </w14:textFill>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52" w:name="_Toc331512876"/>
      <w:bookmarkStart w:id="453" w:name="_Toc333935665"/>
      <w:bookmarkStart w:id="454" w:name="_Toc333237655"/>
      <w:bookmarkStart w:id="455" w:name="_Toc350438727"/>
      <w:bookmarkStart w:id="456" w:name="_Toc342060352"/>
      <w:bookmarkStart w:id="457" w:name="_Toc332206686"/>
      <w:bookmarkStart w:id="458" w:name="_Toc337632336"/>
      <w:bookmarkStart w:id="459" w:name="_Toc339020211"/>
      <w:bookmarkStart w:id="460" w:name="_Toc342296738"/>
      <w:bookmarkStart w:id="461" w:name="_Toc340677048"/>
      <w:bookmarkStart w:id="462" w:name="_Toc349127604"/>
      <w:bookmarkStart w:id="463" w:name="_Toc497224204"/>
      <w:bookmarkStart w:id="464" w:name="_Toc332270324"/>
      <w:bookmarkStart w:id="465" w:name="_Toc341348316"/>
      <w:bookmarkStart w:id="466" w:name="_Toc333238611"/>
      <w:bookmarkStart w:id="467" w:name="_Toc25725"/>
      <w:bookmarkStart w:id="468" w:name="_Toc365967051"/>
      <w:bookmarkStart w:id="469" w:name="_Toc336681913"/>
      <w:bookmarkStart w:id="470" w:name="_Toc330459963"/>
      <w:bookmarkStart w:id="471" w:name="_Toc503785406"/>
      <w:bookmarkStart w:id="472" w:name="_Toc339362278"/>
      <w:bookmarkStart w:id="473" w:name="_Toc339441065"/>
      <w:bookmarkStart w:id="474" w:name="_Toc345513845"/>
      <w:bookmarkStart w:id="475" w:name="_Toc365985157"/>
      <w:bookmarkStart w:id="476" w:name="_Toc340507420"/>
      <w:bookmarkStart w:id="477" w:name="_Toc333237766"/>
      <w:bookmarkStart w:id="478" w:name="_Toc333935324"/>
      <w:bookmarkStart w:id="479" w:name="_Toc331684016"/>
      <w:bookmarkStart w:id="480" w:name="_Toc339020073"/>
      <w:bookmarkStart w:id="481" w:name="_Toc340672847"/>
      <w:bookmarkStart w:id="482" w:name="_Toc339019993"/>
      <w:bookmarkStart w:id="483" w:name="_Toc339019867"/>
      <w:bookmarkStart w:id="484" w:name="_Toc336681558"/>
      <w:bookmarkStart w:id="485" w:name="_Toc350756428"/>
      <w:bookmarkStart w:id="486" w:name="_Toc366072506"/>
      <w:bookmarkStart w:id="487" w:name="_Toc349143567"/>
      <w:bookmarkStart w:id="488" w:name="_Toc374454578"/>
      <w:r>
        <w:rPr>
          <w:rFonts w:hint="eastAsia"/>
          <w:color w:val="000000" w:themeColor="text1"/>
          <w:highlight w:val="none"/>
          <w14:textFill>
            <w14:solidFill>
              <w14:schemeClr w14:val="tx1"/>
            </w14:solidFill>
          </w14:textFill>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89" w:name="_Toc342060353"/>
      <w:bookmarkStart w:id="490" w:name="_Toc332270325"/>
      <w:bookmarkStart w:id="491" w:name="_Toc349127605"/>
      <w:bookmarkStart w:id="492" w:name="_Toc374454579"/>
      <w:bookmarkStart w:id="493" w:name="_Toc339441066"/>
      <w:bookmarkStart w:id="494" w:name="_Toc340507421"/>
      <w:bookmarkStart w:id="495" w:name="_Toc349143568"/>
      <w:bookmarkStart w:id="496" w:name="_Toc365967052"/>
      <w:bookmarkStart w:id="497" w:name="_Toc503785407"/>
      <w:bookmarkStart w:id="498" w:name="_Toc345513846"/>
      <w:bookmarkStart w:id="499" w:name="_Toc497224205"/>
      <w:bookmarkStart w:id="500" w:name="_Toc340672848"/>
      <w:bookmarkStart w:id="501" w:name="_Toc333237767"/>
      <w:bookmarkStart w:id="502" w:name="_Toc365985158"/>
      <w:bookmarkStart w:id="503" w:name="_Toc339020074"/>
      <w:bookmarkStart w:id="504" w:name="_Toc332206687"/>
      <w:bookmarkStart w:id="505" w:name="_Toc333935325"/>
      <w:bookmarkStart w:id="506" w:name="_Toc340677049"/>
      <w:bookmarkStart w:id="507" w:name="_Toc342296739"/>
      <w:bookmarkStart w:id="508" w:name="_Toc336681914"/>
      <w:bookmarkStart w:id="509" w:name="_Toc350756429"/>
      <w:bookmarkStart w:id="510" w:name="_Toc331512877"/>
      <w:bookmarkStart w:id="511" w:name="_Toc339019868"/>
      <w:bookmarkStart w:id="512" w:name="_Toc333935666"/>
      <w:bookmarkStart w:id="513" w:name="_Toc21617"/>
      <w:bookmarkStart w:id="514" w:name="_Toc336681559"/>
      <w:bookmarkStart w:id="515" w:name="_Toc350438728"/>
      <w:bookmarkStart w:id="516" w:name="_Toc341348317"/>
      <w:bookmarkStart w:id="517" w:name="_Toc339020212"/>
      <w:bookmarkStart w:id="518" w:name="_Toc339362279"/>
      <w:bookmarkStart w:id="519" w:name="_Toc366072507"/>
      <w:bookmarkStart w:id="520" w:name="_Toc330459964"/>
      <w:bookmarkStart w:id="521" w:name="_Toc337632337"/>
      <w:bookmarkStart w:id="522" w:name="_Toc333238612"/>
      <w:bookmarkStart w:id="523" w:name="_Toc339019994"/>
      <w:bookmarkStart w:id="524" w:name="_Toc331684017"/>
      <w:bookmarkStart w:id="525" w:name="_Toc333237656"/>
      <w:r>
        <w:rPr>
          <w:rFonts w:hint="eastAsia"/>
          <w:color w:val="000000" w:themeColor="text1"/>
          <w:highlight w:val="none"/>
          <w14:textFill>
            <w14:solidFill>
              <w14:schemeClr w14:val="tx1"/>
            </w14:solidFill>
          </w14:textFill>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除在招标文件的技术规格中另有规定外，计量单位应使用中华人民共和国法定计量单位</w:t>
      </w:r>
      <w:r>
        <w:rPr>
          <w:rFonts w:hint="eastAsia"/>
          <w:bCs/>
          <w:color w:val="000000" w:themeColor="text1"/>
          <w:highlight w:val="none"/>
          <w14:textFill>
            <w14:solidFill>
              <w14:schemeClr w14:val="tx1"/>
            </w14:solidFill>
          </w14:textFill>
        </w:rPr>
        <w:t>（国际单位制和国家选定的其他计量单位）</w:t>
      </w:r>
      <w:r>
        <w:rPr>
          <w:rFonts w:hint="eastAsia" w:ascii="宋体"/>
          <w:bCs/>
          <w:color w:val="000000" w:themeColor="text1"/>
          <w:highlight w:val="none"/>
          <w14:textFill>
            <w14:solidFill>
              <w14:schemeClr w14:val="tx1"/>
            </w14:solidFill>
          </w14:textFill>
        </w:rPr>
        <w:t>。</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26" w:name="_Toc350756430"/>
      <w:bookmarkStart w:id="527" w:name="_Toc330459965"/>
      <w:bookmarkStart w:id="528" w:name="_Toc350438729"/>
      <w:bookmarkStart w:id="529" w:name="_Toc339019869"/>
      <w:bookmarkStart w:id="530" w:name="_Toc332206688"/>
      <w:bookmarkStart w:id="531" w:name="_Toc331684018"/>
      <w:bookmarkStart w:id="532" w:name="_Toc340672849"/>
      <w:bookmarkStart w:id="533" w:name="_Toc503785408"/>
      <w:bookmarkStart w:id="534" w:name="_Toc339020075"/>
      <w:bookmarkStart w:id="535" w:name="_Toc365967053"/>
      <w:bookmarkStart w:id="536" w:name="_Toc339441067"/>
      <w:bookmarkStart w:id="537" w:name="_Toc333935667"/>
      <w:bookmarkStart w:id="538" w:name="_Toc333237768"/>
      <w:bookmarkStart w:id="539" w:name="_Toc374454580"/>
      <w:bookmarkStart w:id="540" w:name="_Toc337632338"/>
      <w:bookmarkStart w:id="541" w:name="_Toc349143569"/>
      <w:bookmarkStart w:id="542" w:name="_Toc497224206"/>
      <w:bookmarkStart w:id="543" w:name="_Toc345513847"/>
      <w:bookmarkStart w:id="544" w:name="_Toc339019995"/>
      <w:bookmarkStart w:id="545" w:name="_Toc331512878"/>
      <w:bookmarkStart w:id="546" w:name="_Toc339020213"/>
      <w:bookmarkStart w:id="547" w:name="_Toc366072508"/>
      <w:bookmarkStart w:id="548" w:name="_Toc336681560"/>
      <w:bookmarkStart w:id="549" w:name="_Toc341348318"/>
      <w:bookmarkStart w:id="550" w:name="_Toc333238613"/>
      <w:bookmarkStart w:id="551" w:name="_Toc365985159"/>
      <w:bookmarkStart w:id="552" w:name="_Toc32653"/>
      <w:bookmarkStart w:id="553" w:name="_Toc333237657"/>
      <w:bookmarkStart w:id="554" w:name="_Toc340677050"/>
      <w:bookmarkStart w:id="555" w:name="_Toc332270326"/>
      <w:bookmarkStart w:id="556" w:name="_Toc340507422"/>
      <w:bookmarkStart w:id="557" w:name="_Toc339362280"/>
      <w:bookmarkStart w:id="558" w:name="_Toc333935326"/>
      <w:bookmarkStart w:id="559" w:name="_Toc342060354"/>
      <w:bookmarkStart w:id="560" w:name="_Toc336681915"/>
      <w:bookmarkStart w:id="561" w:name="_Toc349127606"/>
      <w:bookmarkStart w:id="562" w:name="_Toc342296740"/>
      <w:r>
        <w:rPr>
          <w:rFonts w:hint="eastAsia"/>
          <w:color w:val="000000" w:themeColor="text1"/>
          <w:highlight w:val="none"/>
          <w14:textFill>
            <w14:solidFill>
              <w14:schemeClr w14:val="tx1"/>
            </w14:solidFill>
          </w14:textFill>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投标文件包括：</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bookmarkStart w:id="563" w:name="_Toc503785409"/>
      <w:bookmarkStart w:id="564" w:name="_Toc497224207"/>
      <w:r>
        <w:rPr>
          <w:rFonts w:hint="eastAsia" w:ascii="宋体" w:hAnsi="宋体"/>
          <w:bCs/>
          <w:color w:val="000000" w:themeColor="text1"/>
          <w:highlight w:val="none"/>
          <w14:textFill>
            <w14:solidFill>
              <w14:schemeClr w14:val="tx1"/>
            </w14:solidFill>
          </w14:textFill>
        </w:rPr>
        <w:t>第一章 资格审查文件（含附件）</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第二章 商务和技术部分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65" w:name="_Toc349127607"/>
      <w:bookmarkStart w:id="566" w:name="_Toc341348319"/>
      <w:bookmarkStart w:id="567" w:name="_Toc345513848"/>
      <w:bookmarkStart w:id="568" w:name="_Toc340672850"/>
      <w:bookmarkStart w:id="569" w:name="_Toc337632339"/>
      <w:bookmarkStart w:id="570" w:name="_Toc340677051"/>
      <w:bookmarkStart w:id="571" w:name="_Toc336681561"/>
      <w:bookmarkStart w:id="572" w:name="_Toc331684019"/>
      <w:bookmarkStart w:id="573" w:name="_Toc10566"/>
      <w:bookmarkStart w:id="574" w:name="_Toc333935327"/>
      <w:bookmarkStart w:id="575" w:name="_Toc332206689"/>
      <w:bookmarkStart w:id="576" w:name="_Toc333935668"/>
      <w:bookmarkStart w:id="577" w:name="_Toc339441068"/>
      <w:bookmarkStart w:id="578" w:name="_Toc333237658"/>
      <w:bookmarkStart w:id="579" w:name="_Toc339362281"/>
      <w:bookmarkStart w:id="580" w:name="_Toc342296741"/>
      <w:bookmarkStart w:id="581" w:name="_Toc374454581"/>
      <w:bookmarkStart w:id="582" w:name="_Toc365967054"/>
      <w:bookmarkStart w:id="583" w:name="_Toc333237769"/>
      <w:bookmarkStart w:id="584" w:name="_Toc349143570"/>
      <w:bookmarkStart w:id="585" w:name="_Toc342060355"/>
      <w:bookmarkStart w:id="586" w:name="_Toc340507423"/>
      <w:bookmarkStart w:id="587" w:name="_Toc339020214"/>
      <w:bookmarkStart w:id="588" w:name="_Toc333238614"/>
      <w:bookmarkStart w:id="589" w:name="_Toc339019870"/>
      <w:bookmarkStart w:id="590" w:name="_Toc339019996"/>
      <w:bookmarkStart w:id="591" w:name="_Toc332270327"/>
      <w:bookmarkStart w:id="592" w:name="_Toc350756431"/>
      <w:bookmarkStart w:id="593" w:name="_Toc366072509"/>
      <w:bookmarkStart w:id="594" w:name="_Toc330459966"/>
      <w:bookmarkStart w:id="595" w:name="_Toc339020076"/>
      <w:bookmarkStart w:id="596" w:name="_Toc350438730"/>
      <w:bookmarkStart w:id="597" w:name="_Toc331512879"/>
      <w:bookmarkStart w:id="598" w:name="_Toc336681916"/>
      <w:bookmarkStart w:id="599" w:name="_Toc365985160"/>
      <w:r>
        <w:rPr>
          <w:rFonts w:hint="eastAsia"/>
          <w:color w:val="000000" w:themeColor="text1"/>
          <w:highlight w:val="none"/>
          <w14:textFill>
            <w14:solidFill>
              <w14:schemeClr w14:val="tx1"/>
            </w14:solidFill>
          </w14:textFill>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投标人应</w:t>
      </w:r>
      <w:r>
        <w:rPr>
          <w:rFonts w:hint="eastAsia" w:ascii="宋体" w:hAnsi="宋体"/>
          <w:bCs/>
          <w:color w:val="000000" w:themeColor="text1"/>
          <w:highlight w:val="none"/>
          <w14:textFill>
            <w14:solidFill>
              <w14:schemeClr w14:val="tx1"/>
            </w14:solidFill>
          </w14:textFill>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10.2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00" w:name="_Toc336681562"/>
      <w:bookmarkStart w:id="601" w:name="_Toc339441069"/>
      <w:bookmarkStart w:id="602" w:name="_Toc330459967"/>
      <w:bookmarkStart w:id="603" w:name="_Toc350756432"/>
      <w:bookmarkStart w:id="604" w:name="_Toc345513849"/>
      <w:bookmarkStart w:id="605" w:name="_Toc332270328"/>
      <w:bookmarkStart w:id="606" w:name="_Toc365985161"/>
      <w:bookmarkStart w:id="607" w:name="_Toc340507424"/>
      <w:bookmarkStart w:id="608" w:name="_Toc349143571"/>
      <w:bookmarkStart w:id="609" w:name="_Toc5922"/>
      <w:bookmarkStart w:id="610" w:name="_Toc332206690"/>
      <w:bookmarkStart w:id="611" w:name="_Toc339020077"/>
      <w:bookmarkStart w:id="612" w:name="_Toc339019997"/>
      <w:bookmarkStart w:id="613" w:name="_Toc340672851"/>
      <w:bookmarkStart w:id="614" w:name="_Toc5003680"/>
      <w:bookmarkStart w:id="615" w:name="_Toc342060356"/>
      <w:bookmarkStart w:id="616" w:name="_Toc339020215"/>
      <w:bookmarkStart w:id="617" w:name="_Toc341348320"/>
      <w:bookmarkStart w:id="618" w:name="_Toc333935669"/>
      <w:bookmarkStart w:id="619" w:name="_Toc339019871"/>
      <w:bookmarkStart w:id="620" w:name="_Toc336681917"/>
      <w:bookmarkStart w:id="621" w:name="_Toc333238615"/>
      <w:bookmarkStart w:id="622" w:name="_Toc342296742"/>
      <w:bookmarkStart w:id="623" w:name="_Toc331512880"/>
      <w:bookmarkStart w:id="624" w:name="_Toc333935328"/>
      <w:bookmarkStart w:id="625" w:name="_Toc349127608"/>
      <w:bookmarkStart w:id="626" w:name="_Toc366072510"/>
      <w:bookmarkStart w:id="627" w:name="_Toc337632340"/>
      <w:bookmarkStart w:id="628" w:name="_Toc331684020"/>
      <w:bookmarkStart w:id="629" w:name="_Toc333237659"/>
      <w:bookmarkStart w:id="630" w:name="_Toc339362282"/>
      <w:bookmarkStart w:id="631" w:name="_Toc350438731"/>
      <w:bookmarkStart w:id="632" w:name="_Toc374454582"/>
      <w:bookmarkStart w:id="633" w:name="_Toc333237770"/>
      <w:bookmarkStart w:id="634" w:name="_Toc340677052"/>
      <w:bookmarkStart w:id="635" w:name="_Toc365967055"/>
      <w:r>
        <w:rPr>
          <w:rFonts w:hint="eastAsia"/>
          <w:color w:val="000000" w:themeColor="text1"/>
          <w:highlight w:val="none"/>
          <w14:textFill>
            <w14:solidFill>
              <w14:schemeClr w14:val="tx1"/>
            </w14:solidFill>
          </w14:textFill>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11.1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36" w:name="_Toc339020216"/>
      <w:bookmarkStart w:id="637" w:name="_Toc374454583"/>
      <w:bookmarkStart w:id="638" w:name="_Toc350756433"/>
      <w:bookmarkStart w:id="639" w:name="_Toc333237771"/>
      <w:bookmarkStart w:id="640" w:name="_Toc342296743"/>
      <w:bookmarkStart w:id="641" w:name="_Toc2023"/>
      <w:bookmarkStart w:id="642" w:name="_Toc336681563"/>
      <w:bookmarkStart w:id="643" w:name="_Toc340507425"/>
      <w:bookmarkStart w:id="644" w:name="_Toc341348321"/>
      <w:bookmarkStart w:id="645" w:name="_Toc345513850"/>
      <w:bookmarkStart w:id="646" w:name="_Toc340672852"/>
      <w:bookmarkStart w:id="647" w:name="_Toc366072511"/>
      <w:bookmarkStart w:id="648" w:name="_Toc342060357"/>
      <w:bookmarkStart w:id="649" w:name="_Toc5003681"/>
      <w:bookmarkStart w:id="650" w:name="_Toc333935670"/>
      <w:bookmarkStart w:id="651" w:name="_Toc333238616"/>
      <w:bookmarkStart w:id="652" w:name="_Toc331684021"/>
      <w:bookmarkStart w:id="653" w:name="_Toc331512881"/>
      <w:bookmarkStart w:id="654" w:name="_Toc337632341"/>
      <w:bookmarkStart w:id="655" w:name="_Toc365985162"/>
      <w:bookmarkStart w:id="656" w:name="_Toc332270329"/>
      <w:bookmarkStart w:id="657" w:name="_Toc339020078"/>
      <w:bookmarkStart w:id="658" w:name="_Toc336681918"/>
      <w:bookmarkStart w:id="659" w:name="_Toc330459968"/>
      <w:bookmarkStart w:id="660" w:name="_Toc339019872"/>
      <w:bookmarkStart w:id="661" w:name="_Toc340677053"/>
      <w:bookmarkStart w:id="662" w:name="_Toc339019998"/>
      <w:bookmarkStart w:id="663" w:name="_Toc339362283"/>
      <w:bookmarkStart w:id="664" w:name="_Toc350438732"/>
      <w:bookmarkStart w:id="665" w:name="_Toc365967056"/>
      <w:bookmarkStart w:id="666" w:name="_Toc333935329"/>
      <w:bookmarkStart w:id="667" w:name="_Toc339441070"/>
      <w:bookmarkStart w:id="668" w:name="_Toc349127609"/>
      <w:bookmarkStart w:id="669" w:name="_Toc349143572"/>
      <w:bookmarkStart w:id="670" w:name="_Toc332206691"/>
      <w:bookmarkStart w:id="671" w:name="_Toc333237660"/>
      <w:r>
        <w:rPr>
          <w:rFonts w:hint="eastAsia"/>
          <w:color w:val="000000" w:themeColor="text1"/>
          <w:highlight w:val="none"/>
          <w14:textFill>
            <w14:solidFill>
              <w14:schemeClr w14:val="tx1"/>
            </w14:solidFill>
          </w14:textFill>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12.1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投标人在阐述上述第</w:t>
      </w:r>
      <w:r>
        <w:rPr>
          <w:rFonts w:hint="eastAsia" w:ascii="宋体" w:hAnsi="宋体"/>
          <w:color w:val="000000" w:themeColor="text1"/>
          <w:highlight w:val="none"/>
          <w14:textFill>
            <w14:solidFill>
              <w14:schemeClr w14:val="tx1"/>
            </w14:solidFill>
          </w14:textFill>
        </w:rPr>
        <w:t>12.2（3）</w:t>
      </w:r>
      <w:r>
        <w:rPr>
          <w:rFonts w:hint="eastAsia"/>
          <w:color w:val="000000" w:themeColor="text1"/>
          <w:highlight w:val="none"/>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12.4   评标委员会对投标人所提供的证明货物和服务的合格性的文件进行审查，审查不合格的投标将作为无效投标处理。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72" w:name="_Toc365985163"/>
      <w:bookmarkStart w:id="673" w:name="_Toc332270330"/>
      <w:bookmarkStart w:id="674" w:name="_Toc349127610"/>
      <w:bookmarkStart w:id="675" w:name="_Toc340677054"/>
      <w:bookmarkStart w:id="676" w:name="_Toc333237772"/>
      <w:bookmarkStart w:id="677" w:name="_Toc339441071"/>
      <w:bookmarkStart w:id="678" w:name="_Toc333935671"/>
      <w:bookmarkStart w:id="679" w:name="_Toc331684022"/>
      <w:bookmarkStart w:id="680" w:name="_Toc497224209"/>
      <w:bookmarkStart w:id="681" w:name="_Toc342296744"/>
      <w:bookmarkStart w:id="682" w:name="_Toc340672853"/>
      <w:bookmarkStart w:id="683" w:name="_Toc350438733"/>
      <w:bookmarkStart w:id="684" w:name="_Toc331512882"/>
      <w:bookmarkStart w:id="685" w:name="_Toc342060358"/>
      <w:bookmarkStart w:id="686" w:name="_Toc330459969"/>
      <w:bookmarkStart w:id="687" w:name="_Toc365967057"/>
      <w:bookmarkStart w:id="688" w:name="_Toc341348322"/>
      <w:bookmarkStart w:id="689" w:name="_Toc340507426"/>
      <w:bookmarkStart w:id="690" w:name="_Toc339019873"/>
      <w:bookmarkStart w:id="691" w:name="_Toc333238617"/>
      <w:bookmarkStart w:id="692" w:name="_Toc332206692"/>
      <w:bookmarkStart w:id="693" w:name="_Toc337632342"/>
      <w:bookmarkStart w:id="694" w:name="_Toc339362284"/>
      <w:bookmarkStart w:id="695" w:name="_Toc336681564"/>
      <w:bookmarkStart w:id="696" w:name="_Toc339019999"/>
      <w:bookmarkStart w:id="697" w:name="_Toc333935330"/>
      <w:bookmarkStart w:id="698" w:name="_Toc366072512"/>
      <w:bookmarkStart w:id="699" w:name="_Toc374454584"/>
      <w:bookmarkStart w:id="700" w:name="_Toc345513851"/>
      <w:bookmarkStart w:id="701" w:name="_Toc350756434"/>
      <w:bookmarkStart w:id="702" w:name="_Toc336681919"/>
      <w:bookmarkStart w:id="703" w:name="_Toc503785411"/>
      <w:bookmarkStart w:id="704" w:name="_Toc21568"/>
      <w:bookmarkStart w:id="705" w:name="_Toc339020217"/>
      <w:bookmarkStart w:id="706" w:name="_Toc333237661"/>
      <w:bookmarkStart w:id="707" w:name="_Toc349143573"/>
      <w:bookmarkStart w:id="708" w:name="_Toc339020079"/>
      <w:r>
        <w:rPr>
          <w:rFonts w:hint="eastAsia"/>
          <w:color w:val="000000" w:themeColor="text1"/>
          <w:highlight w:val="none"/>
          <w14:textFill>
            <w14:solidFill>
              <w14:schemeClr w14:val="tx1"/>
            </w14:solidFill>
          </w14:textFill>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14:textFill>
            <w14:solidFill>
              <w14:schemeClr w14:val="tx1"/>
            </w14:solidFill>
          </w14:textFill>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13.3</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   投标人在投标文件中如有任何遗漏，影响到招标文件中规定的范围、质量、性能和项目的实施或限制了采购人的权利和投标人的义务，由此产生的费用由投标人负责。</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09" w:name="_Toc339020218"/>
      <w:bookmarkStart w:id="710" w:name="_Toc332206693"/>
      <w:bookmarkStart w:id="711" w:name="_Toc340677055"/>
      <w:bookmarkStart w:id="712" w:name="_Toc365985164"/>
      <w:bookmarkStart w:id="713" w:name="_Toc336681920"/>
      <w:bookmarkStart w:id="714" w:name="_Toc339020080"/>
      <w:bookmarkStart w:id="715" w:name="_Toc333935331"/>
      <w:bookmarkStart w:id="716" w:name="_Toc331512883"/>
      <w:bookmarkStart w:id="717" w:name="_Toc345513852"/>
      <w:bookmarkStart w:id="718" w:name="_Toc497224212"/>
      <w:bookmarkStart w:id="719" w:name="_Toc332270331"/>
      <w:bookmarkStart w:id="720" w:name="_Toc342060359"/>
      <w:bookmarkStart w:id="721" w:name="_Toc336681565"/>
      <w:bookmarkStart w:id="722" w:name="_Toc342296745"/>
      <w:bookmarkStart w:id="723" w:name="_Toc27177"/>
      <w:bookmarkStart w:id="724" w:name="_Toc374454585"/>
      <w:bookmarkStart w:id="725" w:name="_Toc366072513"/>
      <w:bookmarkStart w:id="726" w:name="_Toc333237773"/>
      <w:bookmarkStart w:id="727" w:name="_Toc339362285"/>
      <w:bookmarkStart w:id="728" w:name="_Toc340672854"/>
      <w:bookmarkStart w:id="729" w:name="_Toc341348323"/>
      <w:bookmarkStart w:id="730" w:name="_Toc503785414"/>
      <w:bookmarkStart w:id="731" w:name="_Toc339019874"/>
      <w:bookmarkStart w:id="732" w:name="_Toc350756435"/>
      <w:bookmarkStart w:id="733" w:name="_Toc330459970"/>
      <w:bookmarkStart w:id="734" w:name="_Toc333935672"/>
      <w:bookmarkStart w:id="735" w:name="_Toc349127611"/>
      <w:bookmarkStart w:id="736" w:name="_Toc339020000"/>
      <w:bookmarkStart w:id="737" w:name="_Toc333237662"/>
      <w:bookmarkStart w:id="738" w:name="_Toc331684023"/>
      <w:bookmarkStart w:id="739" w:name="_Toc337632343"/>
      <w:bookmarkStart w:id="740" w:name="_Toc350438734"/>
      <w:bookmarkStart w:id="741" w:name="_Toc339441072"/>
      <w:bookmarkStart w:id="742" w:name="_Toc349143574"/>
      <w:bookmarkStart w:id="743" w:name="_Toc365967058"/>
      <w:bookmarkStart w:id="744" w:name="_Toc340507427"/>
      <w:bookmarkStart w:id="745" w:name="_Toc333238618"/>
      <w:r>
        <w:rPr>
          <w:rFonts w:hint="eastAsia"/>
          <w:color w:val="000000" w:themeColor="text1"/>
          <w:highlight w:val="none"/>
          <w14:textFill>
            <w14:solidFill>
              <w14:schemeClr w14:val="tx1"/>
            </w14:solidFill>
          </w14:textFill>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14.3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投标保证金用于保护本次招标免遭因投标人的行为而蒙受的损失。</w:t>
      </w:r>
      <w:r>
        <w:rPr>
          <w:rFonts w:hint="eastAsia" w:ascii="宋体" w:hAnsi="宋体"/>
          <w:color w:val="000000" w:themeColor="text1"/>
          <w:highlight w:val="none"/>
          <w14:textFill>
            <w14:solidFill>
              <w14:schemeClr w14:val="tx1"/>
            </w14:solidFill>
          </w14:textFill>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凡未按本须知第14.2条规定随附有效投标保证金的投标</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未中标的投标人的投标保证金，采购</w:t>
      </w:r>
      <w:r>
        <w:rPr>
          <w:rFonts w:hint="eastAsia" w:ascii="宋体" w:hAnsi="宋体"/>
          <w:bCs/>
          <w:color w:val="000000" w:themeColor="text1"/>
          <w:szCs w:val="21"/>
          <w:highlight w:val="none"/>
          <w14:textFill>
            <w14:solidFill>
              <w14:schemeClr w14:val="tx1"/>
            </w14:solidFill>
          </w14:textFill>
        </w:rPr>
        <w:t>代理</w:t>
      </w:r>
      <w:r>
        <w:rPr>
          <w:rFonts w:hint="eastAsia" w:ascii="宋体" w:hAnsi="宋体"/>
          <w:bCs/>
          <w:color w:val="000000" w:themeColor="text1"/>
          <w:highlight w:val="none"/>
          <w14:textFill>
            <w14:solidFill>
              <w14:schemeClr w14:val="tx1"/>
            </w14:solidFill>
          </w14:textFill>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中标投标人的投标保证金</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在中标投标人付清中标服务费、签订合同之日起5个工作日内无息退</w:t>
      </w:r>
      <w:r>
        <w:rPr>
          <w:rFonts w:hint="eastAsia" w:ascii="宋体"/>
          <w:bCs/>
          <w:color w:val="000000" w:themeColor="text1"/>
          <w:highlight w:val="none"/>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（4）投标人提供虚假投标文件或虚假补充文件的。</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46" w:name="_Toc339441073"/>
      <w:bookmarkStart w:id="747" w:name="_Toc497224213"/>
      <w:bookmarkStart w:id="748" w:name="_Toc333237663"/>
      <w:bookmarkStart w:id="749" w:name="_Toc366072514"/>
      <w:bookmarkStart w:id="750" w:name="_Toc340672855"/>
      <w:bookmarkStart w:id="751" w:name="_Toc340507428"/>
      <w:bookmarkStart w:id="752" w:name="_Toc339019875"/>
      <w:bookmarkStart w:id="753" w:name="_Toc333935332"/>
      <w:bookmarkStart w:id="754" w:name="_Toc342060360"/>
      <w:bookmarkStart w:id="755" w:name="_Toc503785415"/>
      <w:bookmarkStart w:id="756" w:name="_Toc336681921"/>
      <w:bookmarkStart w:id="757" w:name="_Toc349127612"/>
      <w:bookmarkStart w:id="758" w:name="_Toc332206694"/>
      <w:bookmarkStart w:id="759" w:name="_Toc333935673"/>
      <w:bookmarkStart w:id="760" w:name="_Toc374454586"/>
      <w:bookmarkStart w:id="761" w:name="_Toc365967059"/>
      <w:bookmarkStart w:id="762" w:name="_Toc349143575"/>
      <w:bookmarkStart w:id="763" w:name="_Toc340677056"/>
      <w:bookmarkStart w:id="764" w:name="_Toc345513853"/>
      <w:bookmarkStart w:id="765" w:name="_Toc365985165"/>
      <w:bookmarkStart w:id="766" w:name="_Toc350756436"/>
      <w:bookmarkStart w:id="767" w:name="_Toc333237774"/>
      <w:bookmarkStart w:id="768" w:name="_Toc342296746"/>
      <w:bookmarkStart w:id="769" w:name="_Toc339020081"/>
      <w:bookmarkStart w:id="770" w:name="_Toc330459971"/>
      <w:bookmarkStart w:id="771" w:name="_Toc333238619"/>
      <w:bookmarkStart w:id="772" w:name="_Toc350438735"/>
      <w:bookmarkStart w:id="773" w:name="_Toc337632344"/>
      <w:bookmarkStart w:id="774" w:name="_Toc341348324"/>
      <w:bookmarkStart w:id="775" w:name="_Toc332270332"/>
      <w:bookmarkStart w:id="776" w:name="_Toc339020219"/>
      <w:bookmarkStart w:id="777" w:name="_Toc331684024"/>
      <w:bookmarkStart w:id="778" w:name="_Toc336681566"/>
      <w:bookmarkStart w:id="779" w:name="_Toc331512884"/>
      <w:bookmarkStart w:id="780" w:name="_Toc339020001"/>
      <w:bookmarkStart w:id="781" w:name="_Toc29374"/>
      <w:bookmarkStart w:id="782" w:name="_Toc339362286"/>
      <w:r>
        <w:rPr>
          <w:rFonts w:hint="eastAsia"/>
          <w:color w:val="000000" w:themeColor="text1"/>
          <w:highlight w:val="none"/>
          <w14:textFill>
            <w14:solidFill>
              <w14:schemeClr w14:val="tx1"/>
            </w14:solidFill>
          </w14:textFill>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83" w:name="_Toc339441074"/>
      <w:bookmarkStart w:id="784" w:name="_Toc336681922"/>
      <w:bookmarkStart w:id="785" w:name="_Toc336681567"/>
      <w:bookmarkStart w:id="786" w:name="_Toc349127613"/>
      <w:bookmarkStart w:id="787" w:name="_Toc503785416"/>
      <w:bookmarkStart w:id="788" w:name="_Toc340672856"/>
      <w:bookmarkStart w:id="789" w:name="_Toc331684025"/>
      <w:bookmarkStart w:id="790" w:name="_Toc332206695"/>
      <w:bookmarkStart w:id="791" w:name="_Toc365967060"/>
      <w:bookmarkStart w:id="792" w:name="_Toc345513854"/>
      <w:bookmarkStart w:id="793" w:name="_Toc342060361"/>
      <w:bookmarkStart w:id="794" w:name="_Toc339020082"/>
      <w:bookmarkStart w:id="795" w:name="_Toc332270333"/>
      <w:bookmarkStart w:id="796" w:name="_Toc350756437"/>
      <w:bookmarkStart w:id="797" w:name="_Toc339020220"/>
      <w:bookmarkStart w:id="798" w:name="_Toc339362287"/>
      <w:bookmarkStart w:id="799" w:name="_Toc333237664"/>
      <w:bookmarkStart w:id="800" w:name="_Toc341348325"/>
      <w:bookmarkStart w:id="801" w:name="_Toc333935674"/>
      <w:bookmarkStart w:id="802" w:name="_Toc333935333"/>
      <w:bookmarkStart w:id="803" w:name="_Toc374454587"/>
      <w:bookmarkStart w:id="804" w:name="_Toc365985166"/>
      <w:bookmarkStart w:id="805" w:name="_Toc339019876"/>
      <w:bookmarkStart w:id="806" w:name="_Toc337632345"/>
      <w:bookmarkStart w:id="807" w:name="_Toc333238620"/>
      <w:bookmarkStart w:id="808" w:name="_Toc340507429"/>
      <w:bookmarkStart w:id="809" w:name="_Toc349143576"/>
      <w:bookmarkStart w:id="810" w:name="_Toc331512885"/>
      <w:bookmarkStart w:id="811" w:name="_Toc330459972"/>
      <w:bookmarkStart w:id="812" w:name="_Toc111534389"/>
      <w:bookmarkStart w:id="813" w:name="_Toc342296747"/>
      <w:bookmarkStart w:id="814" w:name="_Toc2173"/>
      <w:bookmarkStart w:id="815" w:name="_Toc340677057"/>
      <w:bookmarkStart w:id="816" w:name="_Toc366072515"/>
      <w:bookmarkStart w:id="817" w:name="_Toc333237775"/>
      <w:bookmarkStart w:id="818" w:name="_Toc497224214"/>
      <w:bookmarkStart w:id="819" w:name="_Toc350438736"/>
      <w:bookmarkStart w:id="820" w:name="_Toc339020002"/>
      <w:r>
        <w:rPr>
          <w:rFonts w:hint="eastAsia"/>
          <w:color w:val="000000" w:themeColor="text1"/>
          <w:highlight w:val="none"/>
          <w14:textFill>
            <w14:solidFill>
              <w14:schemeClr w14:val="tx1"/>
            </w14:solidFill>
          </w14:textFill>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14:textFill>
            <w14:solidFill>
              <w14:schemeClr w14:val="tx1"/>
            </w14:solidFill>
          </w14:textFill>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highlight w:val="none"/>
          <w14:textFill>
            <w14:solidFill>
              <w14:schemeClr w14:val="tx1"/>
            </w14:solidFill>
          </w14:textFill>
        </w:rPr>
      </w:pPr>
      <w:bookmarkStart w:id="821" w:name="_Toc336681568"/>
      <w:bookmarkStart w:id="822" w:name="_Toc497224215"/>
      <w:bookmarkStart w:id="823" w:name="_Toc333935334"/>
      <w:bookmarkStart w:id="824" w:name="_Toc365967061"/>
      <w:bookmarkStart w:id="825" w:name="_Toc333237665"/>
      <w:bookmarkStart w:id="826" w:name="_Toc111534390"/>
      <w:bookmarkStart w:id="827" w:name="_Toc339020083"/>
      <w:bookmarkStart w:id="828" w:name="_Toc332206696"/>
      <w:bookmarkStart w:id="829" w:name="_Toc350438737"/>
      <w:bookmarkStart w:id="830" w:name="_Toc339020003"/>
      <w:bookmarkStart w:id="831" w:name="_Toc331684026"/>
      <w:bookmarkStart w:id="832" w:name="_Toc337632346"/>
      <w:bookmarkStart w:id="833" w:name="_Toc333237776"/>
      <w:bookmarkStart w:id="834" w:name="_Toc342296748"/>
      <w:bookmarkStart w:id="835" w:name="_Toc339362288"/>
      <w:bookmarkStart w:id="836" w:name="_Toc339019877"/>
      <w:bookmarkStart w:id="837" w:name="_Toc333238621"/>
      <w:bookmarkStart w:id="838" w:name="_Toc333935675"/>
      <w:bookmarkStart w:id="839" w:name="_Toc503785417"/>
      <w:bookmarkStart w:id="840" w:name="_Toc374454588"/>
      <w:bookmarkStart w:id="841" w:name="_Toc341348326"/>
      <w:bookmarkStart w:id="842" w:name="_Toc365985167"/>
      <w:bookmarkStart w:id="843" w:name="_Toc349143577"/>
      <w:bookmarkStart w:id="844" w:name="_Toc342060362"/>
      <w:bookmarkStart w:id="845" w:name="_Toc340672857"/>
      <w:bookmarkStart w:id="846" w:name="_Toc330459973"/>
      <w:bookmarkStart w:id="847" w:name="_Toc332270334"/>
      <w:bookmarkStart w:id="848" w:name="_Toc350756438"/>
      <w:bookmarkStart w:id="849" w:name="_Toc340677058"/>
      <w:bookmarkStart w:id="850" w:name="_Toc349127614"/>
      <w:bookmarkStart w:id="851" w:name="_Toc331512886"/>
      <w:bookmarkStart w:id="852" w:name="_Toc339441075"/>
      <w:bookmarkStart w:id="853" w:name="_Toc366072516"/>
      <w:bookmarkStart w:id="854" w:name="_Toc339020221"/>
      <w:bookmarkStart w:id="855" w:name="_Toc336681923"/>
      <w:bookmarkStart w:id="856" w:name="_Toc345513855"/>
      <w:bookmarkStart w:id="857" w:name="_Toc340507430"/>
      <w:r>
        <w:rPr>
          <w:color w:val="000000" w:themeColor="text1"/>
          <w:sz w:val="24"/>
          <w:highlight w:val="none"/>
          <w14:textFill>
            <w14:solidFill>
              <w14:schemeClr w14:val="tx1"/>
            </w14:solidFill>
          </w14:textFill>
        </w:rPr>
        <w:br w:type="page"/>
      </w:r>
      <w:bookmarkStart w:id="858" w:name="_Toc19833"/>
      <w:r>
        <w:rPr>
          <w:rFonts w:hint="eastAsia"/>
          <w:color w:val="000000" w:themeColor="text1"/>
          <w:sz w:val="24"/>
          <w:highlight w:val="none"/>
          <w14:textFill>
            <w14:solidFill>
              <w14:schemeClr w14:val="tx1"/>
            </w14:solidFill>
          </w14:textFill>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6"/>
        <w:numPr>
          <w:ilvl w:val="4"/>
          <w:numId w:val="25"/>
        </w:numPr>
        <w:tabs>
          <w:tab w:val="left" w:pos="251"/>
          <w:tab w:val="left" w:pos="720"/>
        </w:tabs>
        <w:spacing w:before="240" w:after="120"/>
        <w:ind w:left="751" w:leftChars="1" w:hangingChars="357"/>
        <w:rPr>
          <w:rFonts w:ascii="宋体" w:hAnsi="宋体"/>
          <w:color w:val="000000" w:themeColor="text1"/>
          <w:highlight w:val="none"/>
          <w14:textFill>
            <w14:solidFill>
              <w14:schemeClr w14:val="tx1"/>
            </w14:solidFill>
          </w14:textFill>
        </w:rPr>
      </w:pPr>
      <w:bookmarkStart w:id="859" w:name="_Toc340672858"/>
      <w:bookmarkStart w:id="860" w:name="_Toc365967062"/>
      <w:bookmarkStart w:id="861" w:name="_Toc339019878"/>
      <w:bookmarkStart w:id="862" w:name="_Toc340677059"/>
      <w:bookmarkStart w:id="863" w:name="_Toc497224216"/>
      <w:bookmarkStart w:id="864" w:name="_Toc337632347"/>
      <w:bookmarkStart w:id="865" w:name="_Toc366072517"/>
      <w:bookmarkStart w:id="866" w:name="_Toc342296749"/>
      <w:bookmarkStart w:id="867" w:name="_Toc341348327"/>
      <w:bookmarkStart w:id="868" w:name="_Toc333238622"/>
      <w:bookmarkStart w:id="869" w:name="_Toc332270335"/>
      <w:bookmarkStart w:id="870" w:name="_Toc339020004"/>
      <w:bookmarkStart w:id="871" w:name="_Toc365985168"/>
      <w:bookmarkStart w:id="872" w:name="_Toc333237777"/>
      <w:bookmarkStart w:id="873" w:name="_Toc340507431"/>
      <w:bookmarkStart w:id="874" w:name="_Toc345513856"/>
      <w:bookmarkStart w:id="875" w:name="_Toc333935676"/>
      <w:bookmarkStart w:id="876" w:name="_Toc333237666"/>
      <w:bookmarkStart w:id="877" w:name="_Toc342060363"/>
      <w:bookmarkStart w:id="878" w:name="_Toc503785418"/>
      <w:bookmarkStart w:id="879" w:name="_Toc330459974"/>
      <w:bookmarkStart w:id="880" w:name="_Toc374454589"/>
      <w:bookmarkStart w:id="881" w:name="_Toc339020222"/>
      <w:bookmarkStart w:id="882" w:name="_Toc339020084"/>
      <w:bookmarkStart w:id="883" w:name="_Toc333935335"/>
      <w:bookmarkStart w:id="884" w:name="_Toc349143578"/>
      <w:bookmarkStart w:id="885" w:name="_Toc331512887"/>
      <w:bookmarkStart w:id="886" w:name="_Toc331684027"/>
      <w:bookmarkStart w:id="887" w:name="_Toc339362289"/>
      <w:bookmarkStart w:id="888" w:name="_Toc336681569"/>
      <w:bookmarkStart w:id="889" w:name="_Toc332206697"/>
      <w:bookmarkStart w:id="890" w:name="_Toc336681924"/>
      <w:bookmarkStart w:id="891" w:name="_Toc339441076"/>
      <w:bookmarkStart w:id="892" w:name="_Toc350756439"/>
      <w:bookmarkStart w:id="893" w:name="_Toc349127615"/>
      <w:bookmarkStart w:id="894" w:name="_Toc111534391"/>
      <w:bookmarkStart w:id="895" w:name="_Toc350438738"/>
      <w:r>
        <w:rPr>
          <w:rFonts w:hint="eastAsia"/>
          <w:color w:val="000000" w:themeColor="text1"/>
          <w:highlight w:val="none"/>
          <w14:textFill>
            <w14:solidFill>
              <w14:schemeClr w14:val="tx1"/>
            </w14:solidFill>
          </w14:textFill>
        </w:rPr>
        <w:t xml:space="preserve">     </w:t>
      </w:r>
      <w:bookmarkStart w:id="896" w:name="_Toc28108"/>
      <w:r>
        <w:rPr>
          <w:rFonts w:hint="eastAsia"/>
          <w:color w:val="000000" w:themeColor="text1"/>
          <w:highlight w:val="none"/>
          <w14:textFill>
            <w14:solidFill>
              <w14:schemeClr w14:val="tx1"/>
            </w14:solidFill>
          </w14:textFill>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w:t>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897" w:name="_Toc374454590"/>
      <w:bookmarkStart w:id="898" w:name="_Toc340672859"/>
      <w:bookmarkStart w:id="899" w:name="_Toc341348328"/>
      <w:bookmarkStart w:id="900" w:name="_Toc337632348"/>
      <w:bookmarkStart w:id="901" w:name="_Toc339019879"/>
      <w:bookmarkStart w:id="902" w:name="_Toc349143579"/>
      <w:bookmarkStart w:id="903" w:name="_Toc333935336"/>
      <w:bookmarkStart w:id="904" w:name="_Toc503785419"/>
      <w:bookmarkStart w:id="905" w:name="_Toc342060364"/>
      <w:bookmarkStart w:id="906" w:name="_Toc365985169"/>
      <w:bookmarkStart w:id="907" w:name="_Toc350756440"/>
      <w:bookmarkStart w:id="908" w:name="_Toc331512888"/>
      <w:bookmarkStart w:id="909" w:name="_Toc111534392"/>
      <w:bookmarkStart w:id="910" w:name="_Toc342296750"/>
      <w:bookmarkStart w:id="911" w:name="_Toc336681570"/>
      <w:bookmarkStart w:id="912" w:name="_Toc333935677"/>
      <w:bookmarkStart w:id="913" w:name="_Toc350438739"/>
      <w:bookmarkStart w:id="914" w:name="_Toc366072518"/>
      <w:bookmarkStart w:id="915" w:name="_Toc31018"/>
      <w:bookmarkStart w:id="916" w:name="_Toc330459975"/>
      <w:bookmarkStart w:id="917" w:name="_Toc497224217"/>
      <w:bookmarkStart w:id="918" w:name="_Toc339020085"/>
      <w:bookmarkStart w:id="919" w:name="_Toc340507432"/>
      <w:bookmarkStart w:id="920" w:name="_Toc349127616"/>
      <w:bookmarkStart w:id="921" w:name="_Toc339362290"/>
      <w:bookmarkStart w:id="922" w:name="_Toc339020005"/>
      <w:bookmarkStart w:id="923" w:name="_Toc336681925"/>
      <w:bookmarkStart w:id="924" w:name="_Toc331684028"/>
      <w:bookmarkStart w:id="925" w:name="_Toc333237667"/>
      <w:bookmarkStart w:id="926" w:name="_Toc340677060"/>
      <w:bookmarkStart w:id="927" w:name="_Toc332206698"/>
      <w:bookmarkStart w:id="928" w:name="_Toc345513857"/>
      <w:bookmarkStart w:id="929" w:name="_Toc339020223"/>
      <w:bookmarkStart w:id="930" w:name="_Toc339441077"/>
      <w:bookmarkStart w:id="931" w:name="_Toc333238623"/>
      <w:bookmarkStart w:id="932" w:name="_Toc333237778"/>
      <w:bookmarkStart w:id="933" w:name="_Toc365967063"/>
      <w:bookmarkStart w:id="934" w:name="_Toc332270336"/>
      <w:r>
        <w:rPr>
          <w:rFonts w:hint="eastAsia"/>
          <w:color w:val="000000" w:themeColor="text1"/>
          <w:highlight w:val="none"/>
          <w14:textFill>
            <w14:solidFill>
              <w14:schemeClr w14:val="tx1"/>
            </w14:solidFill>
          </w14:textFill>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bookmarkStart w:id="935" w:name="_Toc333935337"/>
      <w:bookmarkStart w:id="936" w:name="_Toc340672860"/>
      <w:bookmarkStart w:id="937" w:name="_Toc333237779"/>
      <w:bookmarkStart w:id="938" w:name="_Toc503785420"/>
      <w:bookmarkStart w:id="939" w:name="_Toc331512889"/>
      <w:bookmarkStart w:id="940" w:name="_Toc336681926"/>
      <w:bookmarkStart w:id="941" w:name="_Toc339019880"/>
      <w:bookmarkStart w:id="942" w:name="_Toc339362291"/>
      <w:bookmarkStart w:id="943" w:name="_Toc374454591"/>
      <w:bookmarkStart w:id="944" w:name="_Toc333935678"/>
      <w:bookmarkStart w:id="945" w:name="_Toc330459976"/>
      <w:bookmarkStart w:id="946" w:name="_Toc339441078"/>
      <w:bookmarkStart w:id="947" w:name="_Toc333237668"/>
      <w:bookmarkStart w:id="948" w:name="_Toc331684029"/>
      <w:bookmarkStart w:id="949" w:name="_Toc340677061"/>
      <w:bookmarkStart w:id="950" w:name="_Toc345513858"/>
      <w:bookmarkStart w:id="951" w:name="_Toc341348329"/>
      <w:bookmarkStart w:id="952" w:name="_Toc350756441"/>
      <w:bookmarkStart w:id="953" w:name="_Toc349127617"/>
      <w:bookmarkStart w:id="954" w:name="_Toc339020086"/>
      <w:bookmarkStart w:id="955" w:name="_Toc365985170"/>
      <w:bookmarkStart w:id="956" w:name="_Toc339020224"/>
      <w:bookmarkStart w:id="957" w:name="_Toc349143580"/>
      <w:bookmarkStart w:id="958" w:name="_Toc336681571"/>
      <w:bookmarkStart w:id="959" w:name="_Toc333238624"/>
      <w:bookmarkStart w:id="960" w:name="_Toc497224218"/>
      <w:bookmarkStart w:id="961" w:name="_Toc365967064"/>
      <w:bookmarkStart w:id="962" w:name="_Toc366072519"/>
      <w:bookmarkStart w:id="963" w:name="_Toc337632349"/>
      <w:bookmarkStart w:id="964" w:name="_Toc340507433"/>
      <w:bookmarkStart w:id="965" w:name="_Toc332270337"/>
      <w:bookmarkStart w:id="966" w:name="_Toc342296751"/>
      <w:bookmarkStart w:id="967" w:name="_Toc342060365"/>
      <w:bookmarkStart w:id="968" w:name="_Toc332206699"/>
      <w:bookmarkStart w:id="969" w:name="_Toc339020006"/>
      <w:bookmarkStart w:id="970" w:name="_Toc350438740"/>
      <w:r>
        <w:rPr>
          <w:rFonts w:hint="eastAsia" w:ascii="宋体" w:hAnsi="宋体"/>
          <w:bCs/>
          <w:color w:val="000000" w:themeColor="text1"/>
          <w:highlight w:val="none"/>
          <w14:textFill>
            <w14:solidFill>
              <w14:schemeClr w14:val="tx1"/>
            </w14:solidFill>
          </w14:textFill>
        </w:rPr>
        <w:t>18.3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代理采购机构于投标截止时间前30分钟开始接收投标文件，并于招标文件“第一部分投标邀请函”规定的开标时间、开标地点公开开标。</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1" w:name="_Toc9087"/>
      <w:r>
        <w:rPr>
          <w:rFonts w:hint="eastAsia"/>
          <w:color w:val="000000" w:themeColor="text1"/>
          <w:highlight w:val="none"/>
          <w14:textFill>
            <w14:solidFill>
              <w14:schemeClr w14:val="tx1"/>
            </w14:solidFill>
          </w14:textFill>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代理采购机构将拒绝在投标截止时间后递交的任何投标文件。</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2" w:name="_Toc503785421"/>
      <w:bookmarkStart w:id="973" w:name="_Toc497224219"/>
      <w:bookmarkStart w:id="974" w:name="_Toc332206700"/>
      <w:bookmarkStart w:id="975" w:name="_Toc333238625"/>
      <w:bookmarkStart w:id="976" w:name="_Toc330459977"/>
      <w:bookmarkStart w:id="977" w:name="_Toc332270338"/>
      <w:bookmarkStart w:id="978" w:name="_Toc374454592"/>
      <w:bookmarkStart w:id="979" w:name="_Toc339020007"/>
      <w:bookmarkStart w:id="980" w:name="_Toc336681927"/>
      <w:bookmarkStart w:id="981" w:name="_Toc339020225"/>
      <w:bookmarkStart w:id="982" w:name="_Toc366072520"/>
      <w:bookmarkStart w:id="983" w:name="_Toc340672861"/>
      <w:bookmarkStart w:id="984" w:name="_Toc333935679"/>
      <w:bookmarkStart w:id="985" w:name="_Toc349127618"/>
      <w:bookmarkStart w:id="986" w:name="_Toc337632350"/>
      <w:bookmarkStart w:id="987" w:name="_Toc340507434"/>
      <w:bookmarkStart w:id="988" w:name="_Toc339441079"/>
      <w:bookmarkStart w:id="989" w:name="_Toc333237669"/>
      <w:bookmarkStart w:id="990" w:name="_Toc333237780"/>
      <w:bookmarkStart w:id="991" w:name="_Toc345513859"/>
      <w:bookmarkStart w:id="992" w:name="_Toc339020087"/>
      <w:bookmarkStart w:id="993" w:name="_Toc333935338"/>
      <w:bookmarkStart w:id="994" w:name="_Toc365985171"/>
      <w:bookmarkStart w:id="995" w:name="_Toc331684030"/>
      <w:bookmarkStart w:id="996" w:name="_Toc340677062"/>
      <w:bookmarkStart w:id="997" w:name="_Toc350438741"/>
      <w:bookmarkStart w:id="998" w:name="_Toc331512890"/>
      <w:bookmarkStart w:id="999" w:name="_Toc342296752"/>
      <w:bookmarkStart w:id="1000" w:name="_Toc341348330"/>
      <w:bookmarkStart w:id="1001" w:name="_Toc19171"/>
      <w:bookmarkStart w:id="1002" w:name="_Toc339362292"/>
      <w:bookmarkStart w:id="1003" w:name="_Toc349143581"/>
      <w:bookmarkStart w:id="1004" w:name="_Toc350756442"/>
      <w:bookmarkStart w:id="1005" w:name="_Toc339019881"/>
      <w:bookmarkStart w:id="1006" w:name="_Toc336681572"/>
      <w:bookmarkStart w:id="1007" w:name="_Toc365967065"/>
      <w:bookmarkStart w:id="1008" w:name="_Toc342060366"/>
      <w:r>
        <w:rPr>
          <w:rFonts w:hint="eastAsia"/>
          <w:color w:val="000000" w:themeColor="text1"/>
          <w:highlight w:val="none"/>
          <w14:textFill>
            <w14:solidFill>
              <w14:schemeClr w14:val="tx1"/>
            </w14:solidFill>
          </w14:textFill>
        </w:rPr>
        <w:t>投标文件的修改和撤</w:t>
      </w:r>
      <w:bookmarkEnd w:id="972"/>
      <w:bookmarkEnd w:id="973"/>
      <w:r>
        <w:rPr>
          <w:rFonts w:hint="eastAsia"/>
          <w:color w:val="000000" w:themeColor="text1"/>
          <w:highlight w:val="none"/>
          <w14:textFill>
            <w14:solidFill>
              <w14:schemeClr w14:val="tx1"/>
            </w14:solidFill>
          </w14:textFill>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投标人在</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截止时间前，可以修改或撤回其投标文件。但必须在规定的</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从投标截止时间至投标文件有效期期满之前，投标人不得撤回其投标文件，否则代理采购机构将按规定不予退还投标保证金。</w:t>
      </w:r>
    </w:p>
    <w:p>
      <w:pPr>
        <w:pStyle w:val="4"/>
        <w:numPr>
          <w:ilvl w:val="0"/>
          <w:numId w:val="0"/>
        </w:numPr>
        <w:rPr>
          <w:color w:val="000000" w:themeColor="text1"/>
          <w:sz w:val="24"/>
          <w:highlight w:val="none"/>
          <w14:textFill>
            <w14:solidFill>
              <w14:schemeClr w14:val="tx1"/>
            </w14:solidFill>
          </w14:textFill>
        </w:rPr>
      </w:pPr>
      <w:bookmarkStart w:id="1009" w:name="_Toc340677063"/>
      <w:bookmarkStart w:id="1010" w:name="_Toc332206701"/>
      <w:bookmarkStart w:id="1011" w:name="_Toc333935680"/>
      <w:bookmarkStart w:id="1012" w:name="_Toc331684031"/>
      <w:bookmarkStart w:id="1013" w:name="_Toc336681573"/>
      <w:bookmarkStart w:id="1014" w:name="_Toc333237670"/>
      <w:bookmarkStart w:id="1015" w:name="_Toc339020226"/>
      <w:bookmarkStart w:id="1016" w:name="_Toc339441080"/>
      <w:bookmarkStart w:id="1017" w:name="_Toc333238626"/>
      <w:bookmarkStart w:id="1018" w:name="_Toc349127619"/>
      <w:bookmarkStart w:id="1019" w:name="_Toc365985172"/>
      <w:bookmarkStart w:id="1020" w:name="_Toc350756443"/>
      <w:bookmarkStart w:id="1021" w:name="_Toc340672862"/>
      <w:bookmarkStart w:id="1022" w:name="_Toc345513860"/>
      <w:bookmarkStart w:id="1023" w:name="_Toc339362293"/>
      <w:bookmarkStart w:id="1024" w:name="_Toc332270339"/>
      <w:bookmarkStart w:id="1025" w:name="_Toc336681928"/>
      <w:bookmarkStart w:id="1026" w:name="_Toc374454593"/>
      <w:bookmarkStart w:id="1027" w:name="_Toc365967066"/>
      <w:bookmarkStart w:id="1028" w:name="_Toc366072521"/>
      <w:bookmarkStart w:id="1029" w:name="_Toc331512891"/>
      <w:bookmarkStart w:id="1030" w:name="_Toc333935339"/>
      <w:bookmarkStart w:id="1031" w:name="_Toc340507435"/>
      <w:bookmarkStart w:id="1032" w:name="_Toc503785422"/>
      <w:bookmarkStart w:id="1033" w:name="_Toc341348331"/>
      <w:bookmarkStart w:id="1034" w:name="_Toc339020008"/>
      <w:bookmarkStart w:id="1035" w:name="_Toc350438742"/>
      <w:bookmarkStart w:id="1036" w:name="_Toc339020088"/>
      <w:bookmarkStart w:id="1037" w:name="_Toc342060367"/>
      <w:bookmarkStart w:id="1038" w:name="_Toc337632351"/>
      <w:bookmarkStart w:id="1039" w:name="_Toc339019882"/>
      <w:bookmarkStart w:id="1040" w:name="_Toc497224220"/>
      <w:bookmarkStart w:id="1041" w:name="_Toc349143582"/>
      <w:bookmarkStart w:id="1042" w:name="_Toc330459978"/>
      <w:bookmarkStart w:id="1043" w:name="_Toc333237781"/>
      <w:bookmarkStart w:id="1044" w:name="_Toc342296753"/>
      <w:r>
        <w:rPr>
          <w:color w:val="000000" w:themeColor="text1"/>
          <w:sz w:val="24"/>
          <w:highlight w:val="none"/>
          <w14:textFill>
            <w14:solidFill>
              <w14:schemeClr w14:val="tx1"/>
            </w14:solidFill>
          </w14:textFill>
        </w:rPr>
        <w:br w:type="page"/>
      </w:r>
      <w:bookmarkStart w:id="1045" w:name="_Toc32384"/>
      <w:r>
        <w:rPr>
          <w:rFonts w:hint="eastAsia"/>
          <w:color w:val="000000" w:themeColor="text1"/>
          <w:sz w:val="24"/>
          <w:highlight w:val="none"/>
          <w14:textFill>
            <w14:solidFill>
              <w14:schemeClr w14:val="tx1"/>
            </w14:solidFill>
          </w14:textFill>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046" w:name="_Toc330459979"/>
      <w:bookmarkStart w:id="1047" w:name="_Toc340507436"/>
      <w:bookmarkStart w:id="1048" w:name="_Toc331512892"/>
      <w:bookmarkStart w:id="1049" w:name="_Toc339020009"/>
      <w:bookmarkStart w:id="1050" w:name="_Toc339019883"/>
      <w:bookmarkStart w:id="1051" w:name="_Toc333237782"/>
      <w:bookmarkStart w:id="1052" w:name="_Toc350756444"/>
      <w:bookmarkStart w:id="1053" w:name="_Toc342060368"/>
      <w:bookmarkStart w:id="1054" w:name="_Toc339020227"/>
      <w:bookmarkStart w:id="1055" w:name="_Toc20351"/>
      <w:bookmarkStart w:id="1056" w:name="_Toc341348332"/>
      <w:bookmarkStart w:id="1057" w:name="_Toc350438743"/>
      <w:bookmarkStart w:id="1058" w:name="_Toc345513861"/>
      <w:bookmarkStart w:id="1059" w:name="_Toc365967067"/>
      <w:bookmarkStart w:id="1060" w:name="_Toc342296754"/>
      <w:bookmarkStart w:id="1061" w:name="_Toc365985173"/>
      <w:bookmarkStart w:id="1062" w:name="_Toc503785423"/>
      <w:bookmarkStart w:id="1063" w:name="_Toc339441081"/>
      <w:bookmarkStart w:id="1064" w:name="_Toc336681929"/>
      <w:bookmarkStart w:id="1065" w:name="_Toc333935340"/>
      <w:bookmarkStart w:id="1066" w:name="_Toc340677064"/>
      <w:bookmarkStart w:id="1067" w:name="_Toc339362294"/>
      <w:bookmarkStart w:id="1068" w:name="_Toc349127620"/>
      <w:bookmarkStart w:id="1069" w:name="_Toc349143583"/>
      <w:bookmarkStart w:id="1070" w:name="_Toc333935681"/>
      <w:bookmarkStart w:id="1071" w:name="_Toc336681574"/>
      <w:bookmarkStart w:id="1072" w:name="_Toc497224221"/>
      <w:bookmarkStart w:id="1073" w:name="_Toc331684032"/>
      <w:bookmarkStart w:id="1074" w:name="_Toc340672863"/>
      <w:bookmarkStart w:id="1075" w:name="_Toc333238627"/>
      <w:bookmarkStart w:id="1076" w:name="_Toc333237671"/>
      <w:bookmarkStart w:id="1077" w:name="_Toc339020089"/>
      <w:bookmarkStart w:id="1078" w:name="_Toc374454594"/>
      <w:bookmarkStart w:id="1079" w:name="_Toc337632352"/>
      <w:bookmarkStart w:id="1080" w:name="_Toc332270340"/>
      <w:bookmarkStart w:id="1081" w:name="_Toc332206702"/>
      <w:bookmarkStart w:id="1082" w:name="_Toc366072522"/>
      <w:r>
        <w:rPr>
          <w:rFonts w:hint="eastAsia"/>
          <w:color w:val="000000" w:themeColor="text1"/>
          <w:highlight w:val="none"/>
          <w14:textFill>
            <w14:solidFill>
              <w14:schemeClr w14:val="tx1"/>
            </w14:solidFill>
          </w14:textFill>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21.4</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唱标结束后，代理采购机构将做唱标记录，并按规定在唱标记录上签字。</w:t>
      </w:r>
    </w:p>
    <w:p>
      <w:pPr>
        <w:pStyle w:val="6"/>
        <w:numPr>
          <w:ilvl w:val="4"/>
          <w:numId w:val="25"/>
        </w:numPr>
        <w:tabs>
          <w:tab w:val="left" w:pos="720"/>
        </w:tabs>
        <w:spacing w:before="240" w:after="120"/>
        <w:ind w:left="752" w:hanging="751" w:hangingChars="358"/>
        <w:rPr>
          <w:rFonts w:ascii="宋体" w:hAnsi="宋体"/>
          <w:color w:val="000000" w:themeColor="text1"/>
          <w:highlight w:val="none"/>
          <w14:textFill>
            <w14:solidFill>
              <w14:schemeClr w14:val="tx1"/>
            </w14:solidFill>
          </w14:textFill>
        </w:rPr>
      </w:pPr>
      <w:bookmarkStart w:id="1083" w:name="_Toc365967068"/>
      <w:bookmarkStart w:id="1084" w:name="_Toc336681575"/>
      <w:bookmarkStart w:id="1085" w:name="_Toc339020228"/>
      <w:bookmarkStart w:id="1086" w:name="_Toc503785424"/>
      <w:bookmarkStart w:id="1087" w:name="_Toc333238628"/>
      <w:bookmarkStart w:id="1088" w:name="_Toc374454595"/>
      <w:bookmarkStart w:id="1089" w:name="_Toc331512893"/>
      <w:bookmarkStart w:id="1090" w:name="_Toc339019884"/>
      <w:bookmarkStart w:id="1091" w:name="_Toc349127621"/>
      <w:bookmarkStart w:id="1092" w:name="_Toc331684033"/>
      <w:bookmarkStart w:id="1093" w:name="_Toc350756445"/>
      <w:bookmarkStart w:id="1094" w:name="_Toc330459980"/>
      <w:bookmarkStart w:id="1095" w:name="_Toc349143584"/>
      <w:bookmarkStart w:id="1096" w:name="_Toc336681930"/>
      <w:bookmarkStart w:id="1097" w:name="_Toc341348333"/>
      <w:bookmarkStart w:id="1098" w:name="_Toc340677065"/>
      <w:bookmarkStart w:id="1099" w:name="_Toc497224222"/>
      <w:bookmarkStart w:id="1100" w:name="_Toc340507437"/>
      <w:bookmarkStart w:id="1101" w:name="_Toc332270341"/>
      <w:bookmarkStart w:id="1102" w:name="_Toc342060369"/>
      <w:bookmarkStart w:id="1103" w:name="_Toc333935682"/>
      <w:bookmarkStart w:id="1104" w:name="_Toc333237783"/>
      <w:bookmarkStart w:id="1105" w:name="_Toc339020010"/>
      <w:bookmarkStart w:id="1106" w:name="_Toc7533"/>
      <w:bookmarkStart w:id="1107" w:name="_Toc340672864"/>
      <w:bookmarkStart w:id="1108" w:name="_Toc366072523"/>
      <w:bookmarkStart w:id="1109" w:name="_Toc333935341"/>
      <w:bookmarkStart w:id="1110" w:name="_Toc350438744"/>
      <w:bookmarkStart w:id="1111" w:name="_Toc339441082"/>
      <w:bookmarkStart w:id="1112" w:name="_Toc333237672"/>
      <w:bookmarkStart w:id="1113" w:name="_Toc345513862"/>
      <w:bookmarkStart w:id="1114" w:name="_Toc339362295"/>
      <w:bookmarkStart w:id="1115" w:name="_Toc365985174"/>
      <w:bookmarkStart w:id="1116" w:name="_Toc339020090"/>
      <w:bookmarkStart w:id="1117" w:name="_Toc337632353"/>
      <w:bookmarkStart w:id="1118" w:name="_Toc332206703"/>
      <w:bookmarkStart w:id="1119" w:name="_Toc342296755"/>
      <w:r>
        <w:rPr>
          <w:rFonts w:hint="eastAsia"/>
          <w:color w:val="000000" w:themeColor="text1"/>
          <w:highlight w:val="none"/>
          <w14:textFill>
            <w14:solidFill>
              <w14:schemeClr w14:val="tx1"/>
            </w14:solidFill>
          </w14:textFill>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5"/>
        <w:rPr>
          <w:color w:val="000000" w:themeColor="text1"/>
          <w:highlight w:val="none"/>
          <w14:textFill>
            <w14:solidFill>
              <w14:schemeClr w14:val="tx1"/>
            </w14:solidFill>
          </w14:textFill>
        </w:rPr>
      </w:pP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20" w:name="_Toc350756446"/>
      <w:bookmarkStart w:id="1121" w:name="_Toc339362296"/>
      <w:bookmarkStart w:id="1122" w:name="_Toc342296756"/>
      <w:bookmarkStart w:id="1123" w:name="_Toc349127622"/>
      <w:bookmarkStart w:id="1124" w:name="_Toc333935342"/>
      <w:bookmarkStart w:id="1125" w:name="_Toc365985175"/>
      <w:bookmarkStart w:id="1126" w:name="_Toc9100"/>
      <w:bookmarkStart w:id="1127" w:name="_Toc333935683"/>
      <w:bookmarkStart w:id="1128" w:name="_Toc342060370"/>
      <w:bookmarkStart w:id="1129" w:name="_Toc339441083"/>
      <w:bookmarkStart w:id="1130" w:name="_Toc332270342"/>
      <w:bookmarkStart w:id="1131" w:name="_Toc365967069"/>
      <w:bookmarkStart w:id="1132" w:name="_Toc340677066"/>
      <w:bookmarkStart w:id="1133" w:name="_Toc330459981"/>
      <w:bookmarkStart w:id="1134" w:name="_Toc331684034"/>
      <w:bookmarkStart w:id="1135" w:name="_Toc366072524"/>
      <w:bookmarkStart w:id="1136" w:name="_Toc497224223"/>
      <w:bookmarkStart w:id="1137" w:name="_Toc336681576"/>
      <w:bookmarkStart w:id="1138" w:name="_Toc340672865"/>
      <w:bookmarkStart w:id="1139" w:name="_Toc339020229"/>
      <w:bookmarkStart w:id="1140" w:name="_Toc341348334"/>
      <w:bookmarkStart w:id="1141" w:name="_Toc349143585"/>
      <w:bookmarkStart w:id="1142" w:name="_Toc339020011"/>
      <w:bookmarkStart w:id="1143" w:name="_Toc333237784"/>
      <w:bookmarkStart w:id="1144" w:name="_Toc331512894"/>
      <w:bookmarkStart w:id="1145" w:name="_Toc340507438"/>
      <w:bookmarkStart w:id="1146" w:name="_Toc503785425"/>
      <w:bookmarkStart w:id="1147" w:name="_Toc374454596"/>
      <w:bookmarkStart w:id="1148" w:name="_Toc333238629"/>
      <w:bookmarkStart w:id="1149" w:name="_Toc333237673"/>
      <w:bookmarkStart w:id="1150" w:name="_Toc345513863"/>
      <w:bookmarkStart w:id="1151" w:name="_Toc339019885"/>
      <w:bookmarkStart w:id="1152" w:name="_Toc350438745"/>
      <w:bookmarkStart w:id="1153" w:name="_Toc337632354"/>
      <w:bookmarkStart w:id="1154" w:name="_Toc339020091"/>
      <w:bookmarkStart w:id="1155" w:name="_Toc336681931"/>
      <w:bookmarkStart w:id="1156" w:name="_Toc332206704"/>
      <w:r>
        <w:rPr>
          <w:rFonts w:hint="eastAsia"/>
          <w:color w:val="000000" w:themeColor="text1"/>
          <w:highlight w:val="none"/>
          <w14:textFill>
            <w14:solidFill>
              <w14:schemeClr w14:val="tx1"/>
            </w14:solidFill>
          </w14:textFill>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 xml:space="preserve">23.2   </w:t>
      </w:r>
      <w:r>
        <w:rPr>
          <w:rFonts w:hint="eastAsia" w:ascii="宋体" w:hAnsi="宋体"/>
          <w:color w:val="000000" w:themeColor="text1"/>
          <w:highlight w:val="none"/>
          <w14:textFill>
            <w14:solidFill>
              <w14:schemeClr w14:val="tx1"/>
            </w14:solidFill>
          </w14:textFill>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14:textFill>
            <w14:solidFill>
              <w14:schemeClr w14:val="tx1"/>
            </w14:solidFill>
          </w14:textFill>
        </w:rPr>
        <w:t>是</w:t>
      </w:r>
      <w:r>
        <w:rPr>
          <w:rFonts w:hint="eastAsia" w:ascii="宋体"/>
          <w:bCs/>
          <w:color w:val="000000" w:themeColor="text1"/>
          <w:highlight w:val="none"/>
          <w14:textFill>
            <w14:solidFill>
              <w14:schemeClr w14:val="tx1"/>
            </w14:solidFill>
          </w14:textFill>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 xml:space="preserve">5 </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投标函</w:t>
      </w:r>
      <w:r>
        <w:rPr>
          <w:rFonts w:ascii="宋体" w:hAnsi="宋体"/>
          <w:bCs/>
          <w:color w:val="000000" w:themeColor="text1"/>
          <w:highlight w:val="none"/>
          <w14:textFill>
            <w14:solidFill>
              <w14:schemeClr w14:val="tx1"/>
            </w14:solidFill>
          </w14:textFill>
        </w:rPr>
        <w:t>未加盖</w:t>
      </w:r>
      <w:r>
        <w:rPr>
          <w:rFonts w:hint="eastAsia" w:ascii="宋体" w:hAnsi="宋体"/>
          <w:bCs/>
          <w:color w:val="000000" w:themeColor="text1"/>
          <w:highlight w:val="none"/>
          <w14:textFill>
            <w14:solidFill>
              <w14:schemeClr w14:val="tx1"/>
            </w14:solidFill>
          </w14:textFill>
        </w:rPr>
        <w:t>投标人</w:t>
      </w:r>
      <w:r>
        <w:rPr>
          <w:rFonts w:ascii="宋体" w:hAnsi="宋体"/>
          <w:bCs/>
          <w:color w:val="000000" w:themeColor="text1"/>
          <w:highlight w:val="none"/>
          <w14:textFill>
            <w14:solidFill>
              <w14:schemeClr w14:val="tx1"/>
            </w14:solidFill>
          </w14:textFill>
        </w:rPr>
        <w:t>公章</w:t>
      </w:r>
      <w:r>
        <w:rPr>
          <w:rFonts w:hint="eastAsia" w:ascii="宋体" w:hAnsi="宋体"/>
          <w:bCs/>
          <w:color w:val="000000" w:themeColor="text1"/>
          <w:highlight w:val="none"/>
          <w14:textFill>
            <w14:solidFill>
              <w14:schemeClr w14:val="tx1"/>
            </w14:solidFill>
          </w14:textFill>
        </w:rPr>
        <w:t>或</w:t>
      </w:r>
      <w:r>
        <w:rPr>
          <w:rFonts w:ascii="宋体" w:hAnsi="宋体"/>
          <w:bCs/>
          <w:color w:val="000000" w:themeColor="text1"/>
          <w:highlight w:val="none"/>
          <w14:textFill>
            <w14:solidFill>
              <w14:schemeClr w14:val="tx1"/>
            </w14:solidFill>
          </w14:textFill>
        </w:rPr>
        <w:t>未有</w:t>
      </w:r>
      <w:r>
        <w:rPr>
          <w:rFonts w:hint="eastAsia" w:ascii="宋体" w:hAnsi="宋体"/>
          <w:bCs/>
          <w:color w:val="000000" w:themeColor="text1"/>
          <w:highlight w:val="none"/>
          <w14:textFill>
            <w14:solidFill>
              <w14:schemeClr w14:val="tx1"/>
            </w14:solidFill>
          </w14:textFill>
        </w:rPr>
        <w:t>法定代表人（负责人）</w:t>
      </w:r>
      <w:r>
        <w:rPr>
          <w:rFonts w:ascii="宋体" w:hAnsi="宋体"/>
          <w:bCs/>
          <w:color w:val="000000" w:themeColor="text1"/>
          <w:highlight w:val="none"/>
          <w14:textFill>
            <w14:solidFill>
              <w14:schemeClr w14:val="tx1"/>
            </w14:solidFill>
          </w14:textFill>
        </w:rPr>
        <w:t>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法律、法规规定的其他废标条款。</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57" w:name="_Toc336681932"/>
      <w:bookmarkStart w:id="1158" w:name="_Toc339019886"/>
      <w:bookmarkStart w:id="1159" w:name="_Toc333935343"/>
      <w:bookmarkStart w:id="1160" w:name="_Toc349127623"/>
      <w:bookmarkStart w:id="1161" w:name="_Toc333238630"/>
      <w:bookmarkStart w:id="1162" w:name="_Toc365967070"/>
      <w:bookmarkStart w:id="1163" w:name="_Toc26980"/>
      <w:bookmarkStart w:id="1164" w:name="_Toc339441084"/>
      <w:bookmarkStart w:id="1165" w:name="_Toc336681577"/>
      <w:bookmarkStart w:id="1166" w:name="_Toc340677067"/>
      <w:bookmarkStart w:id="1167" w:name="_Toc332270343"/>
      <w:bookmarkStart w:id="1168" w:name="_Toc333237674"/>
      <w:bookmarkStart w:id="1169" w:name="_Toc345513864"/>
      <w:bookmarkStart w:id="1170" w:name="_Toc366072525"/>
      <w:bookmarkStart w:id="1171" w:name="_Toc339020092"/>
      <w:bookmarkStart w:id="1172" w:name="_Toc342060371"/>
      <w:bookmarkStart w:id="1173" w:name="_Toc340672866"/>
      <w:bookmarkStart w:id="1174" w:name="_Toc331512895"/>
      <w:bookmarkStart w:id="1175" w:name="_Toc349143586"/>
      <w:bookmarkStart w:id="1176" w:name="_Toc340507439"/>
      <w:bookmarkStart w:id="1177" w:name="_Toc342296757"/>
      <w:bookmarkStart w:id="1178" w:name="_Toc330459982"/>
      <w:bookmarkStart w:id="1179" w:name="_Toc332206705"/>
      <w:bookmarkStart w:id="1180" w:name="_Toc341348335"/>
      <w:bookmarkStart w:id="1181" w:name="_Toc339362297"/>
      <w:bookmarkStart w:id="1182" w:name="_Toc337632355"/>
      <w:bookmarkStart w:id="1183" w:name="_Toc331684035"/>
      <w:bookmarkStart w:id="1184" w:name="_Toc365985176"/>
      <w:bookmarkStart w:id="1185" w:name="_Toc339020012"/>
      <w:bookmarkStart w:id="1186" w:name="_Toc333237785"/>
      <w:bookmarkStart w:id="1187" w:name="_Toc350438746"/>
      <w:bookmarkStart w:id="1188" w:name="_Toc339020230"/>
      <w:bookmarkStart w:id="1189" w:name="_Toc350756447"/>
      <w:bookmarkStart w:id="1190" w:name="_Toc333935684"/>
      <w:bookmarkStart w:id="1191" w:name="_Toc374454597"/>
      <w:r>
        <w:rPr>
          <w:rFonts w:hint="eastAsia"/>
          <w:color w:val="000000" w:themeColor="text1"/>
          <w:highlight w:val="none"/>
          <w14:textFill>
            <w14:solidFill>
              <w14:schemeClr w14:val="tx1"/>
            </w14:solidFill>
          </w14:textFill>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24.2  </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大写金额和小写金额不一致的，以大写金额为准;</w:t>
      </w:r>
    </w:p>
    <w:p>
      <w:pPr>
        <w:spacing w:line="360" w:lineRule="auto"/>
        <w:ind w:firstLine="735" w:firstLineChars="350"/>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（5）</w:t>
      </w:r>
      <w:r>
        <w:rPr>
          <w:rFonts w:hint="eastAsia" w:ascii="宋体" w:hAnsi="宋体"/>
          <w:bCs/>
          <w:color w:val="000000" w:themeColor="text1"/>
          <w:highlight w:val="none"/>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92" w:name="_Toc339020013"/>
      <w:bookmarkStart w:id="1193" w:name="_Toc349127624"/>
      <w:bookmarkStart w:id="1194" w:name="_Toc332206706"/>
      <w:bookmarkStart w:id="1195" w:name="_Toc333935685"/>
      <w:bookmarkStart w:id="1196" w:name="_Toc345513865"/>
      <w:bookmarkStart w:id="1197" w:name="_Toc337632356"/>
      <w:bookmarkStart w:id="1198" w:name="_Toc365967071"/>
      <w:bookmarkStart w:id="1199" w:name="_Toc341348336"/>
      <w:bookmarkStart w:id="1200" w:name="_Toc336681933"/>
      <w:bookmarkStart w:id="1201" w:name="_Toc374454598"/>
      <w:bookmarkStart w:id="1202" w:name="_Toc339020093"/>
      <w:bookmarkStart w:id="1203" w:name="_Toc503785426"/>
      <w:bookmarkStart w:id="1204" w:name="_Toc333237675"/>
      <w:bookmarkStart w:id="1205" w:name="_Toc339019887"/>
      <w:bookmarkStart w:id="1206" w:name="_Toc331684036"/>
      <w:bookmarkStart w:id="1207" w:name="_Toc333237786"/>
      <w:bookmarkStart w:id="1208" w:name="_Toc340507440"/>
      <w:bookmarkStart w:id="1209" w:name="_Toc349143587"/>
      <w:bookmarkStart w:id="1210" w:name="_Toc350756448"/>
      <w:bookmarkStart w:id="1211" w:name="_Toc339020231"/>
      <w:bookmarkStart w:id="1212" w:name="_Toc342296758"/>
      <w:bookmarkStart w:id="1213" w:name="_Toc336681578"/>
      <w:bookmarkStart w:id="1214" w:name="_Toc339362298"/>
      <w:bookmarkStart w:id="1215" w:name="_Toc333935344"/>
      <w:bookmarkStart w:id="1216" w:name="_Toc350438747"/>
      <w:bookmarkStart w:id="1217" w:name="_Toc340672867"/>
      <w:bookmarkStart w:id="1218" w:name="_Toc497224224"/>
      <w:bookmarkStart w:id="1219" w:name="_Toc332270344"/>
      <w:bookmarkStart w:id="1220" w:name="_Toc22385"/>
      <w:bookmarkStart w:id="1221" w:name="_Toc331512896"/>
      <w:bookmarkStart w:id="1222" w:name="_Toc339441085"/>
      <w:bookmarkStart w:id="1223" w:name="_Toc365985177"/>
      <w:bookmarkStart w:id="1224" w:name="_Toc366072526"/>
      <w:bookmarkStart w:id="1225" w:name="_Toc342060372"/>
      <w:bookmarkStart w:id="1226" w:name="_Toc340677068"/>
      <w:bookmarkStart w:id="1227" w:name="_Toc330459983"/>
      <w:bookmarkStart w:id="1228" w:name="_Toc333238631"/>
      <w:r>
        <w:rPr>
          <w:rFonts w:hint="eastAsia"/>
          <w:color w:val="000000" w:themeColor="text1"/>
          <w:highlight w:val="none"/>
          <w14:textFill>
            <w14:solidFill>
              <w14:schemeClr w14:val="tx1"/>
            </w14:solidFill>
          </w14:textFill>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14:textFill>
            <w14:solidFill>
              <w14:schemeClr w14:val="tx1"/>
            </w14:solidFill>
          </w14:textFill>
        </w:rPr>
      </w:pP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5</w:t>
      </w: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 xml:space="preserve"> </w:t>
      </w:r>
      <w:r>
        <w:rPr>
          <w:rFonts w:hint="eastAsia" w:ascii="宋体"/>
          <w:color w:val="000000" w:themeColor="text1"/>
          <w:highlight w:val="none"/>
          <w14:textFill>
            <w14:solidFill>
              <w14:schemeClr w14:val="tx1"/>
            </w14:solidFill>
          </w14:textFill>
        </w:rPr>
        <w:tab/>
      </w:r>
      <w:r>
        <w:rPr>
          <w:rFonts w:hint="eastAsia" w:ascii="宋体"/>
          <w:color w:val="000000" w:themeColor="text1"/>
          <w:highlight w:val="none"/>
          <w14:textFill>
            <w14:solidFill>
              <w14:schemeClr w14:val="tx1"/>
            </w14:solidFill>
          </w14:textFill>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25.3</w:t>
      </w:r>
      <w:r>
        <w:rPr>
          <w:rFonts w:hint="eastAsia"/>
          <w:color w:val="000000" w:themeColor="text1"/>
          <w:highlight w:val="none"/>
          <w14:textFill>
            <w14:solidFill>
              <w14:schemeClr w14:val="tx1"/>
            </w14:solidFill>
          </w14:textFill>
        </w:rPr>
        <w:tab/>
      </w:r>
      <w:r>
        <w:rPr>
          <w:rFonts w:hint="eastAsia" w:cs="Arial Unicode MS"/>
          <w:color w:val="000000" w:themeColor="text1"/>
          <w:highlight w:val="none"/>
          <w14:textFill>
            <w14:solidFill>
              <w14:schemeClr w14:val="tx1"/>
            </w14:solidFill>
          </w14:textFill>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29" w:name="_Toc340672868"/>
      <w:bookmarkStart w:id="1230" w:name="_Toc374454599"/>
      <w:bookmarkStart w:id="1231" w:name="_Toc332206707"/>
      <w:bookmarkStart w:id="1232" w:name="_Toc350756449"/>
      <w:bookmarkStart w:id="1233" w:name="_Toc13823"/>
      <w:bookmarkStart w:id="1234" w:name="_Toc339362299"/>
      <w:bookmarkStart w:id="1235" w:name="_Toc339020232"/>
      <w:bookmarkStart w:id="1236" w:name="_Toc331684037"/>
      <w:bookmarkStart w:id="1237" w:name="_Toc340677069"/>
      <w:bookmarkStart w:id="1238" w:name="_Toc339441086"/>
      <w:bookmarkStart w:id="1239" w:name="_Toc333935686"/>
      <w:bookmarkStart w:id="1240" w:name="_Toc339020014"/>
      <w:bookmarkStart w:id="1241" w:name="_Toc350438748"/>
      <w:bookmarkStart w:id="1242" w:name="_Toc339019888"/>
      <w:bookmarkStart w:id="1243" w:name="_Toc332270345"/>
      <w:bookmarkStart w:id="1244" w:name="_Toc330459984"/>
      <w:bookmarkStart w:id="1245" w:name="_Toc345513866"/>
      <w:bookmarkStart w:id="1246" w:name="_Toc342060373"/>
      <w:bookmarkStart w:id="1247" w:name="_Toc349143588"/>
      <w:bookmarkStart w:id="1248" w:name="_Toc337632357"/>
      <w:bookmarkStart w:id="1249" w:name="_Toc333237787"/>
      <w:bookmarkStart w:id="1250" w:name="_Toc333237676"/>
      <w:bookmarkStart w:id="1251" w:name="_Toc339020094"/>
      <w:bookmarkStart w:id="1252" w:name="_Toc340507441"/>
      <w:bookmarkStart w:id="1253" w:name="_Toc336681579"/>
      <w:bookmarkStart w:id="1254" w:name="_Toc336681934"/>
      <w:bookmarkStart w:id="1255" w:name="_Toc333935345"/>
      <w:bookmarkStart w:id="1256" w:name="_Toc365967072"/>
      <w:bookmarkStart w:id="1257" w:name="_Toc333238632"/>
      <w:bookmarkStart w:id="1258" w:name="_Toc366072527"/>
      <w:bookmarkStart w:id="1259" w:name="_Toc349127625"/>
      <w:bookmarkStart w:id="1260" w:name="_Toc341348337"/>
      <w:bookmarkStart w:id="1261" w:name="_Toc342296759"/>
      <w:bookmarkStart w:id="1262" w:name="_Toc365985178"/>
      <w:bookmarkStart w:id="1263" w:name="_Toc331512897"/>
      <w:r>
        <w:rPr>
          <w:rFonts w:hint="eastAsia"/>
          <w:color w:val="000000" w:themeColor="text1"/>
          <w:highlight w:val="none"/>
          <w14:textFill>
            <w14:solidFill>
              <w14:schemeClr w14:val="tx1"/>
            </w14:solidFill>
          </w14:textFill>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实行科学评估、集体决策。</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64" w:name="_Toc341348338"/>
      <w:bookmarkStart w:id="1265" w:name="_Toc330459985"/>
      <w:bookmarkStart w:id="1266" w:name="_Toc339020233"/>
      <w:bookmarkStart w:id="1267" w:name="_Toc340677070"/>
      <w:bookmarkStart w:id="1268" w:name="_Toc333237677"/>
      <w:bookmarkStart w:id="1269" w:name="_Toc339019889"/>
      <w:bookmarkStart w:id="1270" w:name="_Toc349127626"/>
      <w:bookmarkStart w:id="1271" w:name="_Toc339020015"/>
      <w:bookmarkStart w:id="1272" w:name="_Toc342296760"/>
      <w:bookmarkStart w:id="1273" w:name="_Toc339441087"/>
      <w:bookmarkStart w:id="1274" w:name="_Toc340672869"/>
      <w:bookmarkStart w:id="1275" w:name="_Toc349143589"/>
      <w:bookmarkStart w:id="1276" w:name="_Toc331684038"/>
      <w:bookmarkStart w:id="1277" w:name="_Toc336681580"/>
      <w:bookmarkStart w:id="1278" w:name="_Toc339020095"/>
      <w:bookmarkStart w:id="1279" w:name="_Toc333238633"/>
      <w:bookmarkStart w:id="1280" w:name="_Toc342060374"/>
      <w:bookmarkStart w:id="1281" w:name="_Toc333935346"/>
      <w:bookmarkStart w:id="1282" w:name="_Toc331512898"/>
      <w:bookmarkStart w:id="1283" w:name="_Toc337632358"/>
      <w:bookmarkStart w:id="1284" w:name="_Toc345513867"/>
      <w:bookmarkStart w:id="1285" w:name="_Toc365967073"/>
      <w:bookmarkStart w:id="1286" w:name="_Toc336681935"/>
      <w:bookmarkStart w:id="1287" w:name="_Toc340507442"/>
      <w:bookmarkStart w:id="1288" w:name="_Toc332206708"/>
      <w:bookmarkStart w:id="1289" w:name="_Toc366072528"/>
      <w:bookmarkStart w:id="1290" w:name="_Toc350756450"/>
      <w:bookmarkStart w:id="1291" w:name="_Toc339362300"/>
      <w:bookmarkStart w:id="1292" w:name="_Toc350438749"/>
      <w:bookmarkStart w:id="1293" w:name="_Toc333237788"/>
      <w:bookmarkStart w:id="1294" w:name="_Toc332270346"/>
      <w:bookmarkStart w:id="1295" w:name="_Toc333935687"/>
      <w:bookmarkStart w:id="1296" w:name="_Toc374454600"/>
      <w:bookmarkStart w:id="1297" w:name="_Toc365985179"/>
      <w:bookmarkStart w:id="1298" w:name="_Toc10721"/>
      <w:r>
        <w:rPr>
          <w:rFonts w:hint="eastAsia"/>
          <w:color w:val="000000" w:themeColor="text1"/>
          <w:highlight w:val="none"/>
          <w14:textFill>
            <w14:solidFill>
              <w14:schemeClr w14:val="tx1"/>
            </w14:solidFill>
          </w14:textFill>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3"/>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27.1</w:t>
      </w:r>
      <w:r>
        <w:rPr>
          <w:rFonts w:hint="eastAsia" w:hAnsi="宋体"/>
          <w:bCs/>
          <w:color w:val="000000" w:themeColor="text1"/>
          <w:highlight w:val="none"/>
          <w14:textFill>
            <w14:solidFill>
              <w14:schemeClr w14:val="tx1"/>
            </w14:solidFill>
          </w14:textFill>
        </w:rPr>
        <w:tab/>
      </w:r>
      <w:r>
        <w:rPr>
          <w:rFonts w:hint="eastAsia" w:hAnsi="宋体"/>
          <w:bCs/>
          <w:color w:val="000000" w:themeColor="text1"/>
          <w:highlight w:val="none"/>
          <w14:textFill>
            <w14:solidFill>
              <w14:schemeClr w14:val="tx1"/>
            </w14:solidFill>
          </w14:textFill>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w:t>
      </w:r>
      <w:r>
        <w:rPr>
          <w:rFonts w:hAnsi="宋体"/>
          <w:bCs/>
          <w:color w:val="000000" w:themeColor="text1"/>
          <w:highlight w:val="none"/>
          <w14:textFill>
            <w14:solidFill>
              <w14:schemeClr w14:val="tx1"/>
            </w14:solidFill>
          </w14:textFill>
        </w:rPr>
        <w:t>.2</w:t>
      </w:r>
      <w:r>
        <w:rPr>
          <w:rFonts w:hint="eastAsia" w:hAnsi="宋体"/>
          <w:bCs/>
          <w:color w:val="000000" w:themeColor="text1"/>
          <w:highlight w:val="none"/>
          <w14:textFill>
            <w14:solidFill>
              <w14:schemeClr w14:val="tx1"/>
            </w14:solidFill>
          </w14:textFill>
        </w:rPr>
        <w:tab/>
      </w:r>
      <w:bookmarkStart w:id="1299" w:name="_Toc500953375"/>
      <w:bookmarkStart w:id="1300" w:name="_Toc500861023"/>
      <w:bookmarkStart w:id="1301" w:name="_Toc497707712"/>
      <w:r>
        <w:rPr>
          <w:rFonts w:hint="eastAsia" w:hAnsi="宋体"/>
          <w:bCs/>
          <w:color w:val="000000" w:themeColor="text1"/>
          <w:highlight w:val="none"/>
          <w14:textFill>
            <w14:solidFill>
              <w14:schemeClr w14:val="tx1"/>
            </w14:solidFill>
          </w14:textFill>
        </w:rPr>
        <w:t>采用计分法（综合评价法）来确定各投标人的排名。其操作程序为：</w:t>
      </w:r>
      <w:r>
        <w:rPr>
          <w:rFonts w:hint="eastAsia" w:hAnsi="宋体"/>
          <w:b/>
          <w:color w:val="000000" w:themeColor="text1"/>
          <w:highlight w:val="none"/>
          <w14:textFill>
            <w14:solidFill>
              <w14:schemeClr w14:val="tx1"/>
            </w14:solidFill>
          </w14:textFill>
        </w:rPr>
        <w:t>详见H评标细则。</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02" w:name="_Toc17032"/>
      <w:bookmarkStart w:id="1303" w:name="_Toc327367761"/>
      <w:bookmarkStart w:id="1304" w:name="_Toc366072529"/>
      <w:bookmarkStart w:id="1305" w:name="_Toc327368025"/>
      <w:bookmarkStart w:id="1306" w:name="_Toc341348339"/>
      <w:bookmarkStart w:id="1307" w:name="_Toc336681936"/>
      <w:bookmarkStart w:id="1308" w:name="_Toc336681581"/>
      <w:bookmarkStart w:id="1309" w:name="_Toc339019890"/>
      <w:bookmarkStart w:id="1310" w:name="_Toc342060375"/>
      <w:bookmarkStart w:id="1311" w:name="_Toc339441088"/>
      <w:bookmarkStart w:id="1312" w:name="_Toc333238634"/>
      <w:bookmarkStart w:id="1313" w:name="_Toc342296761"/>
      <w:bookmarkStart w:id="1314" w:name="_Toc345513902"/>
      <w:bookmarkStart w:id="1315" w:name="_Toc333237678"/>
      <w:bookmarkStart w:id="1316" w:name="_Toc339020096"/>
      <w:bookmarkStart w:id="1317" w:name="_Toc337632359"/>
      <w:bookmarkStart w:id="1318" w:name="_Toc333237789"/>
      <w:bookmarkStart w:id="1319" w:name="_Toc339020234"/>
      <w:bookmarkStart w:id="1320" w:name="_Toc331684039"/>
      <w:bookmarkStart w:id="1321" w:name="_Toc332206709"/>
      <w:bookmarkStart w:id="1322" w:name="_Toc330459986"/>
      <w:bookmarkStart w:id="1323" w:name="_Toc340677071"/>
      <w:bookmarkStart w:id="1324" w:name="_Toc340507443"/>
      <w:bookmarkStart w:id="1325" w:name="_Toc333935347"/>
      <w:bookmarkStart w:id="1326" w:name="_Toc339362301"/>
      <w:bookmarkStart w:id="1327" w:name="_Toc331512899"/>
      <w:bookmarkStart w:id="1328" w:name="_Toc332270347"/>
      <w:bookmarkStart w:id="1329" w:name="_Toc340672870"/>
      <w:bookmarkStart w:id="1330" w:name="_Toc339020016"/>
      <w:bookmarkStart w:id="1331" w:name="_Toc333935688"/>
      <w:r>
        <w:rPr>
          <w:rFonts w:hint="eastAsia"/>
          <w:color w:val="000000" w:themeColor="text1"/>
          <w:highlight w:val="none"/>
          <w14:textFill>
            <w14:solidFill>
              <w14:schemeClr w14:val="tx1"/>
            </w14:solidFill>
          </w14:textFill>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bookmarkStart w:id="1332" w:name="_Toc491658680"/>
      <w:bookmarkStart w:id="1333" w:name="_Toc6727972"/>
      <w:bookmarkStart w:id="1334" w:name="_Toc6397151"/>
      <w:bookmarkStart w:id="1335" w:name="_Toc500861027"/>
      <w:bookmarkStart w:id="1336" w:name="_Toc26066260"/>
      <w:r>
        <w:rPr>
          <w:rFonts w:hint="eastAsia" w:ascii="宋体" w:hAnsi="宋体"/>
          <w:bCs/>
          <w:color w:val="000000" w:themeColor="text1"/>
          <w:highlight w:val="none"/>
          <w14:textFill>
            <w14:solidFill>
              <w14:schemeClr w14:val="tx1"/>
            </w14:solidFill>
          </w14:textFill>
        </w:rPr>
        <w:t>28.1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28.2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在招标工作结束后，评标委员会成员和参与评标的有关工作人员不得透露与评标有关的情况。</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37" w:name="_Toc330459987"/>
      <w:bookmarkStart w:id="1338" w:name="_Toc339020017"/>
      <w:bookmarkStart w:id="1339" w:name="_Toc340672871"/>
      <w:bookmarkStart w:id="1340" w:name="_Toc349143591"/>
      <w:bookmarkStart w:id="1341" w:name="_Toc349127628"/>
      <w:bookmarkStart w:id="1342" w:name="_Toc339362302"/>
      <w:bookmarkStart w:id="1343" w:name="_Toc331512900"/>
      <w:bookmarkStart w:id="1344" w:name="_Toc332270348"/>
      <w:bookmarkStart w:id="1345" w:name="_Toc350756452"/>
      <w:bookmarkStart w:id="1346" w:name="_Toc336681582"/>
      <w:bookmarkStart w:id="1347" w:name="_Toc374454602"/>
      <w:bookmarkStart w:id="1348" w:name="_Toc339019891"/>
      <w:bookmarkStart w:id="1349" w:name="_Toc29407"/>
      <w:bookmarkStart w:id="1350" w:name="_Toc333935689"/>
      <w:bookmarkStart w:id="1351" w:name="_Toc341348340"/>
      <w:bookmarkStart w:id="1352" w:name="_Toc340507444"/>
      <w:bookmarkStart w:id="1353" w:name="_Toc339020097"/>
      <w:bookmarkStart w:id="1354" w:name="_Toc366072530"/>
      <w:bookmarkStart w:id="1355" w:name="_Toc333237790"/>
      <w:bookmarkStart w:id="1356" w:name="_Toc365985180"/>
      <w:bookmarkStart w:id="1357" w:name="_Toc339441089"/>
      <w:bookmarkStart w:id="1358" w:name="_Toc337632360"/>
      <w:bookmarkStart w:id="1359" w:name="_Toc365967074"/>
      <w:bookmarkStart w:id="1360" w:name="_Toc333935348"/>
      <w:bookmarkStart w:id="1361" w:name="_Toc345513903"/>
      <w:bookmarkStart w:id="1362" w:name="_Toc342296762"/>
      <w:bookmarkStart w:id="1363" w:name="_Toc340677072"/>
      <w:bookmarkStart w:id="1364" w:name="_Toc350438751"/>
      <w:bookmarkStart w:id="1365" w:name="_Toc331684040"/>
      <w:bookmarkStart w:id="1366" w:name="_Toc333237679"/>
      <w:bookmarkStart w:id="1367" w:name="_Toc336681937"/>
      <w:bookmarkStart w:id="1368" w:name="_Toc332206710"/>
      <w:bookmarkStart w:id="1369" w:name="_Toc333238635"/>
      <w:bookmarkStart w:id="1370" w:name="_Toc342060376"/>
      <w:bookmarkStart w:id="1371" w:name="_Toc339020235"/>
      <w:r>
        <w:rPr>
          <w:rFonts w:hint="eastAsia"/>
          <w:color w:val="000000" w:themeColor="text1"/>
          <w:highlight w:val="none"/>
          <w14:textFill>
            <w14:solidFill>
              <w14:schemeClr w14:val="tx1"/>
            </w14:solidFill>
          </w14:textFill>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2" w:name="_Toc366072531"/>
      <w:bookmarkStart w:id="1373" w:name="_Toc374454603"/>
      <w:bookmarkStart w:id="1374" w:name="_Toc11623"/>
      <w:r>
        <w:rPr>
          <w:rFonts w:hint="eastAsia"/>
          <w:color w:val="000000" w:themeColor="text1"/>
          <w:highlight w:val="none"/>
          <w14:textFill>
            <w14:solidFill>
              <w14:schemeClr w14:val="tx1"/>
            </w14:solidFill>
          </w14:textFill>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5" w:name="_Toc366072532"/>
      <w:r>
        <w:rPr>
          <w:rFonts w:hint="eastAsia" w:ascii="宋体" w:hAnsi="宋体"/>
          <w:color w:val="000000" w:themeColor="text1"/>
          <w:szCs w:val="21"/>
          <w:highlight w:val="none"/>
          <w14:textFill>
            <w14:solidFill>
              <w14:schemeClr w14:val="tx1"/>
            </w14:solidFill>
          </w14:textFill>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中标投标人确认后，中标结果将于指定媒体上公告(</w:t>
      </w:r>
      <w:r>
        <w:rPr>
          <w:rFonts w:hint="eastAsia" w:ascii="黑体" w:eastAsia="黑体"/>
          <w:bCs/>
          <w:color w:val="000000" w:themeColor="text1"/>
          <w:highlight w:val="none"/>
          <w14:textFill>
            <w14:solidFill>
              <w14:schemeClr w14:val="tx1"/>
            </w14:solidFill>
          </w14:textFill>
        </w:rPr>
        <w:t>详见第三部份《投标人须知〈投标人须知前附表〉》</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中标通知书发出后，采购人改变中标结果，或者中标投标人放弃中标，应当承担相应的法律责任。</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6" w:name="_Toc11225"/>
      <w:bookmarkStart w:id="1377" w:name="_Toc374454604"/>
      <w:r>
        <w:rPr>
          <w:rFonts w:hint="eastAsia"/>
          <w:color w:val="000000" w:themeColor="text1"/>
          <w:highlight w:val="none"/>
          <w14:textFill>
            <w14:solidFill>
              <w14:schemeClr w14:val="tx1"/>
            </w14:solidFill>
          </w14:textFill>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8" w:name="_Toc339020100"/>
      <w:bookmarkStart w:id="1379" w:name="_Toc342060379"/>
      <w:bookmarkStart w:id="1380" w:name="_Toc333237793"/>
      <w:bookmarkStart w:id="1381" w:name="_Toc339020238"/>
      <w:bookmarkStart w:id="1382" w:name="_Toc337632363"/>
      <w:bookmarkStart w:id="1383" w:name="_Toc332206713"/>
      <w:bookmarkStart w:id="1384" w:name="_Toc333935692"/>
      <w:bookmarkStart w:id="1385" w:name="_Toc332270351"/>
      <w:bookmarkStart w:id="1386" w:name="_Toc330459990"/>
      <w:bookmarkStart w:id="1387" w:name="_Toc365967077"/>
      <w:bookmarkStart w:id="1388" w:name="_Toc339441092"/>
      <w:bookmarkStart w:id="1389" w:name="_Toc331512903"/>
      <w:bookmarkStart w:id="1390" w:name="_Toc350438754"/>
      <w:bookmarkStart w:id="1391" w:name="_Toc340507447"/>
      <w:bookmarkStart w:id="1392" w:name="_Toc331684043"/>
      <w:bookmarkStart w:id="1393" w:name="_Toc365985183"/>
      <w:bookmarkStart w:id="1394" w:name="_Toc349143594"/>
      <w:bookmarkStart w:id="1395" w:name="_Toc350756455"/>
      <w:bookmarkStart w:id="1396" w:name="_Toc336681940"/>
      <w:bookmarkStart w:id="1397" w:name="_Toc339019894"/>
      <w:bookmarkStart w:id="1398" w:name="_Toc349127631"/>
      <w:bookmarkStart w:id="1399" w:name="_Toc333238638"/>
      <w:bookmarkStart w:id="1400" w:name="_Toc333237682"/>
      <w:bookmarkStart w:id="1401" w:name="_Toc341348343"/>
      <w:bookmarkStart w:id="1402" w:name="_Toc342296765"/>
      <w:bookmarkStart w:id="1403" w:name="_Toc340672874"/>
      <w:bookmarkStart w:id="1404" w:name="_Toc345513906"/>
      <w:bookmarkStart w:id="1405" w:name="_Toc333935351"/>
      <w:bookmarkStart w:id="1406" w:name="_Toc340677075"/>
      <w:bookmarkStart w:id="1407" w:name="_Toc339020020"/>
      <w:bookmarkStart w:id="1408" w:name="_Toc339362305"/>
      <w:bookmarkStart w:id="1409" w:name="_Toc336681585"/>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采购人或代理采购机构应当在收到</w:t>
      </w:r>
      <w:r>
        <w:rPr>
          <w:rFonts w:hint="eastAsia" w:ascii="宋体" w:hAnsi="宋体"/>
          <w:color w:val="000000" w:themeColor="text1"/>
          <w:szCs w:val="21"/>
          <w:highlight w:val="none"/>
          <w:lang w:eastAsia="zh-CN"/>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000000" w:themeColor="text1"/>
          <w:sz w:val="24"/>
          <w:highlight w:val="none"/>
          <w14:textFill>
            <w14:solidFill>
              <w14:schemeClr w14:val="tx1"/>
            </w14:solidFill>
          </w14:textFill>
        </w:rPr>
      </w:pPr>
      <w:bookmarkStart w:id="1410" w:name="_Toc366072533"/>
      <w:bookmarkStart w:id="1411" w:name="_Toc374454605"/>
      <w:r>
        <w:rPr>
          <w:color w:val="000000" w:themeColor="text1"/>
          <w:sz w:val="24"/>
          <w:highlight w:val="none"/>
          <w14:textFill>
            <w14:solidFill>
              <w14:schemeClr w14:val="tx1"/>
            </w14:solidFill>
          </w14:textFill>
        </w:rPr>
        <w:br w:type="page"/>
      </w:r>
      <w:bookmarkStart w:id="1412" w:name="_Toc13394"/>
      <w:r>
        <w:rPr>
          <w:rFonts w:hint="eastAsia"/>
          <w:color w:val="000000" w:themeColor="text1"/>
          <w:sz w:val="24"/>
          <w:highlight w:val="none"/>
          <w14:textFill>
            <w14:solidFill>
              <w14:schemeClr w14:val="tx1"/>
            </w14:solidFill>
          </w14:textFill>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13" w:name="_Toc336681586"/>
      <w:bookmarkStart w:id="1414" w:name="_Toc331684044"/>
      <w:bookmarkStart w:id="1415" w:name="_Toc339441093"/>
      <w:bookmarkStart w:id="1416" w:name="_Toc331512904"/>
      <w:bookmarkStart w:id="1417" w:name="_Toc336681941"/>
      <w:bookmarkStart w:id="1418" w:name="_Toc480010727"/>
      <w:bookmarkStart w:id="1419" w:name="_Toc500861016"/>
      <w:bookmarkStart w:id="1420" w:name="_Toc333238639"/>
      <w:bookmarkStart w:id="1421" w:name="_Toc333935693"/>
      <w:bookmarkStart w:id="1422" w:name="_Toc339020021"/>
      <w:bookmarkStart w:id="1423" w:name="_Toc339362306"/>
      <w:bookmarkStart w:id="1424" w:name="_Toc467236759"/>
      <w:bookmarkStart w:id="1425" w:name="_Toc342296766"/>
      <w:bookmarkStart w:id="1426" w:name="_Toc480021072"/>
      <w:bookmarkStart w:id="1427" w:name="_Toc342060380"/>
      <w:bookmarkStart w:id="1428" w:name="_Toc340507448"/>
      <w:bookmarkStart w:id="1429" w:name="_Toc365967078"/>
      <w:bookmarkStart w:id="1430" w:name="_Toc491658670"/>
      <w:bookmarkStart w:id="1431" w:name="_Toc341348344"/>
      <w:bookmarkStart w:id="1432" w:name="_Toc345513907"/>
      <w:bookmarkStart w:id="1433" w:name="_Toc349127632"/>
      <w:bookmarkStart w:id="1434" w:name="_Toc339019895"/>
      <w:bookmarkStart w:id="1435" w:name="_Toc468157555"/>
      <w:bookmarkStart w:id="1436" w:name="_Toc339020239"/>
      <w:bookmarkStart w:id="1437" w:name="_Toc479991601"/>
      <w:bookmarkStart w:id="1438" w:name="_Toc366072534"/>
      <w:bookmarkStart w:id="1439" w:name="_Toc337632364"/>
      <w:bookmarkStart w:id="1440" w:name="_Toc467987842"/>
      <w:bookmarkStart w:id="1441" w:name="_Toc349143595"/>
      <w:bookmarkStart w:id="1442" w:name="_Toc333237683"/>
      <w:bookmarkStart w:id="1443" w:name="_Toc333237794"/>
      <w:bookmarkStart w:id="1444" w:name="_Toc350438755"/>
      <w:bookmarkStart w:id="1445" w:name="_Toc350756456"/>
      <w:bookmarkStart w:id="1446" w:name="_Toc333935352"/>
      <w:bookmarkStart w:id="1447" w:name="_Toc332206714"/>
      <w:bookmarkStart w:id="1448" w:name="_Toc339020101"/>
      <w:bookmarkStart w:id="1449" w:name="_Toc9639"/>
      <w:bookmarkStart w:id="1450" w:name="_Toc374454606"/>
      <w:bookmarkStart w:id="1451" w:name="_Toc332270352"/>
      <w:bookmarkStart w:id="1452" w:name="_Toc340677076"/>
      <w:bookmarkStart w:id="1453" w:name="_Toc480020276"/>
      <w:bookmarkStart w:id="1454" w:name="_Toc468606048"/>
      <w:bookmarkStart w:id="1455" w:name="_Toc365985184"/>
      <w:bookmarkStart w:id="1456" w:name="_Toc340672875"/>
      <w:bookmarkStart w:id="1457" w:name="_Toc330459991"/>
      <w:bookmarkStart w:id="1458" w:name="_Toc454701400"/>
      <w:bookmarkStart w:id="1459" w:name="_Toc458262633"/>
      <w:r>
        <w:rPr>
          <w:rFonts w:hint="eastAsia"/>
          <w:color w:val="000000" w:themeColor="text1"/>
          <w:highlight w:val="none"/>
          <w14:textFill>
            <w14:solidFill>
              <w14:schemeClr w14:val="tx1"/>
            </w14:solidFill>
          </w14:textFill>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按第30条规定，采购人将把合同授予此次招标的中标投标人。</w:t>
      </w:r>
    </w:p>
    <w:bookmarkEnd w:id="1458"/>
    <w:bookmarkEnd w:id="1459"/>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60" w:name="_Toc331684045"/>
      <w:bookmarkStart w:id="1461" w:name="_Toc340507449"/>
      <w:bookmarkStart w:id="1462" w:name="_Toc332270353"/>
      <w:bookmarkStart w:id="1463" w:name="_Toc345513908"/>
      <w:bookmarkStart w:id="1464" w:name="_Toc336681942"/>
      <w:bookmarkStart w:id="1465" w:name="_Toc342296767"/>
      <w:bookmarkStart w:id="1466" w:name="_Toc365967079"/>
      <w:bookmarkStart w:id="1467" w:name="_Toc330459992"/>
      <w:bookmarkStart w:id="1468" w:name="_Toc500861020"/>
      <w:bookmarkStart w:id="1469" w:name="_Toc333237684"/>
      <w:bookmarkStart w:id="1470" w:name="_Toc340677077"/>
      <w:bookmarkStart w:id="1471" w:name="_Toc339441094"/>
      <w:bookmarkStart w:id="1472" w:name="_Toc350756457"/>
      <w:bookmarkStart w:id="1473" w:name="_Toc339362307"/>
      <w:bookmarkStart w:id="1474" w:name="_Toc480010731"/>
      <w:bookmarkStart w:id="1475" w:name="_Toc333237795"/>
      <w:bookmarkStart w:id="1476" w:name="_Toc491658674"/>
      <w:bookmarkStart w:id="1477" w:name="_Toc332206715"/>
      <w:bookmarkStart w:id="1478" w:name="_Toc11990"/>
      <w:bookmarkStart w:id="1479" w:name="_Toc458262635"/>
      <w:bookmarkStart w:id="1480" w:name="_Toc341348345"/>
      <w:bookmarkStart w:id="1481" w:name="_Toc339020240"/>
      <w:bookmarkStart w:id="1482" w:name="_Toc331512905"/>
      <w:bookmarkStart w:id="1483" w:name="_Toc366072535"/>
      <w:bookmarkStart w:id="1484" w:name="_Toc454701402"/>
      <w:bookmarkStart w:id="1485" w:name="_Toc340672876"/>
      <w:bookmarkStart w:id="1486" w:name="_Toc339020022"/>
      <w:bookmarkStart w:id="1487" w:name="_Toc337632365"/>
      <w:bookmarkStart w:id="1488" w:name="_Toc480020280"/>
      <w:bookmarkStart w:id="1489" w:name="_Toc333935694"/>
      <w:bookmarkStart w:id="1490" w:name="_Toc342060381"/>
      <w:bookmarkStart w:id="1491" w:name="_Toc467236763"/>
      <w:bookmarkStart w:id="1492" w:name="_Toc349143596"/>
      <w:bookmarkStart w:id="1493" w:name="_Toc339020102"/>
      <w:bookmarkStart w:id="1494" w:name="_Toc365985185"/>
      <w:bookmarkStart w:id="1495" w:name="_Toc374454607"/>
      <w:bookmarkStart w:id="1496" w:name="_Toc480021076"/>
      <w:bookmarkStart w:id="1497" w:name="_Toc350438756"/>
      <w:bookmarkStart w:id="1498" w:name="_Toc467987846"/>
      <w:bookmarkStart w:id="1499" w:name="_Toc336681587"/>
      <w:bookmarkStart w:id="1500" w:name="_Toc479991605"/>
      <w:bookmarkStart w:id="1501" w:name="_Toc349127633"/>
      <w:bookmarkStart w:id="1502" w:name="_Toc468157559"/>
      <w:bookmarkStart w:id="1503" w:name="_Toc333935353"/>
      <w:bookmarkStart w:id="1504" w:name="_Toc339019896"/>
      <w:bookmarkStart w:id="1505" w:name="_Toc468606052"/>
      <w:bookmarkStart w:id="1506" w:name="_Toc333238640"/>
      <w:r>
        <w:rPr>
          <w:rFonts w:hint="eastAsia"/>
          <w:color w:val="000000" w:themeColor="text1"/>
          <w:highlight w:val="none"/>
          <w14:textFill>
            <w14:solidFill>
              <w14:schemeClr w14:val="tx1"/>
            </w14:solidFill>
          </w14:textFill>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bookmarkStart w:id="1507" w:name="_Toc370309169"/>
      <w:bookmarkStart w:id="1508" w:name="_Toc366681897"/>
      <w:bookmarkStart w:id="1509" w:name="_Toc378261823"/>
      <w:bookmarkStart w:id="1510" w:name="_Toc383069738"/>
      <w:bookmarkStart w:id="1511" w:name="_Toc374093632"/>
      <w:bookmarkStart w:id="1512" w:name="_Toc367095382"/>
      <w:bookmarkStart w:id="1513" w:name="_Toc379896705"/>
      <w:bookmarkStart w:id="1514" w:name="_Toc370983962"/>
      <w:bookmarkStart w:id="1515" w:name="_Toc372209289"/>
      <w:bookmarkStart w:id="1516" w:name="_Toc374454608"/>
      <w:bookmarkStart w:id="1517" w:name="_Toc369700990"/>
      <w:bookmarkStart w:id="1518" w:name="_Toc373401413"/>
      <w:bookmarkStart w:id="1519" w:name="_Toc377129068"/>
      <w:bookmarkStart w:id="1520" w:name="_Toc366072536"/>
      <w:bookmarkStart w:id="1521" w:name="_Toc345513909"/>
      <w:bookmarkStart w:id="1522" w:name="_Toc340507450"/>
      <w:bookmarkStart w:id="1523" w:name="_Toc350438757"/>
      <w:bookmarkStart w:id="1524" w:name="_Toc342296768"/>
      <w:bookmarkStart w:id="1525" w:name="_Toc340672877"/>
      <w:bookmarkStart w:id="1526" w:name="_Toc365985186"/>
      <w:bookmarkStart w:id="1527" w:name="_Toc331684046"/>
      <w:bookmarkStart w:id="1528" w:name="_Toc339362308"/>
      <w:bookmarkStart w:id="1529" w:name="_Toc339020241"/>
      <w:bookmarkStart w:id="1530" w:name="_Toc336681943"/>
      <w:bookmarkStart w:id="1531" w:name="_Toc350756458"/>
      <w:bookmarkStart w:id="1532" w:name="_Toc341348346"/>
      <w:bookmarkStart w:id="1533" w:name="_Toc342060382"/>
      <w:bookmarkStart w:id="1534" w:name="_Toc337632366"/>
      <w:bookmarkStart w:id="1535" w:name="_Toc365967080"/>
      <w:bookmarkStart w:id="1536" w:name="_Toc333237685"/>
      <w:bookmarkStart w:id="1537" w:name="_Toc339020103"/>
      <w:bookmarkStart w:id="1538" w:name="_Toc333237796"/>
      <w:bookmarkStart w:id="1539" w:name="_Toc339020023"/>
      <w:bookmarkStart w:id="1540" w:name="_Toc339441095"/>
      <w:bookmarkStart w:id="1541" w:name="_Toc333935695"/>
      <w:bookmarkStart w:id="1542" w:name="_Toc330459993"/>
      <w:bookmarkStart w:id="1543" w:name="_Toc336681588"/>
      <w:bookmarkStart w:id="1544" w:name="_Toc333935354"/>
      <w:bookmarkStart w:id="1545" w:name="_Toc331512906"/>
      <w:bookmarkStart w:id="1546" w:name="_Toc339019897"/>
      <w:bookmarkStart w:id="1547" w:name="_Toc332270354"/>
      <w:bookmarkStart w:id="1548" w:name="_Toc332206716"/>
      <w:bookmarkStart w:id="1549" w:name="_Toc349127634"/>
      <w:bookmarkStart w:id="1550" w:name="_Toc349143597"/>
      <w:bookmarkStart w:id="1551" w:name="_Toc333238641"/>
      <w:bookmarkStart w:id="1552" w:name="_Toc340677078"/>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 xml:space="preserve">33.3   </w:t>
      </w:r>
      <w:r>
        <w:rPr>
          <w:rFonts w:ascii="宋体" w:hAnsi="宋体"/>
          <w:bCs/>
          <w:color w:val="000000" w:themeColor="text1"/>
          <w:highlight w:val="none"/>
          <w14:textFill>
            <w14:solidFill>
              <w14:schemeClr w14:val="tx1"/>
            </w14:solidFill>
          </w14:textFill>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14:textFill>
            <w14:solidFill>
              <w14:schemeClr w14:val="tx1"/>
            </w14:solidFill>
          </w14:textFill>
        </w:rPr>
        <w:t>。</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4"/>
        <w:numPr>
          <w:ilvl w:val="0"/>
          <w:numId w:val="0"/>
        </w:numPr>
        <w:rPr>
          <w:color w:val="000000" w:themeColor="text1"/>
          <w:sz w:val="24"/>
          <w:highlight w:val="none"/>
          <w14:textFill>
            <w14:solidFill>
              <w14:schemeClr w14:val="tx1"/>
            </w14:solidFill>
          </w14:textFill>
        </w:rPr>
      </w:pPr>
      <w:bookmarkStart w:id="1553" w:name="_Toc432682726"/>
      <w:bookmarkStart w:id="1554" w:name="_Toc430771059"/>
      <w:bookmarkStart w:id="1555" w:name="_Toc17264"/>
      <w:bookmarkStart w:id="1556" w:name="_Toc491658677"/>
      <w:bookmarkStart w:id="1557" w:name="_Toc468157562"/>
      <w:bookmarkStart w:id="1558" w:name="_Toc480021079"/>
      <w:bookmarkStart w:id="1559" w:name="_Toc500861024"/>
      <w:bookmarkStart w:id="1560" w:name="_Toc467987849"/>
      <w:bookmarkStart w:id="1561" w:name="_Toc479991608"/>
      <w:bookmarkStart w:id="1562" w:name="_Toc467236766"/>
      <w:bookmarkStart w:id="1563" w:name="_Toc468606055"/>
      <w:bookmarkStart w:id="1564" w:name="_Toc480020283"/>
      <w:bookmarkStart w:id="1565" w:name="_Toc480010734"/>
      <w:r>
        <w:rPr>
          <w:color w:val="000000" w:themeColor="text1"/>
          <w:sz w:val="24"/>
          <w:highlight w:val="none"/>
          <w14:textFill>
            <w14:solidFill>
              <w14:schemeClr w14:val="tx1"/>
            </w14:solidFill>
          </w14:textFill>
        </w:rPr>
        <w:t>G</w:t>
      </w:r>
      <w:r>
        <w:rPr>
          <w:rFonts w:hint="eastAsia"/>
          <w:color w:val="000000" w:themeColor="text1"/>
          <w:sz w:val="24"/>
          <w:highlight w:val="none"/>
          <w14:textFill>
            <w14:solidFill>
              <w14:schemeClr w14:val="tx1"/>
            </w14:solidFill>
          </w14:textFill>
        </w:rPr>
        <w:t>、政府采购政策</w:t>
      </w:r>
      <w:bookmarkEnd w:id="1553"/>
      <w:bookmarkEnd w:id="1554"/>
      <w:bookmarkEnd w:id="1555"/>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6" w:name="_Toc430771060"/>
      <w:bookmarkStart w:id="1567" w:name="_Toc430185803"/>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 xml:space="preserve">     </w:t>
      </w:r>
      <w:bookmarkStart w:id="1568"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1566"/>
      <w:bookmarkEnd w:id="1567"/>
      <w:bookmarkEnd w:id="1568"/>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9" w:name="_Toc430771061"/>
      <w:bookmarkStart w:id="1570" w:name="_Toc430185804"/>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1" w:name="_Toc430185805"/>
      <w:bookmarkStart w:id="1572" w:name="_Toc430771062"/>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1571"/>
      <w:bookmarkEnd w:id="1572"/>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3" w:name="_Toc430771063"/>
      <w:bookmarkStart w:id="1574" w:name="_Toc430185806"/>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1573"/>
      <w:bookmarkEnd w:id="1574"/>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7</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tc>
      </w:tr>
    </w:tbl>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575" w:name="_Toc24097"/>
      <w:r>
        <w:rPr>
          <w:rFonts w:hint="eastAsia"/>
          <w:color w:val="000000" w:themeColor="text1"/>
          <w:sz w:val="24"/>
          <w:highlight w:val="none"/>
          <w14:textFill>
            <w14:solidFill>
              <w14:schemeClr w14:val="tx1"/>
            </w14:solidFill>
          </w14:textFill>
        </w:rPr>
        <w:t>H、评标细则</w:t>
      </w:r>
      <w:bookmarkEnd w:id="1575"/>
    </w:p>
    <w:p>
      <w:pPr>
        <w:pStyle w:val="23"/>
        <w:widowControl/>
        <w:tabs>
          <w:tab w:val="left" w:pos="753"/>
        </w:tabs>
        <w:adjustRightInd w:val="0"/>
        <w:snapToGrid w:val="0"/>
        <w:spacing w:line="360" w:lineRule="auto"/>
        <w:ind w:left="752" w:hanging="751" w:hangingChars="358"/>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采用计分法（综合评价法）来确定各投标人的排名。其操作程序为：</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根据招标文件和评标原则，按下表（评价指标和权重表）所列评价指标和各评价指标的权重进行评标。</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color w:val="000000" w:themeColor="text1"/>
          <w:sz w:val="21"/>
          <w:highlight w:val="none"/>
          <w14:textFill>
            <w14:solidFill>
              <w14:schemeClr w14:val="tx1"/>
            </w14:solidFill>
          </w14:textFill>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14:textFill>
            <w14:solidFill>
              <w14:schemeClr w14:val="tx1"/>
            </w14:solidFill>
          </w14:textFill>
        </w:rPr>
        <w:t>经济价格标得分＝(评标基准价/投标报价)×价格指标权重×100。</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由评委独立地根据各项指标的评价标准，结合每个投标人的实际情况，分别就投标报价以外的各项指标对每个投标人独立打分。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技术部分和商务部分得分结果为全部评委评价指标评分的算术平均值。</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将所有评价指标所得实际评价分数相加，即为该投标人的综合得分。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评标委员会将推荐综合得分最高的投标人为该项目的中标候选人。</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pPr>
        <w:rPr>
          <w:color w:val="000000" w:themeColor="text1"/>
          <w:highlight w:val="none"/>
          <w14:textFill>
            <w14:solidFill>
              <w14:schemeClr w14:val="tx1"/>
            </w14:solidFill>
          </w14:textFill>
        </w:rPr>
      </w:pPr>
    </w:p>
    <w:tbl>
      <w:tblPr>
        <w:tblStyle w:val="46"/>
        <w:tblW w:w="8521" w:type="dxa"/>
        <w:jc w:val="center"/>
        <w:tblLayout w:type="fixed"/>
        <w:tblCellMar>
          <w:top w:w="0" w:type="dxa"/>
          <w:left w:w="0" w:type="dxa"/>
          <w:bottom w:w="0" w:type="dxa"/>
          <w:right w:w="0" w:type="dxa"/>
        </w:tblCellMar>
      </w:tblPr>
      <w:tblGrid>
        <w:gridCol w:w="2443"/>
        <w:gridCol w:w="2913"/>
        <w:gridCol w:w="3165"/>
      </w:tblGrid>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评分项目</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技术评分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商务评分</w:t>
            </w:r>
          </w:p>
        </w:tc>
      </w:tr>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分值</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40</w:t>
            </w:r>
            <w:r>
              <w:rPr>
                <w:rFonts w:hint="eastAsia" w:ascii="宋体" w:hAnsi="宋体" w:cs="宋体"/>
                <w:color w:val="000000" w:themeColor="text1"/>
                <w:kern w:val="0"/>
                <w:szCs w:val="21"/>
                <w:highlight w:val="none"/>
                <w14:textFill>
                  <w14:solidFill>
                    <w14:schemeClr w14:val="tx1"/>
                  </w14:solidFill>
                </w14:textFill>
              </w:rPr>
              <w:t>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60</w:t>
            </w:r>
            <w:r>
              <w:rPr>
                <w:rFonts w:hint="eastAsia" w:ascii="宋体" w:hAnsi="宋体" w:cs="宋体"/>
                <w:color w:val="000000" w:themeColor="text1"/>
                <w:kern w:val="0"/>
                <w:szCs w:val="21"/>
                <w:highlight w:val="none"/>
                <w14:textFill>
                  <w14:solidFill>
                    <w14:schemeClr w14:val="tx1"/>
                  </w14:solidFill>
                </w14:textFill>
              </w:rPr>
              <w:t>分</w:t>
            </w:r>
          </w:p>
        </w:tc>
      </w:tr>
    </w:tbl>
    <w:p>
      <w:pPr>
        <w:rPr>
          <w:color w:val="000000" w:themeColor="text1"/>
          <w:highlight w:val="none"/>
          <w14:textFill>
            <w14:solidFill>
              <w14:schemeClr w14:val="tx1"/>
            </w14:solidFill>
          </w14:textFill>
        </w:rPr>
      </w:pPr>
    </w:p>
    <w:bookmarkEnd w:id="1556"/>
    <w:bookmarkEnd w:id="1557"/>
    <w:bookmarkEnd w:id="1558"/>
    <w:bookmarkEnd w:id="1559"/>
    <w:bookmarkEnd w:id="1560"/>
    <w:bookmarkEnd w:id="1561"/>
    <w:bookmarkEnd w:id="1562"/>
    <w:bookmarkEnd w:id="1563"/>
    <w:bookmarkEnd w:id="1564"/>
    <w:bookmarkEnd w:id="1565"/>
    <w:p>
      <w:pPr>
        <w:rPr>
          <w:rFonts w:hint="eastAsia"/>
          <w:color w:val="000000" w:themeColor="text1"/>
          <w:highlight w:val="none"/>
          <w14:textFill>
            <w14:solidFill>
              <w14:schemeClr w14:val="tx1"/>
            </w14:solidFill>
          </w14:textFill>
        </w:rPr>
      </w:pPr>
      <w:bookmarkStart w:id="1576" w:name="_Toc340507451"/>
      <w:bookmarkStart w:id="1577" w:name="_Toc341348347"/>
      <w:bookmarkStart w:id="1578" w:name="_Toc331684047"/>
      <w:bookmarkStart w:id="1579" w:name="_Toc336681944"/>
      <w:bookmarkStart w:id="1580" w:name="_Toc340677079"/>
      <w:bookmarkStart w:id="1581" w:name="_Toc349143598"/>
      <w:bookmarkStart w:id="1582" w:name="_Toc339020242"/>
      <w:bookmarkStart w:id="1583" w:name="_Toc339019898"/>
      <w:bookmarkStart w:id="1584" w:name="_Toc330459994"/>
      <w:bookmarkStart w:id="1585" w:name="_Toc345513910"/>
      <w:bookmarkStart w:id="1586" w:name="_Toc333935696"/>
      <w:bookmarkStart w:id="1587" w:name="_Toc339020104"/>
      <w:bookmarkStart w:id="1588" w:name="_Toc333237686"/>
      <w:bookmarkStart w:id="1589" w:name="_Toc339362309"/>
      <w:bookmarkStart w:id="1590" w:name="_Toc350438758"/>
      <w:bookmarkStart w:id="1591" w:name="_Toc366072538"/>
      <w:bookmarkStart w:id="1592" w:name="_Toc336681589"/>
      <w:bookmarkStart w:id="1593" w:name="_Toc365985187"/>
      <w:bookmarkStart w:id="1594" w:name="_Toc342296769"/>
      <w:bookmarkStart w:id="1595" w:name="_Toc365967081"/>
      <w:bookmarkStart w:id="1596" w:name="_Toc339020024"/>
      <w:bookmarkStart w:id="1597" w:name="_Toc331512907"/>
      <w:bookmarkStart w:id="1598" w:name="_Toc349127635"/>
      <w:bookmarkStart w:id="1599" w:name="_Toc337632367"/>
      <w:bookmarkStart w:id="1600" w:name="_Toc332206717"/>
      <w:bookmarkStart w:id="1601" w:name="_Toc332270355"/>
      <w:bookmarkStart w:id="1602" w:name="_Toc342060383"/>
      <w:bookmarkStart w:id="1603" w:name="_Toc339441096"/>
      <w:bookmarkStart w:id="1604" w:name="_Toc374454610"/>
      <w:bookmarkStart w:id="1605" w:name="_Toc340672878"/>
      <w:bookmarkStart w:id="1606" w:name="_Toc333238642"/>
      <w:bookmarkStart w:id="1607" w:name="_Toc333935355"/>
      <w:bookmarkStart w:id="1608" w:name="_Toc350756459"/>
      <w:bookmarkStart w:id="1609" w:name="_Toc333237797"/>
      <w:r>
        <w:rPr>
          <w:rFonts w:hint="eastAsia"/>
          <w:color w:val="000000" w:themeColor="text1"/>
          <w:highlight w:val="none"/>
          <w14:textFill>
            <w14:solidFill>
              <w14:schemeClr w14:val="tx1"/>
            </w14:solidFill>
          </w14:textFill>
        </w:rPr>
        <w:t>技术评分细则：</w:t>
      </w:r>
    </w:p>
    <w:tbl>
      <w:tblPr>
        <w:tblStyle w:val="46"/>
        <w:tblW w:w="95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2"/>
        <w:gridCol w:w="2371"/>
        <w:gridCol w:w="4834"/>
        <w:gridCol w:w="10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1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项目</w:t>
            </w: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评审指标</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评分说明</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权重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2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服务能力（40%）</w:t>
            </w:r>
          </w:p>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1.业务方案，投标人创业担保贷款业务实施方案的科学合理高效情况以及完善程度。</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1.投标人服务实施方案合理高效、组织结构完善、贷款审批及发放流程迅速高效，服务区域影响力大、具有良好的客户信誉度和满意度得100分；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2.投标人服务实施方案较合理、组织结构较完善、贷款审批及发放流程较为迅速，服务区域影响力较大、客户信誉度和满意度一般得90分；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3.投标人服务实施方案基本合理、组织结构基本完整、贷款审批及发放流程较长，服务区域影响力不大、客户信誉度和满意度低得80分；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（本小项满分为100分，最终得分×本小项权重比例）</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尽职承诺，投标人承诺完全尽职履行对招标人推荐符合创业担保贷款贴息条件的客户进行严格全面的贷前调查、资产核实、风险评估以及贷款发放、贷后管理、贷款回收、损失追偿等工作，因投标人未能尽职履行相关工作而产生的一切不良后果由投标人承担。</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给予承诺的得满分，部分承诺或不承诺的，得0分。（本小项满分为100分，最终得分X本小项权重比例）。投标人须出具书面尽职承诺书。</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技术保障，具备满足业务需要的资金汇划清算系统，保证资金汇划和结算的准确性、及时性，具备高效的应急处理和纠错措施，保证资金汇划系统和内部网络的安全性，并承担自身网络安全问题方面的有关责任具备先进的信息反馈系统，能够及时、全面、准确地反馈收付业务信息。</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满足所有要求的，得满分；有任何一项不满足的，得0分。满分为100分。（本小项满分为100分，最终得分×本小项权重比例）</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4.制度保障和风险控制</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1.投标人管理体系、监督机制严谨规范、突发事件应急预案合理可行的得100分；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2.投标人管理体系、监督机制合理、突发事件应急预案较合理可行的得90分；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3.投标人管理体系、监督机制基本规范、突发事件应急预案基本可行的得80分；</w:t>
            </w:r>
            <w:r>
              <w:rPr>
                <w:rFonts w:hint="eastAsia" w:ascii="宋体" w:hAnsi="宋体" w:cs="宋体"/>
                <w:color w:val="000000" w:themeColor="text1"/>
                <w:kern w:val="0"/>
                <w:szCs w:val="21"/>
                <w:highlight w:val="none"/>
                <w14:textFill>
                  <w14:solidFill>
                    <w14:schemeClr w14:val="tx1"/>
                  </w14:solidFill>
                </w14:textFill>
              </w:rPr>
              <w:br w:type="textWrapping"/>
            </w:r>
            <w:r>
              <w:rPr>
                <w:rFonts w:hint="eastAsia" w:ascii="宋体" w:hAnsi="宋体" w:cs="宋体"/>
                <w:color w:val="000000" w:themeColor="text1"/>
                <w:kern w:val="0"/>
                <w:szCs w:val="21"/>
                <w:highlight w:val="none"/>
                <w14:textFill>
                  <w14:solidFill>
                    <w14:schemeClr w14:val="tx1"/>
                  </w14:solidFill>
                </w14:textFill>
              </w:rPr>
              <w:t>（本小项满分为100分，最终得分×本小项权重比例）</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5.支持本项目实施投入所需经费的承诺。</w:t>
            </w:r>
          </w:p>
        </w:tc>
        <w:tc>
          <w:tcPr>
            <w:tcW w:w="483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给予承诺的得满分，部分承诺或不承诺的，得0分。（本小项满分为100分，最终得分×本小项权重比例）</w:t>
            </w:r>
          </w:p>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371" w:type="dxa"/>
            <w:tcBorders>
              <w:top w:val="single" w:color="000000" w:sz="4" w:space="0"/>
              <w:left w:val="single" w:color="000000" w:sz="4" w:space="0"/>
              <w:right w:val="single" w:color="000000" w:sz="4" w:space="0"/>
            </w:tcBorders>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6.营业网点数量，截止</w:t>
            </w:r>
            <w:r>
              <w:rPr>
                <w:rFonts w:hint="eastAsia" w:ascii="宋体" w:hAnsi="宋体" w:eastAsia="宋体" w:cs="宋体"/>
                <w:color w:val="000000" w:themeColor="text1"/>
                <w:kern w:val="0"/>
                <w:szCs w:val="21"/>
                <w:highlight w:val="none"/>
                <w:lang w:val="en-US" w:eastAsia="zh-CN"/>
                <w14:textFill>
                  <w14:solidFill>
                    <w14:schemeClr w14:val="tx1"/>
                  </w14:solidFill>
                </w14:textFill>
              </w:rPr>
              <w:t>2022</w:t>
            </w:r>
            <w:r>
              <w:rPr>
                <w:rFonts w:hint="eastAsia" w:ascii="宋体" w:hAnsi="宋体" w:eastAsia="宋体" w:cs="宋体"/>
                <w:color w:val="000000" w:themeColor="text1"/>
                <w:kern w:val="0"/>
                <w:szCs w:val="21"/>
                <w:highlight w:val="none"/>
                <w14:textFill>
                  <w14:solidFill>
                    <w14:schemeClr w14:val="tx1"/>
                  </w14:solidFill>
                </w14:textFill>
              </w:rPr>
              <w:t>年12月31日投标人在阳西县辖区内的营业网点数量。</w:t>
            </w:r>
          </w:p>
        </w:tc>
        <w:tc>
          <w:tcPr>
            <w:tcW w:w="4834" w:type="dxa"/>
            <w:tcBorders>
              <w:top w:val="single" w:color="000000" w:sz="4" w:space="0"/>
              <w:left w:val="single" w:color="000000" w:sz="4" w:space="0"/>
              <w:right w:val="single" w:color="000000" w:sz="4" w:space="0"/>
            </w:tcBorders>
            <w:noWrap w:val="0"/>
            <w:vAlign w:val="center"/>
          </w:tcPr>
          <w:p>
            <w:pPr>
              <w:widowControl/>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按投标人在辖区内网点数量排序得分：11个及以上为优（含11个），得满分；8-10个为良(含8个)，得80分；6-7个为中（含6个），得60分，1-5个为差（含1个），得40分。（每个网点均需提供当地银监部门颁发的有效的《金融许可证》视为有效网点）</w:t>
            </w:r>
          </w:p>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（本小项满分为100分，最终得分×本小项权重比例）</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jc w:val="center"/>
        </w:trPr>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合计</w:t>
            </w:r>
          </w:p>
        </w:tc>
        <w:tc>
          <w:tcPr>
            <w:tcW w:w="48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color w:val="000000" w:themeColor="text1"/>
                <w:kern w:val="0"/>
                <w:sz w:val="21"/>
                <w:szCs w:val="21"/>
                <w:highlight w:val="none"/>
                <w:u w:val="none"/>
                <w:lang w:val="en-US" w:eastAsia="zh-CN" w:bidi="ar"/>
                <w14:textFill>
                  <w14:solidFill>
                    <w14:schemeClr w14:val="tx1"/>
                  </w14:solidFill>
                </w14:textFill>
              </w:rPr>
              <w:t>40</w:t>
            </w: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w:t>
            </w:r>
          </w:p>
        </w:tc>
      </w:tr>
    </w:tbl>
    <w:p>
      <w:pPr>
        <w:rPr>
          <w:color w:val="000000" w:themeColor="text1"/>
          <w:sz w:val="21"/>
          <w:szCs w:val="21"/>
          <w:highlight w:val="none"/>
          <w14:textFill>
            <w14:solidFill>
              <w14:schemeClr w14:val="tx1"/>
            </w14:solidFill>
          </w14:textFill>
        </w:rPr>
      </w:pPr>
    </w:p>
    <w:p>
      <w:pPr>
        <w:rPr>
          <w:color w:val="000000" w:themeColor="text1"/>
          <w:sz w:val="21"/>
          <w:szCs w:val="21"/>
          <w:highlight w:val="none"/>
          <w14:textFill>
            <w14:solidFill>
              <w14:schemeClr w14:val="tx1"/>
            </w14:solidFill>
          </w14:textFill>
        </w:rPr>
      </w:pPr>
    </w:p>
    <w:p>
      <w:pPr>
        <w:spacing w:line="360" w:lineRule="auto"/>
        <w:rPr>
          <w:rFonts w:hint="eastAsia"/>
          <w:color w:val="000000" w:themeColor="text1"/>
          <w:sz w:val="21"/>
          <w:szCs w:val="21"/>
          <w:highlight w:val="none"/>
          <w:lang w:eastAsia="zh-CN"/>
          <w14:textFill>
            <w14:solidFill>
              <w14:schemeClr w14:val="tx1"/>
            </w14:solidFill>
          </w14:textFill>
        </w:rPr>
      </w:pPr>
      <w:r>
        <w:rPr>
          <w:color w:val="000000" w:themeColor="text1"/>
          <w:sz w:val="21"/>
          <w:szCs w:val="21"/>
          <w:highlight w:val="none"/>
          <w14:textFill>
            <w14:solidFill>
              <w14:schemeClr w14:val="tx1"/>
            </w14:solidFill>
          </w14:textFill>
        </w:rPr>
        <w:t>商务</w:t>
      </w:r>
      <w:r>
        <w:rPr>
          <w:rFonts w:hint="eastAsia"/>
          <w:color w:val="000000" w:themeColor="text1"/>
          <w:sz w:val="21"/>
          <w:szCs w:val="21"/>
          <w:highlight w:val="none"/>
          <w14:textFill>
            <w14:solidFill>
              <w14:schemeClr w14:val="tx1"/>
            </w14:solidFill>
          </w14:textFill>
        </w:rPr>
        <w:t>评</w:t>
      </w:r>
      <w:r>
        <w:rPr>
          <w:color w:val="000000" w:themeColor="text1"/>
          <w:sz w:val="21"/>
          <w:szCs w:val="21"/>
          <w:highlight w:val="none"/>
          <w14:textFill>
            <w14:solidFill>
              <w14:schemeClr w14:val="tx1"/>
            </w14:solidFill>
          </w14:textFill>
        </w:rPr>
        <w:t>分</w:t>
      </w:r>
      <w:r>
        <w:rPr>
          <w:rFonts w:hint="eastAsia"/>
          <w:color w:val="000000" w:themeColor="text1"/>
          <w:sz w:val="21"/>
          <w:szCs w:val="21"/>
          <w:highlight w:val="none"/>
          <w14:textFill>
            <w14:solidFill>
              <w14:schemeClr w14:val="tx1"/>
            </w14:solidFill>
          </w14:textFill>
        </w:rPr>
        <w:t>细则</w:t>
      </w:r>
      <w:r>
        <w:rPr>
          <w:rFonts w:hint="eastAsia"/>
          <w:color w:val="000000" w:themeColor="text1"/>
          <w:sz w:val="21"/>
          <w:szCs w:val="21"/>
          <w:highlight w:val="none"/>
          <w:lang w:eastAsia="zh-CN"/>
          <w14:textFill>
            <w14:solidFill>
              <w14:schemeClr w14:val="tx1"/>
            </w14:solidFill>
          </w14:textFill>
        </w:rPr>
        <w:t>：</w:t>
      </w:r>
    </w:p>
    <w:tbl>
      <w:tblPr>
        <w:tblStyle w:val="46"/>
        <w:tblW w:w="9655" w:type="dxa"/>
        <w:jc w:val="center"/>
        <w:shd w:val="clear" w:color="auto" w:fill="auto"/>
        <w:tblLayout w:type="fixed"/>
        <w:tblCellMar>
          <w:top w:w="0" w:type="dxa"/>
          <w:left w:w="0" w:type="dxa"/>
          <w:bottom w:w="0" w:type="dxa"/>
          <w:right w:w="0" w:type="dxa"/>
        </w:tblCellMar>
      </w:tblPr>
      <w:tblGrid>
        <w:gridCol w:w="1336"/>
        <w:gridCol w:w="2334"/>
        <w:gridCol w:w="4849"/>
        <w:gridCol w:w="1136"/>
      </w:tblGrid>
      <w:tr>
        <w:tblPrEx>
          <w:tblCellMar>
            <w:top w:w="0" w:type="dxa"/>
            <w:left w:w="0" w:type="dxa"/>
            <w:bottom w:w="0" w:type="dxa"/>
            <w:right w:w="0" w:type="dxa"/>
          </w:tblCellMar>
        </w:tblPrEx>
        <w:trPr>
          <w:trHeight w:val="300" w:hRule="atLeast"/>
          <w:jc w:val="center"/>
        </w:trPr>
        <w:tc>
          <w:tcPr>
            <w:tcW w:w="1336"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项目</w:t>
            </w:r>
          </w:p>
        </w:tc>
        <w:tc>
          <w:tcPr>
            <w:tcW w:w="2334"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评审指标</w:t>
            </w:r>
          </w:p>
        </w:tc>
        <w:tc>
          <w:tcPr>
            <w:tcW w:w="4849"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评分说明</w:t>
            </w:r>
          </w:p>
        </w:tc>
        <w:tc>
          <w:tcPr>
            <w:tcW w:w="1136"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权重</w:t>
            </w:r>
          </w:p>
        </w:tc>
      </w:tr>
      <w:tr>
        <w:tblPrEx>
          <w:shd w:val="clear" w:color="auto" w:fill="auto"/>
          <w:tblCellMar>
            <w:top w:w="0" w:type="dxa"/>
            <w:left w:w="0" w:type="dxa"/>
            <w:bottom w:w="0" w:type="dxa"/>
            <w:right w:w="0" w:type="dxa"/>
          </w:tblCellMar>
        </w:tblPrEx>
        <w:trPr>
          <w:trHeight w:val="90" w:hRule="atLeast"/>
          <w:jc w:val="center"/>
        </w:trPr>
        <w:tc>
          <w:tcPr>
            <w:tcW w:w="1336" w:type="dxa"/>
            <w:vMerge w:val="restart"/>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对当地经济及财政工作的支持（30%）</w:t>
            </w:r>
          </w:p>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1.纳税人信用级别，税务部门评定的</w:t>
            </w:r>
            <w:r>
              <w:rPr>
                <w:rFonts w:hint="eastAsia" w:ascii="宋体" w:hAnsi="宋体" w:cs="宋体"/>
                <w:color w:val="000000" w:themeColor="text1"/>
                <w:kern w:val="0"/>
                <w:szCs w:val="21"/>
                <w:highlight w:val="none"/>
                <w:lang w:val="en-US" w:eastAsia="zh-CN"/>
                <w14:textFill>
                  <w14:solidFill>
                    <w14:schemeClr w14:val="tx1"/>
                  </w14:solidFill>
                </w14:textFill>
              </w:rPr>
              <w:t>2022</w:t>
            </w:r>
            <w:r>
              <w:rPr>
                <w:rFonts w:hint="eastAsia" w:ascii="宋体" w:hAnsi="宋体" w:cs="宋体"/>
                <w:color w:val="000000" w:themeColor="text1"/>
                <w:kern w:val="0"/>
                <w:szCs w:val="21"/>
                <w:highlight w:val="none"/>
                <w14:textFill>
                  <w14:solidFill>
                    <w14:schemeClr w14:val="tx1"/>
                  </w14:solidFill>
                </w14:textFill>
              </w:rPr>
              <w:t>年度纳税信用评级情况。（投标人无相关评级的以所在分行的评级为准）</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纳税信用评级为A级得满分，为B级得50分，C级及以下得0分。（以税务部门颁发的相关评级证书或证明文件为准）（本小项满分为100分，最终得分×本小项权重比例）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shd w:val="clear" w:color="auto" w:fill="auto"/>
          <w:tblCellMar>
            <w:top w:w="0" w:type="dxa"/>
            <w:left w:w="0" w:type="dxa"/>
            <w:bottom w:w="0" w:type="dxa"/>
            <w:right w:w="0" w:type="dxa"/>
          </w:tblCellMar>
        </w:tblPrEx>
        <w:trPr>
          <w:trHeight w:val="90" w:hRule="atLeast"/>
          <w:jc w:val="center"/>
        </w:trPr>
        <w:tc>
          <w:tcPr>
            <w:tcW w:w="1336" w:type="dxa"/>
            <w:vMerge w:val="continue"/>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lef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2.存款利率优惠服务方案。</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投标人给予创业担保贷款资金在代理银行开立的账户优惠利率方案，方案内容具有：</w:t>
            </w:r>
          </w:p>
          <w:p>
            <w:pPr>
              <w:widowControl/>
              <w:numPr>
                <w:ilvl w:val="0"/>
                <w:numId w:val="31"/>
              </w:numPr>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利率优惠幅度；</w:t>
            </w:r>
          </w:p>
          <w:p>
            <w:pPr>
              <w:widowControl/>
              <w:numPr>
                <w:ilvl w:val="0"/>
                <w:numId w:val="31"/>
              </w:numPr>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可操作性、便捷性服务方案；</w:t>
            </w:r>
          </w:p>
          <w:p>
            <w:pPr>
              <w:widowControl/>
              <w:numPr>
                <w:ilvl w:val="0"/>
                <w:numId w:val="31"/>
              </w:numPr>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不具有金额门槛；</w:t>
            </w:r>
          </w:p>
          <w:p>
            <w:pPr>
              <w:widowControl/>
              <w:numPr>
                <w:ilvl w:val="0"/>
                <w:numId w:val="31"/>
              </w:numPr>
              <w:spacing w:line="30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未设置其他门槛性条件。</w:t>
            </w:r>
          </w:p>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服务方案全部满足得100分，满足两项以上（含两项）得90分，其他情况得80分。（本小项满分为100分，最终得分×本小项权重比例）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w:t>
            </w:r>
          </w:p>
        </w:tc>
      </w:tr>
      <w:tr>
        <w:tblPrEx>
          <w:tblCellMar>
            <w:top w:w="0" w:type="dxa"/>
            <w:left w:w="0" w:type="dxa"/>
            <w:bottom w:w="0" w:type="dxa"/>
            <w:right w:w="0" w:type="dxa"/>
          </w:tblCellMar>
        </w:tblPrEx>
        <w:trPr>
          <w:trHeight w:val="90" w:hRule="atLeast"/>
          <w:jc w:val="center"/>
        </w:trPr>
        <w:tc>
          <w:tcPr>
            <w:tcW w:w="1336" w:type="dxa"/>
            <w:vMerge w:val="continue"/>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3.优惠存款利率承诺，投标人承诺给予的优惠存款利率政策。</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在符合国家利率政策的基础上，以给予的基准利率上浮幅度计分，投标人之间横向比较，上浮幅度最高者得满分，上浮幅度比最高者每低1个百分点扣2.5分，不上浮的不得分，满分为100分。（需提供正在实施的利率文件或业务协议、业务操作规程等材料）（本小项满分为100分，最终得分×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tblCellMar>
            <w:top w:w="0" w:type="dxa"/>
            <w:left w:w="0" w:type="dxa"/>
            <w:bottom w:w="0" w:type="dxa"/>
            <w:right w:w="0" w:type="dxa"/>
          </w:tblCellMar>
        </w:tblPrEx>
        <w:trPr>
          <w:trHeight w:val="499" w:hRule="atLeast"/>
          <w:jc w:val="center"/>
        </w:trPr>
        <w:tc>
          <w:tcPr>
            <w:tcW w:w="1336" w:type="dxa"/>
            <w:vMerge w:val="continue"/>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4.业务能力及业务经验。</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投标人近三年代理的创业担保贷款项目业务经验。具备相关业务经验的得满分，不具备不得分。（须提供相关合同文本或文件资料，不提供不得分）（本小项满分为100分，最终得分X本小项权重比例）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tblCellMar>
            <w:top w:w="0" w:type="dxa"/>
            <w:left w:w="0" w:type="dxa"/>
            <w:bottom w:w="0" w:type="dxa"/>
            <w:right w:w="0" w:type="dxa"/>
          </w:tblCellMar>
        </w:tblPrEx>
        <w:trPr>
          <w:trHeight w:val="1290" w:hRule="atLeast"/>
          <w:jc w:val="center"/>
        </w:trPr>
        <w:tc>
          <w:tcPr>
            <w:tcW w:w="1336" w:type="dxa"/>
            <w:vMerge w:val="restart"/>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经营状况及安全性指标（30%）</w:t>
            </w: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both"/>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1.各项贷款, 截止</w:t>
            </w:r>
            <w:r>
              <w:rPr>
                <w:rFonts w:hint="eastAsia" w:ascii="宋体" w:hAnsi="宋体" w:cs="宋体"/>
                <w:color w:val="000000" w:themeColor="text1"/>
                <w:kern w:val="0"/>
                <w:szCs w:val="21"/>
                <w:highlight w:val="none"/>
                <w:lang w:val="en-US" w:eastAsia="zh-CN"/>
                <w14:textFill>
                  <w14:solidFill>
                    <w14:schemeClr w14:val="tx1"/>
                  </w14:solidFill>
                </w14:textFill>
              </w:rPr>
              <w:t>2022</w:t>
            </w:r>
            <w:r>
              <w:rPr>
                <w:rFonts w:hint="eastAsia" w:ascii="宋体" w:hAnsi="宋体" w:cs="宋体"/>
                <w:color w:val="000000" w:themeColor="text1"/>
                <w:kern w:val="0"/>
                <w:szCs w:val="21"/>
                <w:highlight w:val="none"/>
                <w14:textFill>
                  <w14:solidFill>
                    <w14:schemeClr w14:val="tx1"/>
                  </w14:solidFill>
                </w14:textFill>
              </w:rPr>
              <w:t>年12月31日投标人的各项贷款余额。</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各项贷款余额最高者得满分，投标人之间横向对比评分，数值相对最高者每低1个百分点扣1分，满分为100分。（以投标人上报银监局的非现场监管系统数据为准）（本小项满分为100分，最终得分×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shd w:val="clear" w:color="auto" w:fill="auto"/>
          <w:tblCellMar>
            <w:top w:w="0" w:type="dxa"/>
            <w:left w:w="0" w:type="dxa"/>
            <w:bottom w:w="0" w:type="dxa"/>
            <w:right w:w="0" w:type="dxa"/>
          </w:tblCellMar>
        </w:tblPrEx>
        <w:trPr>
          <w:trHeight w:val="1545" w:hRule="atLeast"/>
          <w:jc w:val="center"/>
        </w:trPr>
        <w:tc>
          <w:tcPr>
            <w:tcW w:w="1336" w:type="dxa"/>
            <w:vMerge w:val="continue"/>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left"/>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both"/>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2.各项存款，截止</w:t>
            </w:r>
            <w:r>
              <w:rPr>
                <w:rFonts w:hint="eastAsia" w:ascii="宋体" w:hAnsi="宋体" w:cs="宋体"/>
                <w:color w:val="000000" w:themeColor="text1"/>
                <w:kern w:val="0"/>
                <w:szCs w:val="21"/>
                <w:highlight w:val="none"/>
                <w:lang w:val="en-US" w:eastAsia="zh-CN"/>
                <w14:textFill>
                  <w14:solidFill>
                    <w14:schemeClr w14:val="tx1"/>
                  </w14:solidFill>
                </w14:textFill>
              </w:rPr>
              <w:t>2022</w:t>
            </w:r>
            <w:r>
              <w:rPr>
                <w:rFonts w:hint="eastAsia" w:ascii="宋体" w:hAnsi="宋体" w:cs="宋体"/>
                <w:color w:val="000000" w:themeColor="text1"/>
                <w:kern w:val="0"/>
                <w:szCs w:val="21"/>
                <w:highlight w:val="none"/>
                <w14:textFill>
                  <w14:solidFill>
                    <w14:schemeClr w14:val="tx1"/>
                  </w14:solidFill>
                </w14:textFill>
              </w:rPr>
              <w:t>年12月31日投标人的存款余额。</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各项存款总额最高者得满分，投标人之间按比例横向对比评分，数值相对最高者每低1个百分点扣1分，满分为100分。（以投标人上报银监局的非现场监管系统数据为准）（本小项满分为100分，最终得分×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w:t>
            </w:r>
          </w:p>
        </w:tc>
      </w:tr>
      <w:tr>
        <w:tblPrEx>
          <w:tblCellMar>
            <w:top w:w="0" w:type="dxa"/>
            <w:left w:w="0" w:type="dxa"/>
            <w:bottom w:w="0" w:type="dxa"/>
            <w:right w:w="0" w:type="dxa"/>
          </w:tblCellMar>
        </w:tblPrEx>
        <w:trPr>
          <w:trHeight w:val="1351" w:hRule="atLeast"/>
          <w:jc w:val="center"/>
        </w:trPr>
        <w:tc>
          <w:tcPr>
            <w:tcW w:w="1336" w:type="dxa"/>
            <w:vMerge w:val="continue"/>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left"/>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3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both"/>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3.不良贷款率，截止</w:t>
            </w:r>
            <w:r>
              <w:rPr>
                <w:rFonts w:hint="eastAsia" w:ascii="宋体" w:hAnsi="宋体" w:cs="宋体"/>
                <w:color w:val="000000" w:themeColor="text1"/>
                <w:kern w:val="0"/>
                <w:szCs w:val="21"/>
                <w:highlight w:val="none"/>
                <w:lang w:val="en-US" w:eastAsia="zh-CN"/>
                <w14:textFill>
                  <w14:solidFill>
                    <w14:schemeClr w14:val="tx1"/>
                  </w14:solidFill>
                </w14:textFill>
              </w:rPr>
              <w:t>2022</w:t>
            </w:r>
            <w:r>
              <w:rPr>
                <w:rFonts w:hint="eastAsia" w:ascii="宋体" w:hAnsi="宋体" w:cs="宋体"/>
                <w:color w:val="000000" w:themeColor="text1"/>
                <w:kern w:val="0"/>
                <w:szCs w:val="21"/>
                <w:highlight w:val="none"/>
                <w14:textFill>
                  <w14:solidFill>
                    <w14:schemeClr w14:val="tx1"/>
                  </w14:solidFill>
                </w14:textFill>
              </w:rPr>
              <w:t>年12月31日投标人的不良贷款率（不良贷款余额/各项贷款）。</w:t>
            </w:r>
          </w:p>
        </w:tc>
        <w:tc>
          <w:tcPr>
            <w:tcW w:w="4849"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widowControl/>
              <w:spacing w:line="300" w:lineRule="exact"/>
              <w:jc w:val="lef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满分为100分。投标人不良贷款率高于0%，低于0.5%（含0.5%）为优，得100分；高于0.5%，低于1%（含1%）为良，得70分；高于1%，低于1.5%（含1.5%）为一般，得40分；高于1.5%为差，得10分（不良贷款余额及各项贷款余额以投标人上报银监局的非现场监管系统数据为准）（本小项满分为100分，最终得分X本小项权重比例）</w:t>
            </w:r>
          </w:p>
        </w:tc>
        <w:tc>
          <w:tcPr>
            <w:tcW w:w="11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spacing w:line="30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w:t>
            </w:r>
          </w:p>
        </w:tc>
      </w:tr>
      <w:tr>
        <w:tblPrEx>
          <w:shd w:val="clear" w:color="auto" w:fill="auto"/>
          <w:tblCellMar>
            <w:top w:w="0" w:type="dxa"/>
            <w:left w:w="0" w:type="dxa"/>
            <w:bottom w:w="0" w:type="dxa"/>
            <w:right w:w="0" w:type="dxa"/>
          </w:tblCellMar>
        </w:tblPrEx>
        <w:trPr>
          <w:trHeight w:val="749" w:hRule="atLeast"/>
          <w:jc w:val="center"/>
        </w:trPr>
        <w:tc>
          <w:tcPr>
            <w:tcW w:w="3670" w:type="dxa"/>
            <w:gridSpan w:val="2"/>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合计</w:t>
            </w:r>
          </w:p>
        </w:tc>
        <w:tc>
          <w:tcPr>
            <w:tcW w:w="4849"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p>
        </w:tc>
        <w:tc>
          <w:tcPr>
            <w:tcW w:w="113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60%</w:t>
            </w:r>
          </w:p>
        </w:tc>
      </w:tr>
    </w:tbl>
    <w:p>
      <w:pPr>
        <w:rPr>
          <w:rFonts w:hint="eastAsia"/>
          <w:color w:val="000000" w:themeColor="text1"/>
          <w:highlight w:val="none"/>
          <w:lang w:val="en-US" w:eastAsia="zh-CN"/>
          <w14:textFill>
            <w14:solidFill>
              <w14:schemeClr w14:val="tx1"/>
            </w14:solidFill>
          </w14:textFill>
        </w:rPr>
      </w:pPr>
    </w:p>
    <w:p>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注：对照每项评价指标要求，投标文件完全不满足要求的，不得分。</w:t>
      </w:r>
    </w:p>
    <w:p>
      <w:pPr>
        <w:pStyle w:val="2"/>
        <w:rPr>
          <w:rFonts w:hint="eastAsia"/>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3"/>
        <w:numPr>
          <w:ilvl w:val="0"/>
          <w:numId w:val="0"/>
        </w:numPr>
        <w:spacing w:beforeLines="0"/>
        <w:rPr>
          <w:color w:val="000000" w:themeColor="text1"/>
          <w:highlight w:val="none"/>
          <w14:textFill>
            <w14:solidFill>
              <w14:schemeClr w14:val="tx1"/>
            </w14:solidFill>
          </w14:textFill>
        </w:rPr>
      </w:pPr>
      <w:bookmarkStart w:id="1610" w:name="_Toc2495"/>
      <w:r>
        <w:rPr>
          <w:rFonts w:hint="eastAsia"/>
          <w:color w:val="000000" w:themeColor="text1"/>
          <w:highlight w:val="none"/>
          <w14:textFill>
            <w14:solidFill>
              <w14:schemeClr w14:val="tx1"/>
            </w14:solidFill>
          </w14:textFill>
        </w:rPr>
        <w:t>第四部分  采购项目合同</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Start w:id="1611" w:name="_Hlt97188170"/>
      <w:bookmarkEnd w:id="1611"/>
      <w:r>
        <w:rPr>
          <w:rFonts w:hint="eastAsia"/>
          <w:color w:val="000000" w:themeColor="text1"/>
          <w:highlight w:val="none"/>
          <w14:textFill>
            <w14:solidFill>
              <w14:schemeClr w14:val="tx1"/>
            </w14:solidFill>
          </w14:textFill>
        </w:rPr>
        <w:t>（参考范本）</w:t>
      </w:r>
      <w:bookmarkEnd w:id="1610"/>
    </w:p>
    <w:p>
      <w:pPr>
        <w:rPr>
          <w:bCs/>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jc w:val="center"/>
        <w:rPr>
          <w:rFonts w:hint="eastAsia" w:ascii="宋体" w:hAnsi="宋体"/>
          <w:b/>
          <w:color w:val="000000" w:themeColor="text1"/>
          <w:sz w:val="30"/>
          <w:szCs w:val="30"/>
          <w:highlight w:val="none"/>
          <w14:textFill>
            <w14:solidFill>
              <w14:schemeClr w14:val="tx1"/>
            </w14:solidFill>
          </w14:textFill>
        </w:rPr>
      </w:pPr>
    </w:p>
    <w:p>
      <w:pPr>
        <w:jc w:val="center"/>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合 同 书</w:t>
      </w: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采购编号：</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项目名称：</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14:textFill>
            <w14:solidFill>
              <w14:schemeClr w14:val="tx1"/>
            </w14:solidFill>
          </w14:textFill>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乙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根据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项目（采购编号：</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）的采购结果</w:t>
      </w:r>
      <w:r>
        <w:rPr>
          <w:rFonts w:hint="eastAsia" w:ascii="宋体" w:hAnsi="宋体" w:eastAsia="宋体" w:cs="宋体"/>
          <w:color w:val="000000" w:themeColor="text1"/>
          <w:sz w:val="21"/>
          <w:szCs w:val="21"/>
          <w:highlight w:val="none"/>
          <w:lang w:val="en-US" w:eastAsia="zh-CN"/>
          <w14:textFill>
            <w14:solidFill>
              <w14:schemeClr w14:val="tx1"/>
            </w14:solidFill>
          </w14:textFill>
        </w:rPr>
        <w:t>及</w:t>
      </w:r>
      <w:r>
        <w:rPr>
          <w:rFonts w:hint="eastAsia" w:ascii="宋体" w:hAnsi="宋体" w:eastAsia="宋体" w:cs="宋体"/>
          <w:color w:val="000000" w:themeColor="text1"/>
          <w:sz w:val="21"/>
          <w:szCs w:val="21"/>
          <w:highlight w:val="none"/>
          <w14:textFill>
            <w14:solidFill>
              <w14:schemeClr w14:val="tx1"/>
            </w14:solidFill>
          </w14:textFill>
        </w:rPr>
        <w:t>招标投标文件中的相关约定，按照《中华人民共和国政府采购法》、</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的规定，</w:t>
      </w:r>
      <w:r>
        <w:rPr>
          <w:rFonts w:hint="eastAsia" w:ascii="宋体" w:hAnsi="宋体" w:eastAsia="宋体" w:cs="宋体"/>
          <w:color w:val="000000" w:themeColor="text1"/>
          <w:kern w:val="28"/>
          <w:sz w:val="21"/>
          <w:szCs w:val="21"/>
          <w:highlight w:val="none"/>
          <w14:textFill>
            <w14:solidFill>
              <w14:schemeClr w14:val="tx1"/>
            </w14:solidFill>
          </w14:textFill>
        </w:rPr>
        <w:t>经双方协商，</w:t>
      </w:r>
      <w:r>
        <w:rPr>
          <w:rFonts w:hint="eastAsia" w:ascii="宋体" w:hAnsi="宋体" w:eastAsia="宋体" w:cs="宋体"/>
          <w:color w:val="000000" w:themeColor="text1"/>
          <w:sz w:val="21"/>
          <w:szCs w:val="21"/>
          <w:highlight w:val="none"/>
          <w14:textFill>
            <w14:solidFill>
              <w14:schemeClr w14:val="tx1"/>
            </w14:solidFill>
          </w14:textFill>
        </w:rPr>
        <w:t>本着平等互利和诚实信用的原则，</w:t>
      </w:r>
      <w:r>
        <w:rPr>
          <w:rFonts w:hint="eastAsia" w:ascii="宋体" w:hAnsi="宋体" w:eastAsia="宋体" w:cs="宋体"/>
          <w:color w:val="000000" w:themeColor="text1"/>
          <w:kern w:val="28"/>
          <w:sz w:val="21"/>
          <w:szCs w:val="21"/>
          <w:highlight w:val="none"/>
          <w14:textFill>
            <w14:solidFill>
              <w14:schemeClr w14:val="tx1"/>
            </w14:solidFill>
          </w14:textFill>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一、</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合同金额为人民币（大写</w:t>
      </w:r>
      <w:r>
        <w:rPr>
          <w:rFonts w:hint="eastAsia" w:ascii="宋体" w:hAnsi="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二、</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甲方聘请乙方提供以下服务：</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三、</w:t>
      </w:r>
      <w:r>
        <w:rPr>
          <w:rFonts w:hint="eastAsia" w:ascii="宋体" w:hAnsi="宋体" w:eastAsia="宋体" w:cs="宋体"/>
          <w:b/>
          <w:bCs/>
          <w:color w:val="000000" w:themeColor="text1"/>
          <w:sz w:val="21"/>
          <w:szCs w:val="21"/>
          <w:highlight w:val="none"/>
          <w14:textFill>
            <w14:solidFill>
              <w14:schemeClr w14:val="tx1"/>
            </w14:solidFill>
          </w14:textFill>
        </w:rPr>
        <w:t>甲方乙方的权利和义务</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甲方的权利和义务</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乙方的权利和义务</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四、</w:t>
      </w:r>
      <w:r>
        <w:rPr>
          <w:rFonts w:hint="eastAsia" w:ascii="宋体" w:hAnsi="宋体" w:eastAsia="宋体" w:cs="宋体"/>
          <w:b/>
          <w:bCs/>
          <w:color w:val="000000" w:themeColor="text1"/>
          <w:sz w:val="21"/>
          <w:szCs w:val="21"/>
          <w:highlight w:val="none"/>
          <w14:textFill>
            <w14:solidFill>
              <w14:schemeClr w14:val="tx1"/>
            </w14:solidFill>
          </w14:textFill>
        </w:rPr>
        <w:t>服务期间（项目完成期限）</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 xml:space="preserve">委托服务期间自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月至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月止。</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五、付款方式</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六、 知识产权归属</w:t>
      </w:r>
    </w:p>
    <w:p>
      <w:pPr>
        <w:pStyle w:val="54"/>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七 、 保 密</w:t>
      </w:r>
    </w:p>
    <w:p>
      <w:pPr>
        <w:pStyle w:val="54"/>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八、 违约责任与赔偿损失</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乙方提供的服务不符合本合同规定的，甲方有权拒收，并且乙方须向甲方支付本合同总价 5%的违约金。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其它违约责任按</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十二、 其它</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本合同所有附件、招标文件、投标文件、中标通知书均为合同的有效组成部分，与本合同具有同等法律效力。</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在执行本合同的过程中，所有经双方签署确认的文件（包括会议纪要、补充协议、往来信函）即成为本合同的有效组成部分。</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如一方地址、电话、传真号码有变更，应在变更当日内书面通知对方，否则，应承担相应责任。</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十三、</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本合同在甲乙双方法人代表或其授权代表签字盖章后生效。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合同一式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份。</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本项目合同订立后，应提供</w:t>
      </w:r>
      <w:r>
        <w:rPr>
          <w:rFonts w:hint="eastAsia" w:ascii="宋体" w:hAnsi="宋体" w:eastAsia="宋体" w:cs="宋体"/>
          <w:color w:val="000000" w:themeColor="text1"/>
          <w:sz w:val="21"/>
          <w:szCs w:val="21"/>
          <w:highlight w:val="none"/>
          <w:lang w:val="en-US" w:eastAsia="zh-CN"/>
          <w14:textFill>
            <w14:solidFill>
              <w14:schemeClr w14:val="tx1"/>
            </w14:solidFill>
          </w14:textFill>
        </w:rPr>
        <w:t>一份</w:t>
      </w:r>
      <w:r>
        <w:rPr>
          <w:rFonts w:hint="eastAsia" w:ascii="宋体" w:hAnsi="宋体" w:eastAsia="宋体" w:cs="宋体"/>
          <w:color w:val="000000" w:themeColor="text1"/>
          <w:sz w:val="21"/>
          <w:szCs w:val="21"/>
          <w:highlight w:val="none"/>
          <w14:textFill>
            <w14:solidFill>
              <w14:schemeClr w14:val="tx1"/>
            </w14:solidFill>
          </w14:textFill>
        </w:rPr>
        <w:t>至</w:t>
      </w:r>
      <w:r>
        <w:rPr>
          <w:rFonts w:hint="eastAsia" w:ascii="宋体" w:hAnsi="宋体" w:cs="宋体"/>
          <w:color w:val="000000" w:themeColor="text1"/>
          <w:sz w:val="21"/>
          <w:szCs w:val="21"/>
          <w:highlight w:val="none"/>
          <w:u w:val="single"/>
          <w:lang w:eastAsia="zh-CN"/>
          <w14:textFill>
            <w14:solidFill>
              <w14:schemeClr w14:val="tx1"/>
            </w14:solidFill>
          </w14:textFill>
        </w:rPr>
        <w:t>广东业信招标有限公司</w:t>
      </w:r>
      <w:r>
        <w:rPr>
          <w:rFonts w:hint="eastAsia" w:ascii="宋体" w:hAnsi="宋体" w:eastAsia="宋体" w:cs="宋体"/>
          <w:color w:val="000000" w:themeColor="text1"/>
          <w:sz w:val="21"/>
          <w:szCs w:val="21"/>
          <w:highlight w:val="none"/>
          <w14:textFill>
            <w14:solidFill>
              <w14:schemeClr w14:val="tx1"/>
            </w14:solidFill>
          </w14:textFill>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 户 行：</w:t>
      </w:r>
    </w:p>
    <w:p>
      <w:pPr>
        <w:rPr>
          <w:color w:val="000000" w:themeColor="text1"/>
          <w:highlight w:val="none"/>
          <w14:textFill>
            <w14:solidFill>
              <w14:schemeClr w14:val="tx1"/>
            </w14:solidFill>
          </w14:textFill>
        </w:rPr>
      </w:pP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footerReference r:id="rId11" w:type="first"/>
          <w:footerReference r:id="rId10" w:type="default"/>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000000" w:themeColor="text1"/>
          <w:highlight w:val="none"/>
          <w14:textFill>
            <w14:solidFill>
              <w14:schemeClr w14:val="tx1"/>
            </w14:solidFill>
          </w14:textFill>
        </w:rPr>
      </w:pPr>
      <w:bookmarkStart w:id="1612" w:name="_Toc342296770"/>
      <w:bookmarkStart w:id="1613" w:name="_Toc333237687"/>
      <w:bookmarkStart w:id="1614" w:name="_Toc341348348"/>
      <w:bookmarkStart w:id="1615" w:name="_Toc339362310"/>
      <w:bookmarkStart w:id="1616" w:name="_Toc333237798"/>
      <w:bookmarkStart w:id="1617" w:name="_Toc331684048"/>
      <w:bookmarkStart w:id="1618" w:name="_Toc366072539"/>
      <w:bookmarkStart w:id="1619" w:name="_Toc349127636"/>
      <w:bookmarkStart w:id="1620" w:name="_Toc331512908"/>
      <w:bookmarkStart w:id="1621" w:name="_Toc350756460"/>
      <w:bookmarkStart w:id="1622" w:name="_Toc336681590"/>
      <w:bookmarkStart w:id="1623" w:name="_Toc332206718"/>
      <w:bookmarkStart w:id="1624" w:name="_Toc333238643"/>
      <w:bookmarkStart w:id="1625" w:name="_Toc339019899"/>
      <w:bookmarkStart w:id="1626" w:name="_Toc333935356"/>
      <w:bookmarkStart w:id="1627" w:name="_Toc342060384"/>
      <w:bookmarkStart w:id="1628" w:name="_Toc345513911"/>
      <w:bookmarkStart w:id="1629" w:name="_Toc17473"/>
      <w:bookmarkStart w:id="1630" w:name="_Toc340507452"/>
      <w:bookmarkStart w:id="1631" w:name="_Toc491658678"/>
      <w:bookmarkStart w:id="1632" w:name="_Toc365985188"/>
      <w:bookmarkStart w:id="1633" w:name="_Toc339441097"/>
      <w:bookmarkStart w:id="1634" w:name="_Toc340677080"/>
      <w:bookmarkStart w:id="1635" w:name="_Toc333935697"/>
      <w:bookmarkStart w:id="1636" w:name="_Toc330459995"/>
      <w:bookmarkStart w:id="1637" w:name="_Toc339020105"/>
      <w:bookmarkStart w:id="1638" w:name="_Toc340672879"/>
      <w:bookmarkStart w:id="1639" w:name="_Toc339020243"/>
      <w:bookmarkStart w:id="1640" w:name="_Toc339020025"/>
      <w:bookmarkStart w:id="1641" w:name="_Toc336681945"/>
      <w:bookmarkStart w:id="1642" w:name="_Toc332270356"/>
      <w:bookmarkStart w:id="1643" w:name="_Toc350438759"/>
      <w:bookmarkStart w:id="1644" w:name="_Toc365967082"/>
      <w:bookmarkStart w:id="1645" w:name="_Toc349143599"/>
      <w:bookmarkStart w:id="1646" w:name="_Toc337632368"/>
      <w:bookmarkStart w:id="1647" w:name="_Toc500861025"/>
      <w:r>
        <w:rPr>
          <w:rFonts w:hint="eastAsia"/>
          <w:color w:val="000000" w:themeColor="text1"/>
          <w:highlight w:val="none"/>
          <w14:textFill>
            <w14:solidFill>
              <w14:schemeClr w14:val="tx1"/>
            </w14:solidFill>
          </w14:textFill>
        </w:rPr>
        <w:t>第五部分</w:t>
      </w:r>
      <w:bookmarkStart w:id="1648" w:name="_Hlt97188172"/>
      <w:bookmarkEnd w:id="1648"/>
      <w:r>
        <w:rPr>
          <w:rFonts w:hint="eastAsia"/>
          <w:color w:val="000000" w:themeColor="text1"/>
          <w:highlight w:val="none"/>
          <w14:textFill>
            <w14:solidFill>
              <w14:schemeClr w14:val="tx1"/>
            </w14:solidFill>
          </w14:textFill>
        </w:rPr>
        <w:t>投标文件格式</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Start w:id="1649" w:name="_Hlt21938933"/>
      <w:bookmarkEnd w:id="1649"/>
    </w:p>
    <w:p>
      <w:pPr>
        <w:pStyle w:val="4"/>
        <w:numPr>
          <w:ilvl w:val="0"/>
          <w:numId w:val="0"/>
        </w:numPr>
        <w:rPr>
          <w:color w:val="000000" w:themeColor="text1"/>
          <w:sz w:val="24"/>
          <w:highlight w:val="none"/>
          <w14:textFill>
            <w14:solidFill>
              <w14:schemeClr w14:val="tx1"/>
            </w14:solidFill>
          </w14:textFill>
        </w:rPr>
      </w:pPr>
      <w:bookmarkStart w:id="1650" w:name="_Toc2903"/>
      <w:bookmarkStart w:id="1651" w:name="_Toc18699"/>
      <w:r>
        <w:rPr>
          <w:rFonts w:hint="eastAsia"/>
          <w:color w:val="000000" w:themeColor="text1"/>
          <w:sz w:val="24"/>
          <w:highlight w:val="none"/>
          <w14:textFill>
            <w14:solidFill>
              <w14:schemeClr w14:val="tx1"/>
            </w14:solidFill>
          </w14:textFill>
        </w:rPr>
        <w:t>资格审查封面格式</w:t>
      </w:r>
      <w:bookmarkEnd w:id="1650"/>
      <w:bookmarkEnd w:id="1651"/>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 xml:space="preserve">1、投标内容应当编有目录、页码，按页码排序并装订成册。  </w:t>
      </w:r>
    </w:p>
    <w:p>
      <w:pPr>
        <w:pStyle w:val="5"/>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（资格审查文件）</w:t>
      </w: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4"/>
        <w:numPr>
          <w:ilvl w:val="7"/>
          <w:numId w:val="6"/>
        </w:numPr>
        <w:tabs>
          <w:tab w:val="clear" w:pos="720"/>
        </w:tabs>
        <w:spacing w:before="240" w:after="240" w:line="360" w:lineRule="exact"/>
        <w:ind w:left="0" w:firstLine="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xml:space="preserve">  </w:t>
      </w:r>
      <w:bookmarkStart w:id="1652" w:name="_Toc1585"/>
      <w:bookmarkStart w:id="1653" w:name="_Toc31809"/>
      <w:r>
        <w:rPr>
          <w:rFonts w:hint="eastAsia"/>
          <w:color w:val="000000" w:themeColor="text1"/>
          <w:sz w:val="24"/>
          <w:highlight w:val="none"/>
          <w14:textFill>
            <w14:solidFill>
              <w14:schemeClr w14:val="tx1"/>
            </w14:solidFill>
          </w14:textFill>
        </w:rPr>
        <w:t>自查表</w:t>
      </w:r>
      <w:bookmarkEnd w:id="1652"/>
      <w:bookmarkEnd w:id="1653"/>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54" w:name="_Toc15898"/>
      <w:r>
        <w:rPr>
          <w:rFonts w:hint="eastAsia" w:ascii="宋体"/>
          <w:b/>
          <w:bCs w:val="0"/>
          <w:color w:val="000000" w:themeColor="text1"/>
          <w:szCs w:val="21"/>
          <w:highlight w:val="none"/>
          <w14:textFill>
            <w14:solidFill>
              <w14:schemeClr w14:val="tx1"/>
            </w14:solidFill>
          </w14:textFill>
        </w:rPr>
        <w:t xml:space="preserve"> </w:t>
      </w:r>
      <w:bookmarkStart w:id="1655" w:name="_Toc18818"/>
      <w:r>
        <w:rPr>
          <w:rFonts w:hint="eastAsia" w:ascii="宋体"/>
          <w:b/>
          <w:bCs w:val="0"/>
          <w:color w:val="000000" w:themeColor="text1"/>
          <w:szCs w:val="21"/>
          <w:highlight w:val="none"/>
          <w14:textFill>
            <w14:solidFill>
              <w14:schemeClr w14:val="tx1"/>
            </w14:solidFill>
          </w14:textFill>
        </w:rPr>
        <w:t>资格性自查表</w:t>
      </w:r>
      <w:bookmarkEnd w:id="1654"/>
      <w:bookmarkEnd w:id="1655"/>
    </w:p>
    <w:p>
      <w:pPr>
        <w:jc w:val="center"/>
        <w:rPr>
          <w:rFonts w:ascii="宋体" w:hAnsi="宋体"/>
          <w:b/>
          <w:bCs/>
          <w:color w:val="000000" w:themeColor="text1"/>
          <w:szCs w:val="21"/>
          <w:highlight w:val="none"/>
          <w14:textFill>
            <w14:solidFill>
              <w14:schemeClr w14:val="tx1"/>
            </w14:solidFill>
          </w14:textFill>
        </w:rPr>
      </w:pPr>
    </w:p>
    <w:tbl>
      <w:tblPr>
        <w:tblStyle w:val="46"/>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862"/>
        <w:gridCol w:w="2817"/>
        <w:gridCol w:w="1743"/>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74" w:type="dxa"/>
            <w:gridSpan w:val="2"/>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2817"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trPr>
        <w:tc>
          <w:tcPr>
            <w:tcW w:w="912" w:type="dxa"/>
            <w:vMerge w:val="restart"/>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w:t>
            </w:r>
          </w:p>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检查</w:t>
            </w:r>
          </w:p>
        </w:tc>
        <w:tc>
          <w:tcPr>
            <w:tcW w:w="1862" w:type="dxa"/>
            <w:vMerge w:val="restart"/>
            <w:vAlign w:val="center"/>
          </w:tcPr>
          <w:p>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投标人资格要求</w:t>
            </w:r>
          </w:p>
        </w:tc>
        <w:tc>
          <w:tcPr>
            <w:tcW w:w="2817"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投标人应具备《中华人民共和国政府采购法》第二十二条规定的条件</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textAlignment w:val="auto"/>
              <w:rPr>
                <w:rFonts w:ascii="宋体" w:hAnsi="宋体"/>
                <w:b/>
                <w:bCs/>
                <w:color w:val="000000" w:themeColor="text1"/>
                <w:szCs w:val="21"/>
                <w:highlight w:val="none"/>
                <w14:textFill>
                  <w14:solidFill>
                    <w14:schemeClr w14:val="tx1"/>
                  </w14:solidFill>
                </w14:textFill>
              </w:rPr>
            </w:pPr>
          </w:p>
        </w:tc>
        <w:tc>
          <w:tcPr>
            <w:tcW w:w="2484"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见投标文件</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要求：提交合法有效的营业执照复印件加盖公章、</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3" w:hRule="atLeast"/>
          <w:jc w:val="center"/>
        </w:trPr>
        <w:tc>
          <w:tcPr>
            <w:tcW w:w="912" w:type="dxa"/>
            <w:vMerge w:val="continue"/>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hint="eastAsia" w:ascii="宋体" w:hAnsi="宋体"/>
                <w:color w:val="000000" w:themeColor="text1"/>
                <w:szCs w:val="21"/>
                <w:highlight w:val="none"/>
                <w14:textFill>
                  <w14:solidFill>
                    <w14:schemeClr w14:val="tx1"/>
                  </w14:solidFill>
                </w14:textFill>
              </w:rPr>
            </w:pPr>
          </w:p>
        </w:tc>
        <w:tc>
          <w:tcPr>
            <w:tcW w:w="1862" w:type="dxa"/>
            <w:vMerge w:val="continue"/>
            <w:vAlign w:val="center"/>
          </w:tcPr>
          <w:p>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hint="eastAsia" w:ascii="宋体" w:hAnsi="宋体"/>
                <w:b w:val="0"/>
                <w:bCs w:val="0"/>
                <w:color w:val="000000" w:themeColor="text1"/>
                <w:szCs w:val="21"/>
                <w:highlight w:val="none"/>
                <w14:textFill>
                  <w14:solidFill>
                    <w14:schemeClr w14:val="tx1"/>
                  </w14:solidFill>
                </w14:textFill>
              </w:rPr>
            </w:pPr>
          </w:p>
        </w:tc>
        <w:tc>
          <w:tcPr>
            <w:tcW w:w="2817"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hint="eastAsia" w:ascii="宋体" w:hAnsi="宋体" w:eastAsia="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b w:val="0"/>
                <w:bCs w:val="0"/>
                <w:color w:val="000000" w:themeColor="text1"/>
                <w:szCs w:val="21"/>
                <w:highlight w:val="none"/>
                <w:lang w:val="en-US" w:eastAsia="zh-CN"/>
                <w14:textFill>
                  <w14:solidFill>
                    <w14:schemeClr w14:val="tx1"/>
                  </w14:solidFill>
                </w14:textFill>
              </w:rPr>
              <w:t>投标人应为在阳西县依法设立并取得营业执照的县级商业银行、农村商业银行等吸收公众存款的金融机构以及政策性银行；（提供《金融许可证》）</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textAlignment w:val="auto"/>
              <w:rPr>
                <w:rFonts w:ascii="宋体" w:hAnsi="宋体"/>
                <w:b/>
                <w:bCs/>
                <w:color w:val="000000" w:themeColor="text1"/>
                <w:szCs w:val="21"/>
                <w:highlight w:val="none"/>
                <w14:textFill>
                  <w14:solidFill>
                    <w14:schemeClr w14:val="tx1"/>
                  </w14:solidFill>
                </w14:textFill>
              </w:rPr>
            </w:pPr>
          </w:p>
        </w:tc>
        <w:tc>
          <w:tcPr>
            <w:tcW w:w="2484"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912" w:type="dxa"/>
            <w:vMerge w:val="continue"/>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color w:val="000000" w:themeColor="text1"/>
                <w:szCs w:val="21"/>
                <w:highlight w:val="none"/>
                <w14:textFill>
                  <w14:solidFill>
                    <w14:schemeClr w14:val="tx1"/>
                  </w14:solidFill>
                </w14:textFill>
              </w:rPr>
            </w:pPr>
          </w:p>
        </w:tc>
        <w:tc>
          <w:tcPr>
            <w:tcW w:w="1862" w:type="dxa"/>
            <w:vAlign w:val="center"/>
          </w:tcPr>
          <w:p>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lang w:val="en-US" w:eastAsia="zh-CN"/>
                <w14:textFill>
                  <w14:solidFill>
                    <w14:schemeClr w14:val="tx1"/>
                  </w14:solidFill>
                </w14:textFill>
              </w:rPr>
              <w:t>本项目不接受联合体投标，中标单位不得转分包项目</w:t>
            </w:r>
          </w:p>
        </w:tc>
        <w:tc>
          <w:tcPr>
            <w:tcW w:w="2817"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ascii="宋体" w:hAnsi="宋体"/>
                <w:b w:val="0"/>
                <w:bCs w:val="0"/>
                <w:color w:val="000000" w:themeColor="text1"/>
                <w:sz w:val="24"/>
                <w:szCs w:val="24"/>
                <w:highlight w:val="none"/>
                <w14:textFill>
                  <w14:solidFill>
                    <w14:schemeClr w14:val="tx1"/>
                  </w14:solidFill>
                </w14:textFill>
              </w:rPr>
            </w:pPr>
            <w:r>
              <w:rPr>
                <w:rFonts w:hint="eastAsia" w:ascii="宋体" w:hAnsi="宋体"/>
                <w:b w:val="0"/>
                <w:bCs w:val="0"/>
                <w:color w:val="000000" w:themeColor="text1"/>
                <w:sz w:val="21"/>
                <w:szCs w:val="21"/>
                <w:highlight w:val="none"/>
                <w14:textFill>
                  <w14:solidFill>
                    <w14:schemeClr w14:val="tx1"/>
                  </w14:solidFill>
                </w14:textFill>
              </w:rPr>
              <w:t>按招标文件要求</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107" w:leftChars="-51" w:firstLine="106"/>
              <w:textAlignment w:val="auto"/>
              <w:rPr>
                <w:rFonts w:ascii="宋体" w:hAnsi="宋体"/>
                <w:b/>
                <w:bCs/>
                <w:color w:val="000000" w:themeColor="text1"/>
                <w:szCs w:val="21"/>
                <w:highlight w:val="none"/>
                <w14:textFill>
                  <w14:solidFill>
                    <w14:schemeClr w14:val="tx1"/>
                  </w14:solidFill>
                </w14:textFill>
              </w:rPr>
            </w:pPr>
          </w:p>
        </w:tc>
        <w:tc>
          <w:tcPr>
            <w:tcW w:w="2484"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rPr>
          <w:rFonts w:hint="eastAsia" w:ascii="宋体" w:hAnsi="宋体"/>
          <w:color w:val="000000" w:themeColor="text1"/>
          <w:szCs w:val="21"/>
          <w:highlight w:val="none"/>
          <w14:textFill>
            <w14:solidFill>
              <w14:schemeClr w14:val="tx1"/>
            </w14:solidFill>
          </w14:textFill>
        </w:rPr>
      </w:pPr>
    </w:p>
    <w:p>
      <w:pPr>
        <w:tabs>
          <w:tab w:val="center" w:pos="4483"/>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rFonts w:hint="eastAsia"/>
          <w:color w:val="000000" w:themeColor="text1"/>
          <w:szCs w:val="21"/>
          <w:highlight w:val="none"/>
          <w14:textFill>
            <w14:solidFill>
              <w14:schemeClr w14:val="tx1"/>
            </w14:solidFill>
          </w14:textFill>
        </w:rPr>
      </w:pPr>
    </w:p>
    <w:p>
      <w:pPr>
        <w:adjustRightInd w:val="0"/>
        <w:snapToGrid w:val="0"/>
        <w:spacing w:line="300" w:lineRule="auto"/>
        <w:rPr>
          <w:rFonts w:hint="eastAsia"/>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rPr>
          <w:rFonts w:hint="eastAsia"/>
          <w:color w:val="000000" w:themeColor="text1"/>
          <w:highlight w:val="none"/>
          <w14:textFill>
            <w14:solidFill>
              <w14:schemeClr w14:val="tx1"/>
            </w14:solidFill>
          </w14:textFill>
        </w:rPr>
      </w:pPr>
      <w:bookmarkStart w:id="1656" w:name="_Toc21470"/>
      <w:r>
        <w:rPr>
          <w:rFonts w:hint="eastAsia"/>
          <w:color w:val="000000" w:themeColor="text1"/>
          <w:highlight w:val="none"/>
          <w14:textFill>
            <w14:solidFill>
              <w14:schemeClr w14:val="tx1"/>
            </w14:solidFill>
          </w14:textFill>
        </w:rPr>
        <w:br w:type="page"/>
      </w:r>
    </w:p>
    <w:p>
      <w:pPr>
        <w:pStyle w:val="4"/>
        <w:numPr>
          <w:ilvl w:val="0"/>
          <w:numId w:val="0"/>
        </w:numPr>
        <w:rPr>
          <w:color w:val="000000" w:themeColor="text1"/>
          <w:highlight w:val="none"/>
          <w14:textFill>
            <w14:solidFill>
              <w14:schemeClr w14:val="tx1"/>
            </w14:solidFill>
          </w14:textFill>
        </w:rPr>
      </w:pPr>
      <w:bookmarkStart w:id="1657" w:name="_Toc14181"/>
      <w:r>
        <w:rPr>
          <w:rFonts w:hint="eastAsia"/>
          <w:color w:val="000000" w:themeColor="text1"/>
          <w:highlight w:val="none"/>
          <w14:textFill>
            <w14:solidFill>
              <w14:schemeClr w14:val="tx1"/>
            </w14:solidFill>
          </w14:textFill>
        </w:rPr>
        <w:t>（一）资格审查文件要求提交的有效证明文件</w:t>
      </w:r>
      <w:bookmarkEnd w:id="1656"/>
      <w:bookmarkEnd w:id="1657"/>
    </w:p>
    <w:p>
      <w:pPr>
        <w:adjustRightInd w:val="0"/>
        <w:snapToGrid w:val="0"/>
        <w:spacing w:line="360" w:lineRule="auto"/>
        <w:jc w:val="left"/>
        <w:rPr>
          <w:rFonts w:ascii="宋体" w:hAnsi="宋体"/>
          <w:b/>
          <w:bCs/>
          <w:cap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pStyle w:val="5"/>
        <w:rPr>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提供招标文件要求的资格</w:t>
      </w:r>
      <w:r>
        <w:rPr>
          <w:rFonts w:hint="eastAsia" w:hAnsi="宋体"/>
          <w:color w:val="000000" w:themeColor="text1"/>
          <w:sz w:val="21"/>
          <w:szCs w:val="21"/>
          <w:highlight w:val="none"/>
          <w14:textFill>
            <w14:solidFill>
              <w14:schemeClr w14:val="tx1"/>
            </w14:solidFill>
          </w14:textFill>
        </w:rPr>
        <w:t>证明文件复印件加盖公章。</w:t>
      </w: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4"/>
        <w:numPr>
          <w:ilvl w:val="0"/>
          <w:numId w:val="0"/>
        </w:numPr>
        <w:rPr>
          <w:rFonts w:hAnsi="黑体"/>
          <w:color w:val="000000" w:themeColor="text1"/>
          <w:szCs w:val="21"/>
          <w:highlight w:val="none"/>
          <w14:textFill>
            <w14:solidFill>
              <w14:schemeClr w14:val="tx1"/>
            </w14:solidFill>
          </w14:textFill>
        </w:rPr>
      </w:pPr>
      <w:bookmarkStart w:id="1658" w:name="_Toc26194"/>
      <w:bookmarkStart w:id="1659" w:name="_Toc3050"/>
      <w:r>
        <w:rPr>
          <w:rFonts w:hint="eastAsia" w:hAnsi="黑体"/>
          <w:color w:val="000000" w:themeColor="text1"/>
          <w:szCs w:val="21"/>
          <w:highlight w:val="none"/>
          <w14:textFill>
            <w14:solidFill>
              <w14:schemeClr w14:val="tx1"/>
            </w14:solidFill>
          </w14:textFill>
        </w:rPr>
        <w:t>（二）无重大违法记录声明函</w:t>
      </w:r>
      <w:bookmarkEnd w:id="1658"/>
      <w:bookmarkEnd w:id="1659"/>
    </w:p>
    <w:p>
      <w:pPr>
        <w:pStyle w:val="5"/>
        <w:spacing w:line="360" w:lineRule="auto"/>
        <w:ind w:left="420" w:firstLine="0"/>
        <w:rPr>
          <w:color w:val="000000" w:themeColor="text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w:t>
      </w:r>
      <w:r>
        <w:rPr>
          <w:rFonts w:hint="eastAsia"/>
          <w:color w:val="000000" w:themeColor="text1"/>
          <w:szCs w:val="21"/>
          <w:highlight w:val="none"/>
          <w:lang w:eastAsia="zh-CN"/>
          <w14:textFill>
            <w14:solidFill>
              <w14:schemeClr w14:val="tx1"/>
            </w14:solidFill>
          </w14:textFill>
        </w:rPr>
        <w:t>广东业信招标有限公司</w:t>
      </w:r>
      <w:r>
        <w:rPr>
          <w:rFonts w:hint="eastAsia"/>
          <w:color w:val="000000" w:themeColor="text1"/>
          <w:szCs w:val="21"/>
          <w:highlight w:val="none"/>
          <w14:textFill>
            <w14:solidFill>
              <w14:schemeClr w14:val="tx1"/>
            </w14:solidFill>
          </w14:textFill>
        </w:rPr>
        <w:t>：</w:t>
      </w:r>
    </w:p>
    <w:p>
      <w:pPr>
        <w:spacing w:line="360" w:lineRule="auto"/>
        <w:rPr>
          <w:rFonts w:ascii="宋体" w:hAnsi="宋体"/>
          <w:bCs/>
          <w:color w:val="000000" w:themeColor="text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针对贵</w:t>
      </w:r>
      <w:r>
        <w:rPr>
          <w:rFonts w:hint="eastAsia" w:ascii="宋体" w:hAnsi="宋体"/>
          <w:color w:val="000000" w:themeColor="text1"/>
          <w:szCs w:val="21"/>
          <w:highlight w:val="none"/>
          <w14:textFill>
            <w14:solidFill>
              <w14:schemeClr w14:val="tx1"/>
            </w14:solidFill>
          </w14:textFill>
        </w:rPr>
        <w:t>方</w:t>
      </w:r>
      <w:r>
        <w:rPr>
          <w:rFonts w:hint="eastAsia"/>
          <w:color w:val="000000" w:themeColor="text1"/>
          <w:szCs w:val="21"/>
          <w:highlight w:val="none"/>
          <w14:textFill>
            <w14:solidFill>
              <w14:schemeClr w14:val="tx1"/>
            </w14:solidFill>
          </w14:textFill>
        </w:rPr>
        <w:t>组织的（项目名称：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特此声明。</w:t>
      </w: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投标人名称（公章）：</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4"/>
        <w:numPr>
          <w:ilvl w:val="7"/>
          <w:numId w:val="6"/>
        </w:numPr>
        <w:tabs>
          <w:tab w:val="clear" w:pos="720"/>
        </w:tabs>
        <w:ind w:left="720"/>
        <w:rPr>
          <w:color w:val="000000" w:themeColor="text1"/>
          <w:highlight w:val="none"/>
          <w14:textFill>
            <w14:solidFill>
              <w14:schemeClr w14:val="tx1"/>
            </w14:solidFill>
          </w14:textFill>
        </w:rPr>
      </w:pPr>
      <w:bookmarkStart w:id="1660" w:name="_Toc5256"/>
      <w:bookmarkStart w:id="1661" w:name="_Toc8895"/>
      <w:r>
        <w:rPr>
          <w:rFonts w:hint="eastAsia"/>
          <w:color w:val="000000" w:themeColor="text1"/>
          <w:highlight w:val="none"/>
          <w14:textFill>
            <w14:solidFill>
              <w14:schemeClr w14:val="tx1"/>
            </w14:solidFill>
          </w14:textFill>
        </w:rPr>
        <w:t>投标文件商务及技术部分</w:t>
      </w:r>
      <w:bookmarkEnd w:id="1660"/>
      <w:bookmarkEnd w:id="1661"/>
    </w:p>
    <w:p>
      <w:pPr>
        <w:pStyle w:val="4"/>
        <w:numPr>
          <w:ilvl w:val="0"/>
          <w:numId w:val="0"/>
        </w:numPr>
        <w:rPr>
          <w:color w:val="000000" w:themeColor="text1"/>
          <w:sz w:val="24"/>
          <w:highlight w:val="none"/>
          <w14:textFill>
            <w14:solidFill>
              <w14:schemeClr w14:val="tx1"/>
            </w14:solidFill>
          </w14:textFill>
        </w:rPr>
      </w:pPr>
      <w:bookmarkStart w:id="1662" w:name="_Toc5191"/>
      <w:r>
        <w:rPr>
          <w:rFonts w:hint="eastAsia"/>
          <w:color w:val="000000" w:themeColor="text1"/>
          <w:sz w:val="24"/>
          <w:highlight w:val="none"/>
          <w14:textFill>
            <w14:solidFill>
              <w14:schemeClr w14:val="tx1"/>
            </w14:solidFill>
          </w14:textFill>
        </w:rPr>
        <w:t>商务及技术封面格式</w:t>
      </w:r>
      <w:bookmarkEnd w:id="1662"/>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1</w:t>
      </w:r>
      <w:r>
        <w:rPr>
          <w:rFonts w:hint="eastAsia" w:hAnsi="宋体"/>
          <w:bCs/>
          <w:color w:val="000000" w:themeColor="text1"/>
          <w:sz w:val="21"/>
          <w:highlight w:val="none"/>
          <w14:textFill>
            <w14:solidFill>
              <w14:schemeClr w14:val="tx1"/>
            </w14:solidFill>
          </w14:textFill>
        </w:rPr>
        <w:t xml:space="preserve">、投标内容应当编有目录、页码，按页码排序并装订成册。   </w:t>
      </w:r>
    </w:p>
    <w:p>
      <w:pPr>
        <w:pStyle w:val="5"/>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ind w:firstLine="0"/>
        <w:jc w:val="both"/>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（商务及技术文件）</w:t>
      </w: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63" w:name="_Toc1033"/>
      <w:r>
        <w:rPr>
          <w:rFonts w:hint="eastAsia" w:ascii="宋体"/>
          <w:b/>
          <w:bCs w:val="0"/>
          <w:color w:val="000000" w:themeColor="text1"/>
          <w:szCs w:val="21"/>
          <w:highlight w:val="none"/>
          <w14:textFill>
            <w14:solidFill>
              <w14:schemeClr w14:val="tx1"/>
            </w14:solidFill>
          </w14:textFill>
        </w:rPr>
        <w:t>符合性自查表</w:t>
      </w:r>
      <w:bookmarkEnd w:id="1663"/>
    </w:p>
    <w:p>
      <w:pPr>
        <w:jc w:val="center"/>
        <w:rPr>
          <w:rFonts w:ascii="宋体" w:hAnsi="宋体"/>
          <w:b/>
          <w:bCs/>
          <w:color w:val="000000" w:themeColor="text1"/>
          <w:szCs w:val="21"/>
          <w:highlight w:val="none"/>
          <w14:textFill>
            <w14:solidFill>
              <w14:schemeClr w14:val="tx1"/>
            </w14:solidFill>
          </w14:textFill>
        </w:rPr>
      </w:pPr>
    </w:p>
    <w:tbl>
      <w:tblPr>
        <w:tblStyle w:val="46"/>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1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1991"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300" w:type="dxa"/>
            <w:vAlign w:val="center"/>
          </w:tcPr>
          <w:p>
            <w:pPr>
              <w:tabs>
                <w:tab w:val="left" w:pos="146"/>
              </w:tabs>
              <w:ind w:left="146" w:leftChars="0"/>
              <w:rPr>
                <w:rFonts w:hint="default"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须满足要</w:t>
            </w:r>
            <w:r>
              <w:rPr>
                <w:rFonts w:hint="eastAsia" w:ascii="宋体" w:hAnsi="宋体"/>
                <w:b w:val="0"/>
                <w:bCs w:val="0"/>
                <w:color w:val="000000" w:themeColor="text1"/>
                <w:szCs w:val="21"/>
                <w:highlight w:val="none"/>
                <w14:textFill>
                  <w14:solidFill>
                    <w14:schemeClr w14:val="tx1"/>
                  </w14:solidFill>
                </w14:textFill>
              </w:rPr>
              <w:t>求</w:t>
            </w:r>
            <w:r>
              <w:rPr>
                <w:rFonts w:hint="eastAsia" w:ascii="宋体" w:hAnsi="宋体"/>
                <w:b w:val="0"/>
                <w:bCs w:val="0"/>
                <w:color w:val="000000" w:themeColor="text1"/>
                <w:szCs w:val="21"/>
                <w:highlight w:val="none"/>
                <w:lang w:val="en-US" w:eastAsia="zh-CN"/>
                <w14:textFill>
                  <w14:solidFill>
                    <w14:schemeClr w14:val="tx1"/>
                  </w14:solidFill>
                </w14:textFill>
              </w:rPr>
              <w:t>带</w:t>
            </w:r>
            <w:r>
              <w:rPr>
                <w:rFonts w:hint="eastAsia"/>
                <w:b w:val="0"/>
                <w:bCs w:val="0"/>
                <w:color w:val="000000" w:themeColor="text1"/>
                <w:sz w:val="21"/>
                <w:szCs w:val="21"/>
                <w:highlight w:val="none"/>
                <w14:textFill>
                  <w14:solidFill>
                    <w14:schemeClr w14:val="tx1"/>
                  </w14:solidFill>
                </w14:textFill>
              </w:rPr>
              <w:t>“★”</w:t>
            </w:r>
            <w:r>
              <w:rPr>
                <w:rFonts w:hint="eastAsia"/>
                <w:b w:val="0"/>
                <w:bCs w:val="0"/>
                <w:color w:val="000000" w:themeColor="text1"/>
                <w:sz w:val="21"/>
                <w:szCs w:val="21"/>
                <w:highlight w:val="none"/>
                <w:lang w:val="en-US" w:eastAsia="zh-CN"/>
                <w14:textFill>
                  <w14:solidFill>
                    <w14:schemeClr w14:val="tx1"/>
                  </w14:solidFill>
                </w14:textFill>
              </w:rPr>
              <w:t>号要求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374" w:type="dxa"/>
            <w:vMerge w:val="continue"/>
            <w:vAlign w:val="center"/>
          </w:tcPr>
          <w:p>
            <w:pPr>
              <w:tabs>
                <w:tab w:val="left" w:pos="480"/>
              </w:tabs>
              <w:ind w:left="480" w:hanging="480"/>
              <w:jc w:val="center"/>
              <w:rPr>
                <w:rFonts w:hint="eastAsia" w:ascii="宋体" w:hAnsi="宋体"/>
                <w:color w:val="000000" w:themeColor="text1"/>
                <w:szCs w:val="21"/>
                <w:highlight w:val="none"/>
                <w14:textFill>
                  <w14:solidFill>
                    <w14:schemeClr w14:val="tx1"/>
                  </w14:solidFill>
                </w14:textFill>
              </w:rPr>
            </w:pP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服务期须满足要求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975" w:type="dxa"/>
            <w:vAlign w:val="center"/>
          </w:tcPr>
          <w:p>
            <w:pPr>
              <w:pStyle w:val="9"/>
              <w:rPr>
                <w:rFonts w:ascii="宋体" w:hAnsi="宋体"/>
                <w:bCs/>
                <w:color w:val="000000" w:themeColor="text1"/>
                <w:szCs w:val="21"/>
                <w:highlight w:val="none"/>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975" w:type="dxa"/>
            <w:vAlign w:val="center"/>
          </w:tcPr>
          <w:p>
            <w:pPr>
              <w:tabs>
                <w:tab w:val="left" w:pos="480"/>
              </w:tabs>
              <w:ind w:left="480" w:hanging="480"/>
              <w:rPr>
                <w:color w:val="000000" w:themeColor="text1"/>
                <w:highlight w:val="none"/>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rPr>
          <w:rFonts w:hint="eastAsia" w:ascii="宋体"/>
          <w:b/>
          <w:color w:val="000000" w:themeColor="text1"/>
          <w:szCs w:val="21"/>
          <w:highlight w:val="none"/>
          <w14:textFill>
            <w14:solidFill>
              <w14:schemeClr w14:val="tx1"/>
            </w14:solidFill>
          </w14:textFill>
        </w:rPr>
      </w:pPr>
      <w:bookmarkStart w:id="1664" w:name="_Toc26704"/>
      <w:r>
        <w:rPr>
          <w:rFonts w:hint="eastAsia" w:ascii="宋体"/>
          <w:b/>
          <w:color w:val="000000" w:themeColor="text1"/>
          <w:szCs w:val="21"/>
          <w:highlight w:val="none"/>
          <w14:textFill>
            <w14:solidFill>
              <w14:schemeClr w14:val="tx1"/>
            </w14:solidFill>
          </w14:textFill>
        </w:rPr>
        <w:br w:type="page"/>
      </w:r>
    </w:p>
    <w:p>
      <w:pPr>
        <w:pStyle w:val="4"/>
        <w:keepLines w:val="0"/>
        <w:numPr>
          <w:ilvl w:val="0"/>
          <w:numId w:val="0"/>
        </w:numPr>
        <w:tabs>
          <w:tab w:val="left" w:pos="4320"/>
        </w:tabs>
        <w:spacing w:before="240" w:after="60" w:line="480" w:lineRule="exact"/>
        <w:rPr>
          <w:rFonts w:ascii="宋体"/>
          <w:b/>
          <w:color w:val="000000" w:themeColor="text1"/>
          <w:szCs w:val="21"/>
          <w:highlight w:val="none"/>
          <w14:textFill>
            <w14:solidFill>
              <w14:schemeClr w14:val="tx1"/>
            </w14:solidFill>
          </w14:textFill>
        </w:rPr>
      </w:pPr>
      <w:bookmarkStart w:id="1665" w:name="_Toc29794"/>
      <w:r>
        <w:rPr>
          <w:rFonts w:hint="eastAsia" w:ascii="宋体"/>
          <w:b/>
          <w:color w:val="000000" w:themeColor="text1"/>
          <w:szCs w:val="21"/>
          <w:highlight w:val="none"/>
          <w14:textFill>
            <w14:solidFill>
              <w14:schemeClr w14:val="tx1"/>
            </w14:solidFill>
          </w14:textFill>
        </w:rPr>
        <w:t>评审项目投标资料表</w:t>
      </w:r>
      <w:bookmarkEnd w:id="1664"/>
      <w:bookmarkEnd w:id="1665"/>
    </w:p>
    <w:p>
      <w:pPr>
        <w:jc w:val="center"/>
        <w:rPr>
          <w:rFonts w:ascii="宋体" w:hAnsi="宋体" w:eastAsia="黑体"/>
          <w:b/>
          <w:color w:val="000000" w:themeColor="text1"/>
          <w:kern w:val="44"/>
          <w:szCs w:val="21"/>
          <w:highlight w:val="none"/>
          <w14:textFill>
            <w14:solidFill>
              <w14:schemeClr w14:val="tx1"/>
            </w14:solidFill>
          </w14:textFill>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6"/>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评审分项</w:t>
            </w:r>
          </w:p>
        </w:tc>
        <w:tc>
          <w:tcPr>
            <w:tcW w:w="5202" w:type="dxa"/>
            <w:vAlign w:val="center"/>
          </w:tcPr>
          <w:p>
            <w:pPr>
              <w:pStyle w:val="306"/>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评审细则</w:t>
            </w:r>
          </w:p>
        </w:tc>
        <w:tc>
          <w:tcPr>
            <w:tcW w:w="2300" w:type="dxa"/>
            <w:vAlign w:val="center"/>
          </w:tcPr>
          <w:p>
            <w:pPr>
              <w:pStyle w:val="306"/>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0"/>
              <w:jc w:val="both"/>
              <w:rPr>
                <w:rFonts w:ascii="宋体" w:hAnsi="宋体" w:eastAsia="宋体" w:cs="Times New Roman"/>
                <w:color w:val="000000" w:themeColor="text1"/>
                <w:sz w:val="2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2"/>
              <w:ind w:left="420" w:firstLine="420"/>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bl>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bookmarkEnd w:id="1332"/>
    <w:bookmarkEnd w:id="1333"/>
    <w:bookmarkEnd w:id="1334"/>
    <w:bookmarkEnd w:id="1335"/>
    <w:bookmarkEnd w:id="1336"/>
    <w:p>
      <w:pPr>
        <w:tabs>
          <w:tab w:val="center" w:pos="4483"/>
        </w:tabs>
        <w:rPr>
          <w:rFonts w:ascii="宋体" w:hAnsi="宋体"/>
          <w:bCs/>
          <w:color w:val="000000" w:themeColor="text1"/>
          <w:szCs w:val="21"/>
          <w:highlight w:val="none"/>
          <w14:textFill>
            <w14:solidFill>
              <w14:schemeClr w14:val="tx1"/>
            </w14:solidFill>
          </w14:textFill>
        </w:rPr>
      </w:pPr>
      <w:bookmarkStart w:id="1666" w:name="_Toc6727971"/>
      <w:bookmarkStart w:id="1667" w:name="_Toc6397150"/>
      <w:bookmarkStart w:id="1668" w:name="_Toc467987851"/>
      <w:bookmarkStart w:id="1669" w:name="_Toc500861026"/>
      <w:bookmarkStart w:id="1670" w:name="_Toc458262638"/>
      <w:bookmarkStart w:id="1671" w:name="_Toc479991610"/>
      <w:bookmarkStart w:id="1672" w:name="_Toc480020285"/>
      <w:bookmarkStart w:id="1673" w:name="_Toc454701405"/>
      <w:bookmarkStart w:id="1674" w:name="_Toc468157564"/>
      <w:bookmarkStart w:id="1675" w:name="_Toc480021081"/>
      <w:bookmarkStart w:id="1676" w:name="_Toc480010736"/>
      <w:bookmarkStart w:id="1677" w:name="_Toc467236768"/>
      <w:bookmarkStart w:id="1678" w:name="_Toc468606057"/>
      <w:bookmarkStart w:id="1679" w:name="_Toc491658679"/>
    </w:p>
    <w:p>
      <w:pPr>
        <w:pStyle w:val="4"/>
        <w:numPr>
          <w:ilvl w:val="0"/>
          <w:numId w:val="0"/>
        </w:numPr>
        <w:rPr>
          <w:color w:val="000000" w:themeColor="text1"/>
          <w:highlight w:val="none"/>
          <w14:textFill>
            <w14:solidFill>
              <w14:schemeClr w14:val="tx1"/>
            </w14:solidFill>
          </w14:textFill>
        </w:rPr>
      </w:pPr>
      <w:bookmarkStart w:id="1680" w:name="_Toc13455"/>
      <w:bookmarkStart w:id="1681" w:name="_Toc32365"/>
      <w:r>
        <w:rPr>
          <w:rFonts w:hint="eastAsia"/>
          <w:color w:val="000000" w:themeColor="text1"/>
          <w:highlight w:val="none"/>
          <w14:textFill>
            <w14:solidFill>
              <w14:schemeClr w14:val="tx1"/>
            </w14:solidFill>
          </w14:textFill>
        </w:rPr>
        <w:t>（一）法定代表人（负责人）证明书</w:t>
      </w:r>
      <w:bookmarkEnd w:id="1680"/>
      <w:bookmarkEnd w:id="1681"/>
    </w:p>
    <w:p>
      <w:pPr>
        <w:pStyle w:val="5"/>
        <w:rPr>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投标人名称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，为法定代表人（负责人），特此证明。</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480" w:lineRule="exact"/>
        <w:ind w:firstLine="420" w:firstLineChars="200"/>
        <w:rPr>
          <w:rFonts w:ascii="宋体" w:hAnsi="宋体"/>
          <w:color w:val="000000" w:themeColor="text1"/>
          <w:highlight w:val="none"/>
          <w14:textFill>
            <w14:solidFill>
              <w14:schemeClr w14:val="tx1"/>
            </w14:solidFill>
          </w14:textFill>
        </w:rPr>
      </w:pP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spacing w:line="480" w:lineRule="exact"/>
        <w:ind w:firstLine="420" w:firstLineChars="200"/>
        <w:rPr>
          <w:rFonts w:ascii="宋体" w:hAnsi="宋体"/>
          <w:color w:val="000000" w:themeColor="text1"/>
          <w:highlight w:val="none"/>
          <w14:textFill>
            <w14:solidFill>
              <w14:schemeClr w14:val="tx1"/>
            </w14:solidFill>
          </w14:textFill>
        </w:rPr>
      </w:pPr>
    </w:p>
    <w:p>
      <w:pPr>
        <w:pStyle w:val="5"/>
        <w:rPr>
          <w:rFonts w:hAnsi="宋体"/>
          <w:color w:val="000000" w:themeColor="text1"/>
          <w:sz w:val="21"/>
          <w:highlight w:val="none"/>
          <w14:textFill>
            <w14:solidFill>
              <w14:schemeClr w14:val="tx1"/>
            </w14:solidFill>
          </w14:textFill>
        </w:rPr>
      </w:pPr>
    </w:p>
    <w:p>
      <w:pPr>
        <w:pStyle w:val="5"/>
        <w:rPr>
          <w:color w:val="000000" w:themeColor="text1"/>
          <w:highlight w:val="none"/>
          <w14:textFill>
            <w14:solidFill>
              <w14:schemeClr w14:val="tx1"/>
            </w14:solidFill>
          </w14:textFill>
        </w:rPr>
        <w:sectPr>
          <w:footerReference r:id="rId13" w:type="first"/>
          <w:footerReference r:id="rId12" w:type="default"/>
          <w:pgSz w:w="11906" w:h="16838"/>
          <w:pgMar w:top="1474" w:right="1418" w:bottom="1474" w:left="1418" w:header="851" w:footer="851" w:gutter="0"/>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4"/>
        <w:numPr>
          <w:ilvl w:val="0"/>
          <w:numId w:val="0"/>
        </w:numPr>
        <w:rPr>
          <w:color w:val="000000" w:themeColor="text1"/>
          <w:highlight w:val="none"/>
          <w14:textFill>
            <w14:solidFill>
              <w14:schemeClr w14:val="tx1"/>
            </w14:solidFill>
          </w14:textFill>
        </w:rPr>
      </w:pPr>
      <w:bookmarkStart w:id="1682" w:name="_Toc27194"/>
      <w:bookmarkStart w:id="1683" w:name="_Toc16696"/>
      <w:r>
        <w:rPr>
          <w:rFonts w:hint="eastAsia"/>
          <w:color w:val="000000" w:themeColor="text1"/>
          <w:highlight w:val="none"/>
          <w14:textFill>
            <w14:solidFill>
              <w14:schemeClr w14:val="tx1"/>
            </w14:solidFill>
          </w14:textFill>
        </w:rPr>
        <w:t>（二）法定代表人（负责人）授权书</w:t>
      </w:r>
      <w:bookmarkEnd w:id="1682"/>
      <w:bookmarkEnd w:id="1683"/>
    </w:p>
    <w:p>
      <w:pPr>
        <w:spacing w:line="360" w:lineRule="auto"/>
        <w:ind w:firstLine="420" w:firstLineChars="200"/>
        <w:rPr>
          <w:rFonts w:ascii="宋体" w:hAnsi="宋体"/>
          <w:bCs/>
          <w:color w:val="000000" w:themeColor="text1"/>
          <w:kern w:val="0"/>
          <w:highlight w:val="none"/>
          <w14:textFill>
            <w14:solidFill>
              <w14:schemeClr w14:val="tx1"/>
            </w14:solidFill>
          </w14:textFill>
        </w:rPr>
      </w:pPr>
    </w:p>
    <w:p>
      <w:pPr>
        <w:spacing w:line="360" w:lineRule="auto"/>
        <w:ind w:firstLine="420" w:firstLineChars="200"/>
        <w:rPr>
          <w:color w:val="000000" w:themeColor="text1"/>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（单位法定代表人（负责人）姓名）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的法定代表人（负责人），现授权委托</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w:t>
      </w:r>
      <w:r>
        <w:rPr>
          <w:rFonts w:hint="eastAsia" w:ascii="宋体" w:hAnsi="宋体"/>
          <w:bCs/>
          <w:color w:val="000000" w:themeColor="text1"/>
          <w:kern w:val="0"/>
          <w:highlight w:val="none"/>
          <w:lang w:eastAsia="zh-CN"/>
          <w14:textFill>
            <w14:solidFill>
              <w14:schemeClr w14:val="tx1"/>
            </w14:solidFill>
          </w14:textFill>
        </w:rPr>
        <w:t>广东业信招标有限公司</w:t>
      </w:r>
      <w:r>
        <w:rPr>
          <w:rFonts w:hint="eastAsia" w:ascii="宋体" w:hAnsi="宋体"/>
          <w:bCs/>
          <w:color w:val="000000" w:themeColor="text1"/>
          <w:kern w:val="0"/>
          <w:highlight w:val="none"/>
          <w14:textFill>
            <w14:solidFill>
              <w14:schemeClr w14:val="tx1"/>
            </w14:solidFill>
          </w14:textFill>
        </w:rPr>
        <w:t>组织的</w:t>
      </w:r>
      <w:r>
        <w:rPr>
          <w:rFonts w:hint="eastAsia"/>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w:t>
      </w:r>
      <w:r>
        <w:rPr>
          <w:rFonts w:hint="eastAsia" w:ascii="宋体" w:hAnsi="宋体"/>
          <w:bCs/>
          <w:color w:val="000000" w:themeColor="text1"/>
          <w:kern w:val="0"/>
          <w:highlight w:val="none"/>
          <w:u w:val="single"/>
          <w14:textFill>
            <w14:solidFill>
              <w14:schemeClr w14:val="tx1"/>
            </w14:solidFill>
          </w14:textFill>
        </w:rPr>
        <w:t xml:space="preserve">   </w:t>
      </w:r>
      <w:r>
        <w:rPr>
          <w:rFonts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性别：</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年龄：</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职务：</w:t>
      </w:r>
      <w:r>
        <w:rPr>
          <w:rFonts w:hint="eastAsia" w:ascii="宋体" w:hAnsi="宋体"/>
          <w:bCs/>
          <w:color w:val="000000" w:themeColor="text1"/>
          <w:kern w:val="0"/>
          <w:highlight w:val="none"/>
          <w:u w:val="single"/>
          <w14:textFill>
            <w14:solidFill>
              <w14:schemeClr w14:val="tx1"/>
            </w14:solidFill>
          </w14:textFill>
        </w:rPr>
        <w:t xml:space="preserve">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投标人：</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法定代表人（负责人）：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rPr>
          <w:color w:val="000000" w:themeColor="text1"/>
          <w:highlight w:val="none"/>
          <w14:textFill>
            <w14:solidFill>
              <w14:schemeClr w14:val="tx1"/>
            </w14:solidFill>
          </w14:textFill>
        </w:rPr>
      </w:pPr>
      <w:bookmarkStart w:id="1684" w:name="_Toc333237699"/>
      <w:bookmarkStart w:id="1685" w:name="_Toc336681601"/>
      <w:bookmarkStart w:id="1686" w:name="_Toc365967093"/>
      <w:bookmarkStart w:id="1687" w:name="_Toc333237810"/>
      <w:bookmarkStart w:id="1688" w:name="_Toc366072550"/>
      <w:bookmarkStart w:id="1689" w:name="_Toc340677091"/>
      <w:bookmarkStart w:id="1690" w:name="_Toc339441108"/>
      <w:bookmarkStart w:id="1691" w:name="_Toc342398151"/>
      <w:bookmarkStart w:id="1692" w:name="_Toc342296782"/>
      <w:bookmarkStart w:id="1693" w:name="_Toc343248439"/>
      <w:bookmarkStart w:id="1694" w:name="_Toc341348361"/>
      <w:bookmarkStart w:id="1695" w:name="_Toc350438770"/>
      <w:bookmarkStart w:id="1696" w:name="_Toc339362321"/>
      <w:bookmarkStart w:id="1697" w:name="_Toc339020254"/>
      <w:bookmarkStart w:id="1698" w:name="_Toc16259"/>
      <w:bookmarkStart w:id="1699" w:name="_Toc342060396"/>
      <w:bookmarkStart w:id="1700" w:name="_Toc333935708"/>
      <w:bookmarkStart w:id="1701" w:name="_Toc350756471"/>
      <w:bookmarkStart w:id="1702" w:name="_Toc340672890"/>
      <w:bookmarkStart w:id="1703" w:name="_Toc336681956"/>
      <w:bookmarkStart w:id="1704" w:name="_Toc343612941"/>
      <w:bookmarkStart w:id="1705" w:name="_Toc333238655"/>
      <w:bookmarkStart w:id="1706" w:name="_Toc339020116"/>
      <w:bookmarkStart w:id="1707" w:name="_Toc333935367"/>
      <w:bookmarkStart w:id="1708" w:name="_Toc345312618"/>
      <w:bookmarkStart w:id="1709" w:name="_Toc332270368"/>
      <w:bookmarkStart w:id="1710" w:name="_Toc332206730"/>
      <w:bookmarkStart w:id="1711" w:name="_Toc365985199"/>
      <w:bookmarkStart w:id="1712" w:name="_Toc339020036"/>
      <w:bookmarkStart w:id="1713" w:name="_Toc337632379"/>
      <w:bookmarkStart w:id="1714" w:name="_Toc340507463"/>
      <w:bookmarkStart w:id="1715" w:name="_Toc343247121"/>
      <w:bookmarkStart w:id="1716" w:name="_Toc331512922"/>
      <w:bookmarkStart w:id="1717" w:name="_Toc330460007"/>
      <w:bookmarkStart w:id="1718" w:name="_Toc342312464"/>
      <w:bookmarkStart w:id="1719" w:name="_Toc331684063"/>
      <w:bookmarkStart w:id="1720" w:name="_Toc339019910"/>
      <w:r>
        <w:rPr>
          <w:rFonts w:hint="eastAsia"/>
          <w:color w:val="000000" w:themeColor="text1"/>
          <w:highlight w:val="none"/>
          <w14:textFill>
            <w14:solidFill>
              <w14:schemeClr w14:val="tx1"/>
            </w14:solidFill>
          </w14:textFill>
        </w:rPr>
        <w:t>附件一：投标</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r>
        <w:rPr>
          <w:rFonts w:hint="eastAsia"/>
          <w:color w:val="000000" w:themeColor="text1"/>
          <w:highlight w:val="none"/>
          <w14:textFill>
            <w14:solidFill>
              <w14:schemeClr w14:val="tx1"/>
            </w14:solidFill>
          </w14:textFill>
        </w:rPr>
        <w:t>函</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pPr>
        <w:widowControl/>
        <w:spacing w:line="400" w:lineRule="exact"/>
        <w:jc w:val="left"/>
        <w:rPr>
          <w:rFonts w:ascii="宋体" w:hAnsi="宋体" w:cs="宋体"/>
          <w:b/>
          <w:color w:val="000000" w:themeColor="text1"/>
          <w:kern w:val="0"/>
          <w:sz w:val="24"/>
          <w:highlight w:val="none"/>
          <w:u w:val="single"/>
          <w14:textFill>
            <w14:solidFill>
              <w14:schemeClr w14:val="tx1"/>
            </w14:solidFill>
          </w14:textFill>
        </w:rPr>
      </w:pPr>
      <w:r>
        <w:rPr>
          <w:rFonts w:ascii="宋体" w:hAnsi="宋体"/>
          <w:b/>
          <w:bCs/>
          <w:color w:val="000000" w:themeColor="text1"/>
          <w:highlight w:val="none"/>
          <w14:textFill>
            <w14:solidFill>
              <w14:schemeClr w14:val="tx1"/>
            </w14:solidFill>
          </w14:textFill>
        </w:rPr>
        <w:t>致</w:t>
      </w:r>
      <w:r>
        <w:rPr>
          <w:rFonts w:ascii="宋体" w:hAnsi="宋体"/>
          <w:b/>
          <w:bCs/>
          <w:color w:val="000000" w:themeColor="text1"/>
          <w:highlight w:val="none"/>
          <w:u w:val="single"/>
          <w14:textFill>
            <w14:solidFill>
              <w14:schemeClr w14:val="tx1"/>
            </w14:solidFill>
          </w14:textFill>
        </w:rPr>
        <w:t>（采购人</w:t>
      </w:r>
      <w:r>
        <w:rPr>
          <w:rFonts w:hint="eastAsia" w:ascii="宋体" w:hAnsi="宋体"/>
          <w:b/>
          <w:bCs/>
          <w:color w:val="000000" w:themeColor="text1"/>
          <w:highlight w:val="none"/>
          <w:u w:val="single"/>
          <w14:textFill>
            <w14:solidFill>
              <w14:schemeClr w14:val="tx1"/>
            </w14:solidFill>
          </w14:textFill>
        </w:rPr>
        <w:t>名称</w:t>
      </w:r>
      <w:r>
        <w:rPr>
          <w:rFonts w:ascii="宋体" w:hAnsi="宋体"/>
          <w:b/>
          <w:bCs/>
          <w:color w:val="000000" w:themeColor="text1"/>
          <w:highlight w:val="none"/>
          <w:u w:val="single"/>
          <w14:textFill>
            <w14:solidFill>
              <w14:schemeClr w14:val="tx1"/>
            </w14:solidFill>
          </w14:textFill>
        </w:rPr>
        <w:t>）           </w:t>
      </w:r>
      <w:r>
        <w:rPr>
          <w:rFonts w:ascii="宋体" w:hAnsi="宋体" w:cs="宋体"/>
          <w:b/>
          <w:color w:val="000000" w:themeColor="text1"/>
          <w:kern w:val="0"/>
          <w:sz w:val="24"/>
          <w:highlight w:val="none"/>
          <w14:textFill>
            <w14:solidFill>
              <w14:schemeClr w14:val="tx1"/>
            </w14:solidFill>
          </w14:textFill>
        </w:rPr>
        <w:t xml:space="preserve">： </w:t>
      </w:r>
    </w:p>
    <w:p>
      <w:pPr>
        <w:adjustRightInd w:val="0"/>
        <w:snapToGrid w:val="0"/>
        <w:spacing w:line="400" w:lineRule="exact"/>
        <w:ind w:firstLine="42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根据贵方就</w:t>
      </w:r>
      <w:r>
        <w:rPr>
          <w:rFonts w:hint="eastAsia" w:hAnsi="宋体" w:cs="宋体"/>
          <w:b/>
          <w:color w:val="000000" w:themeColor="text1"/>
          <w:szCs w:val="21"/>
          <w:highlight w:val="none"/>
          <w:u w:val="singl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，由投标人填写    </w:t>
      </w:r>
      <w:r>
        <w:rPr>
          <w:rFonts w:hint="eastAsia" w:ascii="宋体" w:hAnsi="宋体"/>
          <w:b/>
          <w:bCs/>
          <w:color w:val="000000" w:themeColor="text1"/>
          <w:highlight w:val="none"/>
          <w14:textFill>
            <w14:solidFill>
              <w14:schemeClr w14:val="tx1"/>
            </w14:solidFill>
          </w14:textFill>
        </w:rPr>
        <w:t>的投标邀请（项目编号: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），我方正式响应投标并提交投标文件</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份正本和</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份副本，</w:t>
      </w:r>
      <w:r>
        <w:rPr>
          <w:rFonts w:hint="eastAsia" w:ascii="宋体" w:hAnsi="宋体"/>
          <w:b/>
          <w:color w:val="000000" w:themeColor="text1"/>
          <w:kern w:val="0"/>
          <w:szCs w:val="21"/>
          <w:highlight w:val="none"/>
          <w14:textFill>
            <w14:solidFill>
              <w14:schemeClr w14:val="tx1"/>
            </w14:solidFill>
          </w14:textFill>
        </w:rPr>
        <w:t>电子文件</w:t>
      </w:r>
      <w:r>
        <w:rPr>
          <w:rFonts w:hint="eastAsia" w:ascii="宋体" w:hAnsi="宋体"/>
          <w:b/>
          <w:color w:val="000000" w:themeColor="text1"/>
          <w:kern w:val="0"/>
          <w:szCs w:val="21"/>
          <w:highlight w:val="none"/>
          <w:u w:val="single"/>
          <w14:textFill>
            <w14:solidFill>
              <w14:schemeClr w14:val="tx1"/>
            </w14:solidFill>
          </w14:textFill>
        </w:rPr>
        <w:t xml:space="preserve">    </w:t>
      </w:r>
      <w:r>
        <w:rPr>
          <w:rFonts w:hint="eastAsia" w:ascii="宋体" w:hAnsi="宋体"/>
          <w:b/>
          <w:color w:val="000000" w:themeColor="text1"/>
          <w:kern w:val="0"/>
          <w:szCs w:val="2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w:t>
      </w:r>
    </w:p>
    <w:p>
      <w:pPr>
        <w:widowControl/>
        <w:tabs>
          <w:tab w:val="left" w:pos="840"/>
        </w:tabs>
        <w:adjustRightInd w:val="0"/>
        <w:snapToGrid w:val="0"/>
        <w:rPr>
          <w:rFonts w:ascii="宋体" w:hAnsi="宋体"/>
          <w:b/>
          <w:bCs/>
          <w:color w:val="000000" w:themeColor="text1"/>
          <w:highlight w:val="none"/>
          <w14:textFill>
            <w14:solidFill>
              <w14:schemeClr w14:val="tx1"/>
            </w14:solidFill>
          </w14:textFill>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以</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形式提交的投标保证金，金额为大写</w:t>
      </w:r>
      <w:r>
        <w:rPr>
          <w:rFonts w:hint="eastAsia" w:ascii="宋体"/>
          <w:b/>
          <w:color w:val="000000" w:themeColor="text1"/>
          <w:highlight w:val="none"/>
          <w14:textFill>
            <w14:solidFill>
              <w14:schemeClr w14:val="tx1"/>
            </w14:solidFill>
          </w14:textFill>
        </w:rPr>
        <w:t>人民币</w:t>
      </w:r>
      <w:r>
        <w:rPr>
          <w:rFonts w:hint="eastAsia" w:ascii="宋体"/>
          <w:b/>
          <w:color w:val="000000" w:themeColor="text1"/>
          <w:highlight w:val="none"/>
          <w:u w:val="single"/>
          <w14:textFill>
            <w14:solidFill>
              <w14:schemeClr w14:val="tx1"/>
            </w14:solidFill>
          </w14:textFill>
        </w:rPr>
        <w:t xml:space="preserve">             </w:t>
      </w:r>
      <w:r>
        <w:rPr>
          <w:rFonts w:hint="eastAsia" w:ascii="宋体"/>
          <w:b/>
          <w:color w:val="000000" w:themeColor="text1"/>
          <w:highlight w:val="none"/>
          <w14:textFill>
            <w14:solidFill>
              <w14:schemeClr w14:val="tx1"/>
            </w14:solidFill>
          </w14:textFill>
        </w:rPr>
        <w:t>（</w:t>
      </w:r>
      <w:r>
        <w:rPr>
          <w:rFonts w:hint="eastAsia" w:ascii="宋体"/>
          <w:b/>
          <w:bCs/>
          <w:color w:val="000000" w:themeColor="text1"/>
          <w:highlight w:val="none"/>
          <w14:textFill>
            <w14:solidFill>
              <w14:schemeClr w14:val="tx1"/>
            </w14:solidFill>
          </w14:textFill>
        </w:rPr>
        <w:t>￥</w:t>
      </w:r>
      <w:r>
        <w:rPr>
          <w:rFonts w:hint="eastAsia"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据此函，签字代表宣布同意如下：</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本次投标所报内容完全按照招标文件要求填报，所有内容都是真实、准确的。</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投标人将按招标文件的规定履行全部合同责任和义务。</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投标人已详细审查全部招标文件，包括修改文件（如有的话）以及全部参考资料和有关附件。我们完全理解并同意放弃对这方面有不明及误解的权利。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本次投标自开标日起有效期为90天。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如果在规定的开标时间后，投标人在投标有效期内撤回投标文件，投标保证金将被贵</w:t>
      </w:r>
      <w:r>
        <w:rPr>
          <w:rFonts w:hint="eastAsia" w:ascii="宋体" w:hAnsi="宋体"/>
          <w:color w:val="000000" w:themeColor="text1"/>
          <w:szCs w:val="21"/>
          <w:highlight w:val="none"/>
          <w14:textFill>
            <w14:solidFill>
              <w14:schemeClr w14:val="tx1"/>
            </w14:solidFill>
          </w14:textFill>
        </w:rPr>
        <w:t>方</w:t>
      </w:r>
      <w:r>
        <w:rPr>
          <w:rFonts w:hint="eastAsia" w:ascii="宋体" w:hAnsi="宋体"/>
          <w:bCs/>
          <w:color w:val="000000" w:themeColor="text1"/>
          <w:highlight w:val="none"/>
          <w14:textFill>
            <w14:solidFill>
              <w14:schemeClr w14:val="tx1"/>
            </w14:solidFill>
          </w14:textFill>
        </w:rPr>
        <w:t>不予退还。</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投标人同意提供按照贵方可能要求与其投标有关的一切数据或资料，完全理解贵方不一定接受最低价的投标或收到的任何投标。</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23"/>
        <w:spacing w:line="400" w:lineRule="exact"/>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注：本投标函为投标人响应本次招标项目的郑重承诺，投标人不得改动且必须满足。</w:t>
      </w:r>
    </w:p>
    <w:p>
      <w:pPr>
        <w:pStyle w:val="23"/>
        <w:spacing w:line="400" w:lineRule="exact"/>
        <w:rPr>
          <w:rFonts w:hAnsi="宋体"/>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bookmarkStart w:id="1721" w:name="_Hlt16935467"/>
      <w:bookmarkEnd w:id="1721"/>
      <w:bookmarkStart w:id="1722" w:name="_Toc333237811"/>
      <w:bookmarkStart w:id="1723" w:name="_Toc331512923"/>
      <w:bookmarkStart w:id="1724" w:name="_Toc336681602"/>
      <w:bookmarkStart w:id="1725" w:name="_Toc339020255"/>
      <w:bookmarkStart w:id="1726" w:name="_Toc333935709"/>
      <w:bookmarkStart w:id="1727" w:name="_Toc339362322"/>
      <w:bookmarkStart w:id="1728" w:name="_Toc342312465"/>
      <w:bookmarkStart w:id="1729" w:name="_Toc342296783"/>
      <w:bookmarkStart w:id="1730" w:name="_Toc343248440"/>
      <w:bookmarkStart w:id="1731" w:name="_Toc337632380"/>
      <w:bookmarkStart w:id="1732" w:name="_Toc339020037"/>
      <w:bookmarkStart w:id="1733" w:name="_Toc336681957"/>
      <w:bookmarkStart w:id="1734" w:name="_Toc340677092"/>
      <w:bookmarkStart w:id="1735" w:name="_Toc339441109"/>
      <w:bookmarkStart w:id="1736" w:name="_Toc331684064"/>
      <w:bookmarkStart w:id="1737" w:name="_Toc330460008"/>
      <w:bookmarkStart w:id="1738" w:name="_Toc333238656"/>
      <w:bookmarkStart w:id="1739" w:name="_Toc343247122"/>
      <w:bookmarkStart w:id="1740" w:name="_Toc333935368"/>
      <w:bookmarkStart w:id="1741" w:name="_Toc342398152"/>
      <w:bookmarkStart w:id="1742" w:name="_Toc333237700"/>
      <w:bookmarkStart w:id="1743" w:name="_Toc340672891"/>
      <w:bookmarkStart w:id="1744" w:name="_Toc339019911"/>
      <w:bookmarkStart w:id="1745" w:name="_Toc332270369"/>
      <w:bookmarkStart w:id="1746" w:name="_Toc332206731"/>
      <w:bookmarkStart w:id="1747" w:name="_Toc345312619"/>
      <w:bookmarkStart w:id="1748" w:name="_Toc350438771"/>
      <w:bookmarkStart w:id="1749" w:name="_Toc340507464"/>
      <w:bookmarkStart w:id="1750" w:name="_Toc342060397"/>
      <w:bookmarkStart w:id="1751" w:name="_Toc341348362"/>
      <w:bookmarkStart w:id="1752" w:name="_Toc350756472"/>
      <w:bookmarkStart w:id="1753" w:name="_Toc366072551"/>
      <w:bookmarkStart w:id="1754" w:name="_Toc78816017"/>
      <w:bookmarkStart w:id="1755" w:name="_Toc365967094"/>
      <w:bookmarkStart w:id="1756" w:name="_Toc339020117"/>
      <w:bookmarkStart w:id="1757" w:name="_Toc365985200"/>
      <w:bookmarkStart w:id="1758" w:name="_Toc343612942"/>
      <w:r>
        <w:rPr>
          <w:rFonts w:hint="eastAsia"/>
          <w:color w:val="000000" w:themeColor="text1"/>
          <w:highlight w:val="none"/>
          <w14:textFill>
            <w14:solidFill>
              <w14:schemeClr w14:val="tx1"/>
            </w14:solidFill>
          </w14:textFill>
        </w:rPr>
        <w:br w:type="page"/>
      </w:r>
    </w:p>
    <w:p>
      <w:pPr>
        <w:pStyle w:val="4"/>
        <w:numPr>
          <w:ilvl w:val="0"/>
          <w:numId w:val="0"/>
        </w:numPr>
        <w:spacing w:line="400" w:lineRule="exact"/>
        <w:rPr>
          <w:color w:val="000000" w:themeColor="text1"/>
          <w:highlight w:val="none"/>
          <w14:textFill>
            <w14:solidFill>
              <w14:schemeClr w14:val="tx1"/>
            </w14:solidFill>
          </w14:textFill>
        </w:rPr>
      </w:pPr>
      <w:bookmarkStart w:id="1759" w:name="_Toc29772"/>
      <w:r>
        <w:rPr>
          <w:rFonts w:hint="eastAsia"/>
          <w:color w:val="000000" w:themeColor="text1"/>
          <w:highlight w:val="none"/>
          <w14:textFill>
            <w14:solidFill>
              <w14:schemeClr w14:val="tx1"/>
            </w14:solidFill>
          </w14:textFill>
        </w:rPr>
        <w:t>附件二：开标一览表</w:t>
      </w:r>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3980"/>
        <w:gridCol w:w="1673"/>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142"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tc>
        <w:tc>
          <w:tcPr>
            <w:tcW w:w="3980"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1673"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服务期</w:t>
            </w:r>
          </w:p>
        </w:tc>
        <w:tc>
          <w:tcPr>
            <w:tcW w:w="1097"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142"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3980"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1673" w:type="dxa"/>
            <w:vAlign w:val="center"/>
          </w:tcPr>
          <w:p>
            <w:pPr>
              <w:topLinePunct/>
              <w:jc w:val="left"/>
              <w:rPr>
                <w:rFonts w:ascii="宋体" w:hAnsi="宋体"/>
                <w:bCs/>
                <w:color w:val="000000" w:themeColor="text1"/>
                <w:highlight w:val="none"/>
                <w:u w:val="single"/>
                <w14:textFill>
                  <w14:solidFill>
                    <w14:schemeClr w14:val="tx1"/>
                  </w14:solidFill>
                </w14:textFill>
              </w:rPr>
            </w:pPr>
          </w:p>
        </w:tc>
        <w:tc>
          <w:tcPr>
            <w:tcW w:w="1097" w:type="dxa"/>
            <w:vAlign w:val="center"/>
          </w:tcPr>
          <w:p>
            <w:pPr>
              <w:rPr>
                <w:rFonts w:ascii="宋体" w:hAnsi="宋体"/>
                <w:bCs/>
                <w:color w:val="000000" w:themeColor="text1"/>
                <w:highlight w:val="none"/>
                <w14:textFill>
                  <w14:solidFill>
                    <w14:schemeClr w14:val="tx1"/>
                  </w14:solidFill>
                </w14:textFill>
              </w:rPr>
            </w:pPr>
          </w:p>
        </w:tc>
      </w:tr>
    </w:tbl>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760" w:name="_Toc342398153"/>
      <w:bookmarkStart w:id="1761" w:name="_Toc339020118"/>
      <w:bookmarkStart w:id="1762" w:name="_Toc333237701"/>
      <w:bookmarkStart w:id="1763" w:name="_Toc336681603"/>
      <w:bookmarkStart w:id="1764" w:name="_Toc330460009"/>
      <w:bookmarkStart w:id="1765" w:name="_Toc350438772"/>
      <w:bookmarkStart w:id="1766" w:name="_Toc350756473"/>
      <w:bookmarkStart w:id="1767" w:name="_Toc333935710"/>
      <w:bookmarkStart w:id="1768" w:name="_Toc339362323"/>
      <w:bookmarkStart w:id="1769" w:name="_Toc340672892"/>
      <w:bookmarkStart w:id="1770" w:name="_Toc366072552"/>
      <w:bookmarkStart w:id="1771" w:name="_Toc339020038"/>
      <w:bookmarkStart w:id="1772" w:name="_Toc345312620"/>
      <w:bookmarkStart w:id="1773" w:name="_Toc343612943"/>
      <w:bookmarkStart w:id="1774" w:name="_Toc341348363"/>
      <w:bookmarkStart w:id="1775" w:name="_Toc336681958"/>
      <w:bookmarkStart w:id="1776" w:name="_Toc339020256"/>
      <w:bookmarkStart w:id="1777" w:name="_Toc332270370"/>
      <w:bookmarkStart w:id="1778" w:name="_Toc365967095"/>
      <w:bookmarkStart w:id="1779" w:name="_Toc333238657"/>
      <w:bookmarkStart w:id="1780" w:name="_Toc333935369"/>
      <w:bookmarkStart w:id="1781" w:name="_Toc365985201"/>
      <w:bookmarkStart w:id="1782" w:name="_Toc342060398"/>
      <w:bookmarkStart w:id="1783" w:name="_Toc331684065"/>
      <w:bookmarkStart w:id="1784" w:name="_Toc339019912"/>
      <w:bookmarkStart w:id="1785" w:name="_Toc340507465"/>
      <w:bookmarkStart w:id="1786" w:name="_Toc342312466"/>
      <w:bookmarkStart w:id="1787" w:name="_Toc337632381"/>
      <w:bookmarkStart w:id="1788" w:name="_Toc331512924"/>
      <w:bookmarkStart w:id="1789" w:name="_Toc342296784"/>
      <w:bookmarkStart w:id="1790" w:name="_Toc343247123"/>
      <w:bookmarkStart w:id="1791" w:name="_Toc332206732"/>
      <w:bookmarkStart w:id="1792" w:name="_Toc333237812"/>
      <w:bookmarkStart w:id="1793" w:name="_Toc339441110"/>
      <w:bookmarkStart w:id="1794" w:name="_Toc340677093"/>
      <w:bookmarkStart w:id="1795" w:name="_Toc343248441"/>
      <w:bookmarkStart w:id="1796" w:name="_Toc31719"/>
      <w:r>
        <w:rPr>
          <w:rFonts w:hint="eastAsia"/>
          <w:color w:val="000000" w:themeColor="text1"/>
          <w:highlight w:val="none"/>
          <w14:textFill>
            <w14:solidFill>
              <w14:schemeClr w14:val="tx1"/>
            </w14:solidFill>
          </w14:textFill>
        </w:rPr>
        <w:t>附件三：</w:t>
      </w:r>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Start w:id="1797" w:name="_Toc340507466"/>
      <w:bookmarkStart w:id="1798" w:name="_Toc336681604"/>
      <w:bookmarkStart w:id="1799" w:name="_Toc333935711"/>
      <w:bookmarkStart w:id="1800" w:name="_Toc342060399"/>
      <w:bookmarkStart w:id="1801" w:name="_Toc330460010"/>
      <w:bookmarkStart w:id="1802" w:name="_Toc343612944"/>
      <w:bookmarkStart w:id="1803" w:name="_Toc342312467"/>
      <w:bookmarkStart w:id="1804" w:name="_Toc332206733"/>
      <w:bookmarkStart w:id="1805" w:name="_Toc333237702"/>
      <w:bookmarkStart w:id="1806" w:name="_Toc350438773"/>
      <w:bookmarkStart w:id="1807" w:name="_Toc345312621"/>
      <w:bookmarkStart w:id="1808" w:name="_Toc331684066"/>
      <w:bookmarkStart w:id="1809" w:name="_Toc332270371"/>
      <w:bookmarkStart w:id="1810" w:name="_Toc340677094"/>
      <w:bookmarkStart w:id="1811" w:name="_Toc366072553"/>
      <w:bookmarkStart w:id="1812" w:name="_Toc333238658"/>
      <w:bookmarkStart w:id="1813" w:name="_Toc343248442"/>
      <w:bookmarkStart w:id="1814" w:name="_Toc339020257"/>
      <w:bookmarkStart w:id="1815" w:name="_Toc336681959"/>
      <w:bookmarkStart w:id="1816" w:name="_Toc350756474"/>
      <w:bookmarkStart w:id="1817" w:name="_Toc337632382"/>
      <w:bookmarkStart w:id="1818" w:name="_Toc342398154"/>
      <w:bookmarkStart w:id="1819" w:name="_Toc339020119"/>
      <w:bookmarkStart w:id="1820" w:name="_Toc333237813"/>
      <w:bookmarkStart w:id="1821" w:name="_Toc339020039"/>
      <w:bookmarkStart w:id="1822" w:name="_Toc339441111"/>
      <w:bookmarkStart w:id="1823" w:name="_Toc341348364"/>
      <w:bookmarkStart w:id="1824" w:name="_Toc342296785"/>
      <w:bookmarkStart w:id="1825" w:name="_Toc365967096"/>
      <w:bookmarkStart w:id="1826" w:name="_Toc333935370"/>
      <w:bookmarkStart w:id="1827" w:name="_Toc331512925"/>
      <w:bookmarkStart w:id="1828" w:name="_Toc343247124"/>
      <w:bookmarkStart w:id="1829" w:name="_Toc340672893"/>
      <w:bookmarkStart w:id="1830" w:name="_Toc365985202"/>
      <w:bookmarkStart w:id="1831" w:name="_Toc339019913"/>
      <w:bookmarkStart w:id="1832" w:name="_Toc339362324"/>
      <w:r>
        <w:rPr>
          <w:rFonts w:hint="eastAsia"/>
          <w:color w:val="000000" w:themeColor="text1"/>
          <w:highlight w:val="none"/>
          <w14:textFill>
            <w14:solidFill>
              <w14:schemeClr w14:val="tx1"/>
            </w14:solidFill>
          </w14:textFill>
        </w:rPr>
        <w:t>商务条款偏离一览表</w:t>
      </w:r>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sectPr>
          <w:footerReference r:id="rId15"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000000" w:themeColor="text1"/>
          <w:highlight w:val="none"/>
          <w14:textFill>
            <w14:solidFill>
              <w14:schemeClr w14:val="tx1"/>
            </w14:solidFill>
          </w14:textFill>
        </w:rPr>
      </w:pPr>
      <w:bookmarkStart w:id="1833" w:name="_Toc5218"/>
      <w:bookmarkStart w:id="1834" w:name="_Toc341348365"/>
      <w:bookmarkStart w:id="1835" w:name="_Toc339441112"/>
      <w:bookmarkStart w:id="1836" w:name="_Toc365985203"/>
      <w:bookmarkStart w:id="1837" w:name="_Toc342312468"/>
      <w:bookmarkStart w:id="1838" w:name="_Toc343248443"/>
      <w:bookmarkStart w:id="1839" w:name="_Toc345312622"/>
      <w:bookmarkStart w:id="1840" w:name="_Toc366072554"/>
      <w:bookmarkStart w:id="1841" w:name="_Toc342060400"/>
      <w:bookmarkStart w:id="1842" w:name="_Toc337632383"/>
      <w:bookmarkStart w:id="1843" w:name="_Toc330460011"/>
      <w:bookmarkStart w:id="1844" w:name="_Toc340507467"/>
      <w:bookmarkStart w:id="1845" w:name="_Toc342296786"/>
      <w:bookmarkStart w:id="1846" w:name="_Toc332206734"/>
      <w:bookmarkStart w:id="1847" w:name="_Toc331684067"/>
      <w:bookmarkStart w:id="1848" w:name="_Toc350756475"/>
      <w:bookmarkStart w:id="1849" w:name="_Toc339362325"/>
      <w:bookmarkStart w:id="1850" w:name="_Toc333935712"/>
      <w:bookmarkStart w:id="1851" w:name="_Toc339020120"/>
      <w:bookmarkStart w:id="1852" w:name="_Toc365967097"/>
      <w:bookmarkStart w:id="1853" w:name="_Toc339019914"/>
      <w:bookmarkStart w:id="1854" w:name="_Toc340677095"/>
      <w:bookmarkStart w:id="1855" w:name="_Toc343247125"/>
      <w:bookmarkStart w:id="1856" w:name="_Toc333237703"/>
      <w:bookmarkStart w:id="1857" w:name="_Toc336681605"/>
      <w:bookmarkStart w:id="1858" w:name="_Toc331512926"/>
      <w:bookmarkStart w:id="1859" w:name="_Toc339020258"/>
      <w:bookmarkStart w:id="1860" w:name="_Toc343612945"/>
      <w:bookmarkStart w:id="1861" w:name="_Toc333237814"/>
      <w:bookmarkStart w:id="1862" w:name="_Toc339020040"/>
      <w:bookmarkStart w:id="1863" w:name="_Toc333238659"/>
      <w:bookmarkStart w:id="1864" w:name="_Toc336681960"/>
      <w:bookmarkStart w:id="1865" w:name="_Toc332270372"/>
      <w:bookmarkStart w:id="1866" w:name="_Toc342398155"/>
      <w:bookmarkStart w:id="1867" w:name="_Toc350438774"/>
      <w:bookmarkStart w:id="1868" w:name="_Toc340672894"/>
      <w:bookmarkStart w:id="1869" w:name="_Toc333935371"/>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四</w:t>
      </w:r>
      <w:r>
        <w:rPr>
          <w:rFonts w:hint="eastAsia"/>
          <w:color w:val="000000" w:themeColor="text1"/>
          <w:highlight w:val="none"/>
          <w14:textFill>
            <w14:solidFill>
              <w14:schemeClr w14:val="tx1"/>
            </w14:solidFill>
          </w14:textFill>
        </w:rPr>
        <w:t>：技术条款偏离一览表</w:t>
      </w:r>
      <w:bookmarkEnd w:id="1833"/>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2）对招标文件中技术条款按上列格式逐条说明。</w:t>
      </w:r>
    </w:p>
    <w:p>
      <w:pPr>
        <w:adjustRightInd w:val="0"/>
        <w:snapToGrid w:val="0"/>
        <w:spacing w:line="360" w:lineRule="auto"/>
        <w:ind w:firstLine="630" w:firstLineChars="300"/>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投标人声明：表中未列全的技术条款，我方均表示完全响应招标文件技术条款的所有要求。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p>
      <w:pPr>
        <w:pStyle w:val="4"/>
        <w:numPr>
          <w:ilvl w:val="1"/>
          <w:numId w:val="0"/>
        </w:numPr>
        <w:spacing w:line="400" w:lineRule="exact"/>
        <w:rPr>
          <w:color w:val="000000" w:themeColor="text1"/>
          <w:highlight w:val="none"/>
          <w14:textFill>
            <w14:solidFill>
              <w14:schemeClr w14:val="tx1"/>
            </w14:solidFill>
          </w14:textFill>
        </w:rPr>
        <w:sectPr>
          <w:pgSz w:w="11906" w:h="16838"/>
          <w:pgMar w:top="1474" w:right="1418" w:bottom="1474" w:left="1418" w:header="851" w:footer="850" w:gutter="0"/>
          <w:cols w:space="0" w:num="1"/>
          <w:titlePg/>
          <w:docGrid w:linePitch="312" w:charSpace="0"/>
        </w:sectPr>
      </w:pPr>
      <w:bookmarkStart w:id="1870" w:name="_Toc366072561"/>
      <w:bookmarkStart w:id="1871" w:name="_Toc330460015"/>
      <w:bookmarkStart w:id="1872" w:name="_Toc337632387"/>
      <w:bookmarkStart w:id="1873" w:name="_Toc333237818"/>
      <w:bookmarkStart w:id="1874" w:name="_Toc340507471"/>
      <w:bookmarkStart w:id="1875" w:name="_Toc332206738"/>
      <w:bookmarkStart w:id="1876" w:name="_Toc340677099"/>
      <w:bookmarkStart w:id="1877" w:name="_Toc339441116"/>
      <w:bookmarkStart w:id="1878" w:name="_Toc339020044"/>
      <w:bookmarkStart w:id="1879" w:name="_Toc365967104"/>
      <w:bookmarkStart w:id="1880" w:name="_Toc343612949"/>
      <w:bookmarkStart w:id="1881" w:name="_Toc343248447"/>
      <w:bookmarkStart w:id="1882" w:name="_Toc333935375"/>
      <w:bookmarkStart w:id="1883" w:name="_Toc340672898"/>
      <w:bookmarkStart w:id="1884" w:name="_Toc333238663"/>
      <w:bookmarkStart w:id="1885" w:name="_Toc432695228"/>
      <w:bookmarkStart w:id="1886" w:name="_Toc339362329"/>
      <w:bookmarkStart w:id="1887" w:name="_Toc341348369"/>
      <w:bookmarkStart w:id="1888" w:name="_Toc345312626"/>
      <w:bookmarkStart w:id="1889" w:name="_Toc333935716"/>
      <w:bookmarkStart w:id="1890" w:name="_Toc342296790"/>
      <w:bookmarkStart w:id="1891" w:name="_Toc336681964"/>
      <w:bookmarkStart w:id="1892" w:name="_Toc342060404"/>
      <w:bookmarkStart w:id="1893" w:name="_Toc350438778"/>
      <w:bookmarkStart w:id="1894" w:name="_Toc333237707"/>
      <w:bookmarkStart w:id="1895" w:name="_Toc339020262"/>
      <w:bookmarkStart w:id="1896" w:name="_Toc336681609"/>
      <w:bookmarkStart w:id="1897" w:name="_Toc343247129"/>
      <w:bookmarkStart w:id="1898" w:name="_Toc332270376"/>
      <w:bookmarkStart w:id="1899" w:name="_Toc342312472"/>
      <w:bookmarkStart w:id="1900" w:name="_Toc350756479"/>
      <w:bookmarkStart w:id="1901" w:name="_Toc342398159"/>
      <w:bookmarkStart w:id="1902" w:name="_Toc331684071"/>
      <w:bookmarkStart w:id="1903" w:name="_Toc331512930"/>
      <w:bookmarkStart w:id="1904" w:name="_Toc339020124"/>
      <w:bookmarkStart w:id="1905" w:name="_Toc339019918"/>
      <w:bookmarkStart w:id="1906" w:name="_Toc365985210"/>
    </w:p>
    <w:p>
      <w:pPr>
        <w:pStyle w:val="4"/>
        <w:numPr>
          <w:ilvl w:val="1"/>
          <w:numId w:val="0"/>
        </w:numPr>
        <w:spacing w:line="400" w:lineRule="exact"/>
        <w:rPr>
          <w:color w:val="000000" w:themeColor="text1"/>
          <w:highlight w:val="none"/>
          <w14:textFill>
            <w14:solidFill>
              <w14:schemeClr w14:val="tx1"/>
            </w14:solidFill>
          </w14:textFill>
        </w:rPr>
      </w:pPr>
      <w:bookmarkStart w:id="1907" w:name="_Toc6525"/>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五</w:t>
      </w:r>
      <w:r>
        <w:rPr>
          <w:rFonts w:hint="eastAsia"/>
          <w:color w:val="000000" w:themeColor="text1"/>
          <w:highlight w:val="none"/>
          <w14:textFill>
            <w14:solidFill>
              <w14:schemeClr w14:val="tx1"/>
            </w14:solidFill>
          </w14:textFill>
        </w:rPr>
        <w:t>：同类业绩一览表</w:t>
      </w:r>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中标金额（元）</w:t>
            </w:r>
          </w:p>
        </w:tc>
        <w:tc>
          <w:tcPr>
            <w:tcW w:w="123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bl>
    <w:p>
      <w:pPr>
        <w:pStyle w:val="5"/>
        <w:snapToGrid w:val="0"/>
        <w:spacing w:line="360" w:lineRule="auto"/>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4"/>
        <w:numPr>
          <w:ilvl w:val="1"/>
          <w:numId w:val="0"/>
        </w:numPr>
        <w:jc w:val="both"/>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000000" w:themeColor="text1"/>
          <w:highlight w:val="none"/>
          <w14:textFill>
            <w14:solidFill>
              <w14:schemeClr w14:val="tx1"/>
            </w14:solidFill>
          </w14:textFill>
        </w:rPr>
      </w:pPr>
      <w:bookmarkStart w:id="1908" w:name="_Toc430771089"/>
      <w:bookmarkStart w:id="1909" w:name="_Toc432695229"/>
      <w:bookmarkStart w:id="1910" w:name="_Toc18746"/>
      <w:bookmarkStart w:id="1911" w:name="_Toc432682754"/>
      <w:bookmarkStart w:id="1912" w:name="_Toc365967105"/>
      <w:bookmarkStart w:id="1913" w:name="_Toc333238664"/>
      <w:bookmarkStart w:id="1914" w:name="_Toc365985211"/>
      <w:bookmarkStart w:id="1915" w:name="_Toc331512931"/>
      <w:bookmarkStart w:id="1916" w:name="_Toc340507472"/>
      <w:bookmarkStart w:id="1917" w:name="_Toc341348370"/>
      <w:bookmarkStart w:id="1918" w:name="_Toc339020125"/>
      <w:bookmarkStart w:id="1919" w:name="_Toc336681610"/>
      <w:bookmarkStart w:id="1920" w:name="_Toc339362330"/>
      <w:bookmarkStart w:id="1921" w:name="_Toc339019919"/>
      <w:bookmarkStart w:id="1922" w:name="_Toc343248448"/>
      <w:bookmarkStart w:id="1923" w:name="_Toc342312473"/>
      <w:bookmarkStart w:id="1924" w:name="_Toc333237819"/>
      <w:bookmarkStart w:id="1925" w:name="_Toc331684072"/>
      <w:bookmarkStart w:id="1926" w:name="_Toc343612950"/>
      <w:bookmarkStart w:id="1927" w:name="_Toc337632388"/>
      <w:bookmarkStart w:id="1928" w:name="_Toc343247130"/>
      <w:bookmarkStart w:id="1929" w:name="_Toc102451601"/>
      <w:bookmarkStart w:id="1930" w:name="_Toc342296791"/>
      <w:bookmarkStart w:id="1931" w:name="_Toc336681965"/>
      <w:bookmarkStart w:id="1932" w:name="_Toc340672899"/>
      <w:bookmarkStart w:id="1933" w:name="_Toc339020263"/>
      <w:bookmarkStart w:id="1934" w:name="_Toc333237708"/>
      <w:bookmarkStart w:id="1935" w:name="_Toc342060405"/>
      <w:bookmarkStart w:id="1936" w:name="_Toc333935717"/>
      <w:bookmarkStart w:id="1937" w:name="_Toc332206739"/>
      <w:bookmarkStart w:id="1938" w:name="_Toc342398160"/>
      <w:bookmarkStart w:id="1939" w:name="_Toc350756480"/>
      <w:bookmarkStart w:id="1940" w:name="_Toc330460016"/>
      <w:bookmarkStart w:id="1941" w:name="_Toc366072562"/>
      <w:bookmarkStart w:id="1942" w:name="_Toc339020045"/>
      <w:bookmarkStart w:id="1943" w:name="_Toc345312627"/>
      <w:bookmarkStart w:id="1944" w:name="_Toc332270377"/>
      <w:bookmarkStart w:id="1945" w:name="_Toc340677100"/>
      <w:bookmarkStart w:id="1946" w:name="_Toc350438779"/>
      <w:bookmarkStart w:id="1947" w:name="_Toc339441117"/>
      <w:bookmarkStart w:id="1948" w:name="_Toc333935376"/>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六</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中小微企业声明函</w:t>
      </w:r>
      <w:bookmarkEnd w:id="1908"/>
      <w:bookmarkEnd w:id="1909"/>
      <w:bookmarkEnd w:id="1910"/>
      <w:bookmarkEnd w:id="1911"/>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spacing w:line="440" w:lineRule="exact"/>
        <w:rPr>
          <w:rFonts w:ascii="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日</w:t>
      </w:r>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p>
      <w:pPr>
        <w:pStyle w:val="4"/>
        <w:keepLines w:val="0"/>
        <w:numPr>
          <w:ilvl w:val="0"/>
          <w:numId w:val="0"/>
        </w:numPr>
        <w:tabs>
          <w:tab w:val="left" w:pos="851"/>
        </w:tabs>
        <w:spacing w:before="0" w:after="0" w:line="360" w:lineRule="auto"/>
        <w:rPr>
          <w:rFonts w:ascii="宋体" w:eastAsia="宋体"/>
          <w:color w:val="000000" w:themeColor="text1"/>
          <w:szCs w:val="21"/>
          <w:highlight w:val="none"/>
          <w14:textFill>
            <w14:solidFill>
              <w14:schemeClr w14:val="tx1"/>
            </w14:solidFill>
          </w14:textFill>
        </w:rPr>
      </w:pPr>
      <w:bookmarkStart w:id="1949" w:name="_Toc32373"/>
      <w:bookmarkStart w:id="1950" w:name="_Toc15559"/>
      <w:bookmarkStart w:id="1951" w:name="_Toc434832511"/>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七</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残疾人福利性单位声明函</w:t>
      </w:r>
      <w:bookmarkEnd w:id="1949"/>
      <w:bookmarkEnd w:id="1950"/>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投标人名称（公章）：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pStyle w:val="5"/>
        <w:spacing w:line="360" w:lineRule="auto"/>
        <w:ind w:firstLine="0"/>
        <w:rPr>
          <w:rFonts w:hAnsi="宋体" w:cs="宋体"/>
          <w:color w:val="000000" w:themeColor="text1"/>
          <w:kern w:val="2"/>
          <w:sz w:val="21"/>
          <w:szCs w:val="24"/>
          <w:highlight w:val="none"/>
          <w14:textFill>
            <w14:solidFill>
              <w14:schemeClr w14:val="tx1"/>
            </w14:solidFill>
          </w14:textFill>
        </w:rPr>
      </w:pPr>
      <w:r>
        <w:rPr>
          <w:rFonts w:hAnsi="宋体"/>
          <w:color w:val="000000" w:themeColor="text1"/>
          <w:sz w:val="21"/>
          <w:szCs w:val="21"/>
          <w:highlight w:val="none"/>
          <w14:textFill>
            <w14:solidFill>
              <w14:schemeClr w14:val="tx1"/>
            </w14:solidFill>
          </w14:textFill>
        </w:rPr>
        <w:t>日期：</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年</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月</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日</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4"/>
        <w:numPr>
          <w:ilvl w:val="1"/>
          <w:numId w:val="0"/>
        </w:numPr>
        <w:spacing w:line="400" w:lineRule="exact"/>
        <w:rPr>
          <w:color w:val="000000" w:themeColor="text1"/>
          <w:highlight w:val="none"/>
          <w14:textFill>
            <w14:solidFill>
              <w14:schemeClr w14:val="tx1"/>
            </w14:solidFill>
          </w14:textFill>
        </w:rPr>
      </w:pPr>
      <w:bookmarkStart w:id="1952" w:name="_Toc9858"/>
      <w:bookmarkStart w:id="1953" w:name="_Toc432695230"/>
      <w:bookmarkStart w:id="1954" w:name="_Toc23048"/>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：中标服务费承诺</w:t>
      </w:r>
      <w:bookmarkEnd w:id="1952"/>
      <w:bookmarkEnd w:id="1953"/>
      <w:bookmarkEnd w:id="1954"/>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lang w:eastAsia="zh-CN"/>
          <w14:textFill>
            <w14:solidFill>
              <w14:schemeClr w14:val="tx1"/>
            </w14:solidFill>
          </w14:textFill>
        </w:rPr>
        <w:t>广东业信招标有限公司</w:t>
      </w:r>
      <w:r>
        <w:rPr>
          <w:rFonts w:hint="eastAsia" w:ascii="宋体" w:hAnsi="宋体"/>
          <w:color w:val="000000" w:themeColor="text1"/>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针对贵方组织的（项目名称：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）招标（项目编号: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），我方承诺：</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有权不予退还我方的投标保证金并重新确定中标结果，</w:t>
      </w:r>
      <w:r>
        <w:rPr>
          <w:rFonts w:hint="eastAsia" w:ascii="宋体"/>
          <w:color w:val="000000" w:themeColor="text1"/>
          <w:highlight w:val="none"/>
          <w14:textFill>
            <w14:solidFill>
              <w14:schemeClr w14:val="tx1"/>
            </w14:solidFill>
          </w14:textFill>
        </w:rPr>
        <w:t>我方对此无任何异议。</w:t>
      </w:r>
    </w:p>
    <w:p>
      <w:pPr>
        <w:spacing w:line="44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440" w:lineRule="exact"/>
        <w:ind w:firstLine="420" w:firstLineChars="200"/>
        <w:rPr>
          <w:rFonts w:ascii="宋体" w:hAns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14:textFill>
            <w14:solidFill>
              <w14:schemeClr w14:val="tx1"/>
            </w14:solidFill>
          </w14:textFill>
        </w:rPr>
      </w:pPr>
      <w:bookmarkStart w:id="1955" w:name="_Toc326065622"/>
      <w:bookmarkStart w:id="1956" w:name="_Toc333237709"/>
      <w:bookmarkStart w:id="1957" w:name="_Toc339019920"/>
      <w:bookmarkStart w:id="1958" w:name="_Toc339020046"/>
      <w:bookmarkStart w:id="1959" w:name="_Toc342312474"/>
      <w:bookmarkStart w:id="1960" w:name="_Toc339441118"/>
      <w:bookmarkStart w:id="1961" w:name="_Toc365985212"/>
      <w:bookmarkStart w:id="1962" w:name="_Toc340672900"/>
      <w:bookmarkStart w:id="1963" w:name="_Toc340507473"/>
      <w:bookmarkStart w:id="1964" w:name="_Toc337632389"/>
      <w:bookmarkStart w:id="1965" w:name="_Toc331684073"/>
      <w:bookmarkStart w:id="1966" w:name="_Toc339020126"/>
      <w:bookmarkStart w:id="1967" w:name="_Toc333935718"/>
      <w:bookmarkStart w:id="1968" w:name="_Toc336681611"/>
      <w:bookmarkStart w:id="1969" w:name="_Toc366072563"/>
      <w:bookmarkStart w:id="1970" w:name="_Toc333238665"/>
      <w:bookmarkStart w:id="1971" w:name="_Toc343612951"/>
      <w:bookmarkStart w:id="1972" w:name="_Toc23033"/>
      <w:bookmarkStart w:id="1973" w:name="_Toc340677101"/>
      <w:bookmarkStart w:id="1974" w:name="_Toc342296792"/>
      <w:bookmarkStart w:id="1975" w:name="_Toc342060406"/>
      <w:bookmarkStart w:id="1976" w:name="_Toc333935377"/>
      <w:bookmarkStart w:id="1977" w:name="_Toc343248449"/>
      <w:bookmarkStart w:id="1978" w:name="_Toc336681966"/>
      <w:bookmarkStart w:id="1979" w:name="_Toc345312628"/>
      <w:bookmarkStart w:id="1980" w:name="_Toc330460017"/>
      <w:bookmarkStart w:id="1981" w:name="_Toc432695231"/>
      <w:bookmarkStart w:id="1982" w:name="_Toc332270378"/>
      <w:bookmarkStart w:id="1983" w:name="_Toc333237820"/>
      <w:bookmarkStart w:id="1984" w:name="_Toc365967106"/>
      <w:bookmarkStart w:id="1985" w:name="_Toc339362331"/>
      <w:bookmarkStart w:id="1986" w:name="_Toc342398161"/>
      <w:bookmarkStart w:id="1987" w:name="_Toc343247131"/>
      <w:bookmarkStart w:id="1988" w:name="_Toc331512932"/>
      <w:bookmarkStart w:id="1989" w:name="_Toc350438780"/>
      <w:bookmarkStart w:id="1990" w:name="_Toc350756481"/>
      <w:bookmarkStart w:id="1991" w:name="_Toc339020264"/>
      <w:bookmarkStart w:id="1992" w:name="_Toc341348371"/>
      <w:bookmarkStart w:id="1993" w:name="_Toc332206740"/>
      <w:bookmarkStart w:id="1994" w:name="_Toc10463"/>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九</w:t>
      </w:r>
      <w:r>
        <w:rPr>
          <w:rFonts w:hint="eastAsia"/>
          <w:color w:val="000000" w:themeColor="text1"/>
          <w:highlight w:val="none"/>
          <w14:textFill>
            <w14:solidFill>
              <w14:schemeClr w14:val="tx1"/>
            </w14:solidFill>
          </w14:textFill>
        </w:rPr>
        <w:t>：</w:t>
      </w:r>
      <w:bookmarkEnd w:id="1955"/>
      <w:r>
        <w:rPr>
          <w:rFonts w:hint="eastAsia"/>
          <w:color w:val="000000" w:themeColor="text1"/>
          <w:highlight w:val="none"/>
          <w14:textFill>
            <w14:solidFill>
              <w14:schemeClr w14:val="tx1"/>
            </w14:solidFill>
          </w14:textFill>
        </w:rPr>
        <w:t>投标人提交的其它商务和技术资料</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本节无格式要求，投标人可根据自身实际情况以及招标文件评分细则规定的详细评审内容和应当提供的证明材料进行编制。</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一、</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二、</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三、</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四、</w:t>
      </w:r>
      <w:r>
        <w:rPr>
          <w:rFonts w:hAnsi="宋体"/>
          <w:bCs/>
          <w:color w:val="000000" w:themeColor="text1"/>
          <w:sz w:val="21"/>
          <w:highlight w:val="none"/>
          <w14:textFill>
            <w14:solidFill>
              <w14:schemeClr w14:val="tx1"/>
            </w14:solidFill>
          </w14:textFill>
        </w:rPr>
        <w:t>...</w:t>
      </w: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spacing w:line="360" w:lineRule="auto"/>
        <w:rPr>
          <w:color w:val="000000" w:themeColor="text1"/>
          <w:highlight w:val="none"/>
          <w14:textFill>
            <w14:solidFill>
              <w14:schemeClr w14:val="tx1"/>
            </w14:solidFill>
          </w14:textFill>
        </w:rPr>
      </w:pPr>
    </w:p>
    <w:p>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（投标人认为本节无须提交的，应注明“本节空白”字样）。</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4"/>
        <w:numPr>
          <w:ilvl w:val="0"/>
          <w:numId w:val="0"/>
        </w:numPr>
        <w:rPr>
          <w:color w:val="000000" w:themeColor="text1"/>
          <w:sz w:val="52"/>
          <w:highlight w:val="none"/>
          <w14:textFill>
            <w14:solidFill>
              <w14:schemeClr w14:val="tx1"/>
            </w14:solidFill>
          </w14:textFill>
        </w:rPr>
      </w:pPr>
      <w:bookmarkStart w:id="1995" w:name="_Toc456888293"/>
      <w:bookmarkStart w:id="1996" w:name="_Toc456887842"/>
      <w:bookmarkStart w:id="1997" w:name="_Toc21688"/>
      <w:r>
        <w:rPr>
          <w:rFonts w:hint="eastAsia"/>
          <w:color w:val="000000" w:themeColor="text1"/>
          <w:sz w:val="52"/>
          <w:highlight w:val="none"/>
          <w14:textFill>
            <w14:solidFill>
              <w14:schemeClr w14:val="tx1"/>
            </w14:solidFill>
          </w14:textFill>
        </w:rPr>
        <w:t>其 他 格 式</w:t>
      </w:r>
      <w:bookmarkEnd w:id="1951"/>
      <w:bookmarkEnd w:id="1995"/>
      <w:bookmarkEnd w:id="1996"/>
      <w:bookmarkEnd w:id="1997"/>
    </w:p>
    <w:p>
      <w:pPr>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pStyle w:val="6"/>
        <w:numPr>
          <w:ilvl w:val="0"/>
          <w:numId w:val="0"/>
        </w:numPr>
        <w:spacing w:afterLines="50"/>
        <w:jc w:val="center"/>
        <w:rPr>
          <w:rFonts w:ascii="宋体" w:hAnsi="宋体" w:eastAsia="宋体"/>
          <w:b/>
          <w:color w:val="000000" w:themeColor="text1"/>
          <w:sz w:val="28"/>
          <w:highlight w:val="none"/>
          <w14:textFill>
            <w14:solidFill>
              <w14:schemeClr w14:val="tx1"/>
            </w14:solidFill>
          </w14:textFill>
        </w:rPr>
      </w:pPr>
      <w:bookmarkStart w:id="1998" w:name="_Toc456887843"/>
      <w:bookmarkStart w:id="1999" w:name="_Toc12214"/>
      <w:bookmarkStart w:id="2000" w:name="_Toc456888294"/>
      <w:r>
        <w:rPr>
          <w:rFonts w:hint="eastAsia" w:ascii="宋体" w:hAnsi="宋体" w:eastAsia="宋体"/>
          <w:b/>
          <w:color w:val="000000" w:themeColor="text1"/>
          <w:sz w:val="28"/>
          <w:highlight w:val="none"/>
          <w14:textFill>
            <w14:solidFill>
              <w14:schemeClr w14:val="tx1"/>
            </w14:solidFill>
          </w14:textFill>
        </w:rPr>
        <w:t>投标保证金退付书</w:t>
      </w:r>
      <w:bookmarkEnd w:id="1998"/>
      <w:bookmarkEnd w:id="1999"/>
      <w:bookmarkEnd w:id="2000"/>
    </w:p>
    <w:p>
      <w:pPr>
        <w:pStyle w:val="5"/>
        <w:rPr>
          <w:color w:val="000000" w:themeColor="text1"/>
          <w:highlight w:val="none"/>
          <w14:textFill>
            <w14:solidFill>
              <w14:schemeClr w14:val="tx1"/>
            </w14:solidFill>
          </w14:textFill>
        </w:rPr>
      </w:pPr>
    </w:p>
    <w:p>
      <w:pPr>
        <w:spacing w:line="288" w:lineRule="auto"/>
        <w:rPr>
          <w:rFonts w:hint="eastAsia" w:ascii="宋体" w:hAnsi="宋体" w:eastAsia="宋体"/>
          <w:b/>
          <w:color w:val="000000" w:themeColor="text1"/>
          <w:szCs w:val="21"/>
          <w:highlight w:val="none"/>
          <w:lang w:eastAsia="zh-CN"/>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致：</w:t>
      </w:r>
      <w:r>
        <w:rPr>
          <w:rFonts w:hint="eastAsia" w:ascii="宋体" w:hAnsi="宋体"/>
          <w:b/>
          <w:color w:val="000000" w:themeColor="text1"/>
          <w:szCs w:val="21"/>
          <w:highlight w:val="none"/>
          <w:lang w:eastAsia="zh-CN"/>
          <w14:textFill>
            <w14:solidFill>
              <w14:schemeClr w14:val="tx1"/>
            </w14:solidFill>
          </w14:textFill>
        </w:rPr>
        <w:t>广东业信招标有限公司</w:t>
      </w:r>
    </w:p>
    <w:p>
      <w:pPr>
        <w:spacing w:line="288"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ind w:right="206" w:rightChars="98"/>
              <w:rPr>
                <w:rStyle w:val="303"/>
                <w:rFonts w:ascii="宋体" w:hAnsi="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ind w:right="206" w:rightChars="98"/>
              <w:rPr>
                <w:rStyle w:val="303"/>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w:t>
            </w:r>
          </w:p>
        </w:tc>
        <w:tc>
          <w:tcPr>
            <w:tcW w:w="2836" w:type="dxa"/>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ind w:right="206" w:rightChars="98"/>
              <w:jc w:val="center"/>
              <w:rPr>
                <w:rStyle w:val="303"/>
                <w:color w:val="000000" w:themeColor="text1"/>
                <w:spacing w:val="10"/>
                <w:sz w:val="21"/>
                <w:szCs w:val="21"/>
                <w:highlight w:val="none"/>
                <w:u w:val="singl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开户银行</w:t>
            </w:r>
            <w:r>
              <w:rPr>
                <w:rStyle w:val="303"/>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ind w:right="206" w:rightChars="98" w:firstLine="460" w:firstLineChars="200"/>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ind w:right="206" w:rightChars="98"/>
              <w:jc w:val="center"/>
              <w:rPr>
                <w:rStyle w:val="303"/>
                <w:color w:val="000000" w:themeColor="text1"/>
                <w:spacing w:val="10"/>
                <w:sz w:val="21"/>
                <w:szCs w:val="21"/>
                <w:highlight w:val="none"/>
                <w:u w:val="singl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Merge w:val="continue"/>
          </w:tcPr>
          <w:p>
            <w:pPr>
              <w:ind w:right="206" w:rightChars="98"/>
              <w:jc w:val="center"/>
              <w:rPr>
                <w:rStyle w:val="303"/>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传真</w:t>
            </w:r>
          </w:p>
        </w:tc>
        <w:tc>
          <w:tcPr>
            <w:tcW w:w="3116" w:type="dxa"/>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投标保证金银行汇款单复印件</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rPr>
          <w:rFonts w:ascii="宋体" w:hAnsi="宋体"/>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注：本退付书须放入唱标信封内，勿装订在投标文件内。</w:t>
      </w:r>
    </w:p>
    <w:p>
      <w:pPr>
        <w:rPr>
          <w:rFonts w:ascii="宋体" w:hAnsi="宋体"/>
          <w:b/>
          <w:color w:val="000000" w:themeColor="text1"/>
          <w:szCs w:val="21"/>
          <w:highlight w:val="none"/>
          <w14:textFill>
            <w14:solidFill>
              <w14:schemeClr w14:val="tx1"/>
            </w14:solidFill>
          </w14:textFill>
        </w:rPr>
      </w:pPr>
    </w:p>
    <w:p>
      <w:pPr>
        <w:jc w:val="center"/>
        <w:rPr>
          <w:rFonts w:hint="eastAsia"/>
          <w:b/>
          <w:bCs/>
          <w:color w:val="000000" w:themeColor="text1"/>
          <w:sz w:val="44"/>
          <w:szCs w:val="44"/>
          <w:highlight w:val="none"/>
          <w14:textFill>
            <w14:solidFill>
              <w14:schemeClr w14:val="tx1"/>
            </w14:solidFill>
          </w14:textFill>
        </w:rPr>
      </w:pPr>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41"/>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1"/>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41"/>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41"/>
        <w:spacing w:before="0" w:beforeAutospacing="0" w:after="0" w:afterAutospacing="0" w:line="360" w:lineRule="auto"/>
        <w:jc w:val="center"/>
        <w:rPr>
          <w:rStyle w:val="49"/>
          <w:rFonts w:cs="Times New Roman"/>
          <w:color w:val="000000" w:themeColor="text1"/>
          <w:highlight w:val="none"/>
          <w14:textFill>
            <w14:solidFill>
              <w14:schemeClr w14:val="tx1"/>
            </w14:solidFill>
          </w14:textFill>
        </w:rPr>
      </w:pPr>
      <w:r>
        <w:rPr>
          <w:rStyle w:val="49"/>
          <w:rFonts w:hint="eastAsia" w:cs="Times New Roman"/>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广东业信招标有限公司</w:t>
      </w: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41"/>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41"/>
        <w:spacing w:before="0" w:beforeAutospacing="0" w:after="0" w:afterAutospacing="0" w:line="360" w:lineRule="auto"/>
        <w:jc w:val="center"/>
        <w:rPr>
          <w:rStyle w:val="49"/>
          <w:rFonts w:cs="Times New Roman"/>
          <w:color w:val="000000" w:themeColor="text1"/>
          <w:highlight w:val="none"/>
          <w14:textFill>
            <w14:solidFill>
              <w14:schemeClr w14:val="tx1"/>
            </w14:solidFill>
          </w14:textFill>
        </w:rPr>
      </w:pPr>
      <w:r>
        <w:rPr>
          <w:rStyle w:val="49"/>
          <w:rFonts w:hint="eastAsia" w:cs="Times New Roman"/>
          <w:b w:val="0"/>
          <w:color w:val="000000" w:themeColor="text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p>
      <w:pPr>
        <w:spacing w:line="360" w:lineRule="auto"/>
        <w:jc w:val="left"/>
        <w:rPr>
          <w:rFonts w:ascii="仿宋_GB2312" w:hAnsi="仿宋" w:eastAsia="仿宋_GB2312"/>
          <w:color w:val="000000" w:themeColor="text1"/>
          <w:sz w:val="24"/>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OMBFXO+Univers-Light">
    <w:altName w:val="宋体"/>
    <w:panose1 w:val="00000000000000000000"/>
    <w:charset w:val="86"/>
    <w:family w:val="swiss"/>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50"/>
      </w:rPr>
    </w:pPr>
    <w:r>
      <w:fldChar w:fldCharType="begin"/>
    </w:r>
    <w:r>
      <w:rPr>
        <w:rStyle w:val="50"/>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8"/>
      <w:lvlText w:val="%1. "/>
      <w:lvlJc w:val="left"/>
      <w:pPr>
        <w:tabs>
          <w:tab w:val="left" w:pos="981"/>
        </w:tabs>
        <w:ind w:left="981" w:hanging="419"/>
      </w:pPr>
    </w:lvl>
    <w:lvl w:ilvl="1" w:tentative="0">
      <w:start w:val="1"/>
      <w:numFmt w:val="upperLetter"/>
      <w:pStyle w:val="287"/>
      <w:lvlText w:val="%2. "/>
      <w:lvlJc w:val="left"/>
      <w:pPr>
        <w:tabs>
          <w:tab w:val="left" w:pos="1191"/>
        </w:tabs>
        <w:ind w:left="1191" w:hanging="420"/>
      </w:pPr>
    </w:lvl>
    <w:lvl w:ilvl="2" w:tentative="0">
      <w:start w:val="1"/>
      <w:numFmt w:val="lowerLetter"/>
      <w:pStyle w:val="296"/>
      <w:lvlText w:val="%3. "/>
      <w:lvlJc w:val="left"/>
      <w:pPr>
        <w:tabs>
          <w:tab w:val="left" w:pos="1401"/>
        </w:tabs>
        <w:ind w:left="1401" w:hanging="420"/>
      </w:pPr>
    </w:lvl>
    <w:lvl w:ilvl="3" w:tentative="0">
      <w:start w:val="1"/>
      <w:numFmt w:val="lowerLetter"/>
      <w:pStyle w:val="154"/>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9"/>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8"/>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3"/>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6"/>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2"/>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2"/>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8"/>
      <w:suff w:val="space"/>
      <w:lvlText w:val="%1.%2.%3"/>
      <w:lvlJc w:val="left"/>
      <w:pPr>
        <w:tabs>
          <w:tab w:val="left" w:pos="1418"/>
        </w:tabs>
        <w:ind w:left="0" w:firstLine="0"/>
      </w:pPr>
    </w:lvl>
    <w:lvl w:ilvl="3" w:tentative="0">
      <w:start w:val="1"/>
      <w:numFmt w:val="decimal"/>
      <w:pStyle w:val="295"/>
      <w:suff w:val="space"/>
      <w:lvlText w:val="%1.%2.%3.%4"/>
      <w:lvlJc w:val="left"/>
      <w:pPr>
        <w:tabs>
          <w:tab w:val="left" w:pos="1984"/>
        </w:tabs>
        <w:ind w:left="0" w:firstLine="0"/>
      </w:pPr>
    </w:lvl>
    <w:lvl w:ilvl="4" w:tentative="0">
      <w:start w:val="1"/>
      <w:numFmt w:val="decimal"/>
      <w:pStyle w:val="291"/>
      <w:suff w:val="space"/>
      <w:lvlText w:val="%1.%2.%3.%4.%5"/>
      <w:lvlJc w:val="left"/>
      <w:pPr>
        <w:tabs>
          <w:tab w:val="left" w:pos="2551"/>
        </w:tabs>
        <w:ind w:left="0" w:firstLine="0"/>
      </w:pPr>
    </w:lvl>
    <w:lvl w:ilvl="5" w:tentative="0">
      <w:start w:val="1"/>
      <w:numFmt w:val="decimal"/>
      <w:pStyle w:val="195"/>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7"/>
      <w:lvlText w:val="%1)"/>
      <w:lvlJc w:val="left"/>
      <w:pPr>
        <w:tabs>
          <w:tab w:val="left" w:pos="420"/>
        </w:tabs>
        <w:ind w:left="420" w:hanging="420"/>
      </w:pPr>
    </w:lvl>
    <w:lvl w:ilvl="1" w:tentative="0">
      <w:start w:val="1"/>
      <w:numFmt w:val="lowerLetter"/>
      <w:pStyle w:val="122"/>
      <w:lvlText w:val="%2)"/>
      <w:lvlJc w:val="left"/>
      <w:pPr>
        <w:tabs>
          <w:tab w:val="left" w:pos="840"/>
        </w:tabs>
        <w:ind w:left="840" w:hanging="420"/>
      </w:pPr>
    </w:lvl>
    <w:lvl w:ilvl="2" w:tentative="0">
      <w:start w:val="1"/>
      <w:numFmt w:val="lowerRoman"/>
      <w:pStyle w:val="121"/>
      <w:lvlText w:val="%3."/>
      <w:lvlJc w:val="right"/>
      <w:pPr>
        <w:tabs>
          <w:tab w:val="left" w:pos="1260"/>
        </w:tabs>
        <w:ind w:left="1260" w:hanging="420"/>
      </w:pPr>
    </w:lvl>
    <w:lvl w:ilvl="3" w:tentative="0">
      <w:start w:val="1"/>
      <w:numFmt w:val="decimal"/>
      <w:pStyle w:val="186"/>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7"/>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40"/>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8"/>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8"/>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1"/>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8"/>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abstractNum w:abstractNumId="34">
    <w:nsid w:val="5F3503F9"/>
    <w:multiLevelType w:val="singleLevel"/>
    <w:tmpl w:val="5F3503F9"/>
    <w:lvl w:ilvl="0" w:tentative="0">
      <w:start w:val="1"/>
      <w:numFmt w:val="decimal"/>
      <w:suff w:val="nothing"/>
      <w:lvlText w:val="%1."/>
      <w:lvlJc w:val="left"/>
    </w:lvl>
  </w:abstractNum>
  <w:abstractNum w:abstractNumId="35">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4"/>
  </w:num>
  <w:num w:numId="32">
    <w:abstractNumId w:val="32"/>
  </w:num>
  <w:num w:numId="33">
    <w:abstractNumId w:val="2"/>
  </w:num>
  <w:num w:numId="34">
    <w:abstractNumId w:val="0"/>
  </w:num>
  <w:num w:numId="35">
    <w:abstractNumId w:val="33"/>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hODA0MGJlYjkwYzhjNWY3NDVmZDZhNTM4ODVlZmI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4343"/>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7E5"/>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11F60EE"/>
    <w:rsid w:val="01AC475F"/>
    <w:rsid w:val="01B712D5"/>
    <w:rsid w:val="01FB3F68"/>
    <w:rsid w:val="022975EC"/>
    <w:rsid w:val="0237621C"/>
    <w:rsid w:val="02C92423"/>
    <w:rsid w:val="03C54999"/>
    <w:rsid w:val="05583529"/>
    <w:rsid w:val="05D70B75"/>
    <w:rsid w:val="06562074"/>
    <w:rsid w:val="0663620A"/>
    <w:rsid w:val="0671533F"/>
    <w:rsid w:val="06EE550F"/>
    <w:rsid w:val="07142AAF"/>
    <w:rsid w:val="07416796"/>
    <w:rsid w:val="082C721F"/>
    <w:rsid w:val="08680198"/>
    <w:rsid w:val="096C7482"/>
    <w:rsid w:val="0A2A62B8"/>
    <w:rsid w:val="0A677CF4"/>
    <w:rsid w:val="0AFF69E2"/>
    <w:rsid w:val="0B5C2951"/>
    <w:rsid w:val="0B664CB3"/>
    <w:rsid w:val="0BCA4A38"/>
    <w:rsid w:val="0BD87233"/>
    <w:rsid w:val="0C4B5C57"/>
    <w:rsid w:val="0CAA7B05"/>
    <w:rsid w:val="0CEC5E68"/>
    <w:rsid w:val="0F23766A"/>
    <w:rsid w:val="0F2B26EE"/>
    <w:rsid w:val="0F621C2B"/>
    <w:rsid w:val="0F7457E9"/>
    <w:rsid w:val="0FCA12E5"/>
    <w:rsid w:val="106C2D6C"/>
    <w:rsid w:val="10865B08"/>
    <w:rsid w:val="10A641ED"/>
    <w:rsid w:val="10E05471"/>
    <w:rsid w:val="113B1BFC"/>
    <w:rsid w:val="121D7C31"/>
    <w:rsid w:val="12493A00"/>
    <w:rsid w:val="12D61506"/>
    <w:rsid w:val="144162BD"/>
    <w:rsid w:val="14B6708E"/>
    <w:rsid w:val="151737ED"/>
    <w:rsid w:val="16E13197"/>
    <w:rsid w:val="16EF3DAF"/>
    <w:rsid w:val="17356861"/>
    <w:rsid w:val="17F04282"/>
    <w:rsid w:val="1910625E"/>
    <w:rsid w:val="191A1081"/>
    <w:rsid w:val="19AB1C63"/>
    <w:rsid w:val="1BA9401F"/>
    <w:rsid w:val="1C3660D4"/>
    <w:rsid w:val="1CAD59BE"/>
    <w:rsid w:val="1CD57563"/>
    <w:rsid w:val="1CD8356E"/>
    <w:rsid w:val="1D246750"/>
    <w:rsid w:val="1D2B3667"/>
    <w:rsid w:val="1D9D51F3"/>
    <w:rsid w:val="1DA029F5"/>
    <w:rsid w:val="1EA81EBA"/>
    <w:rsid w:val="1F390158"/>
    <w:rsid w:val="1F5B1A41"/>
    <w:rsid w:val="1F883071"/>
    <w:rsid w:val="201B3E66"/>
    <w:rsid w:val="203B62B7"/>
    <w:rsid w:val="20424C81"/>
    <w:rsid w:val="20BF76DA"/>
    <w:rsid w:val="21151D88"/>
    <w:rsid w:val="211B629E"/>
    <w:rsid w:val="21451B35"/>
    <w:rsid w:val="215A240F"/>
    <w:rsid w:val="21BA6164"/>
    <w:rsid w:val="22410012"/>
    <w:rsid w:val="2299090F"/>
    <w:rsid w:val="22AA3E2A"/>
    <w:rsid w:val="22B3681C"/>
    <w:rsid w:val="22D121EA"/>
    <w:rsid w:val="22F34EA8"/>
    <w:rsid w:val="234E53B2"/>
    <w:rsid w:val="23B56C14"/>
    <w:rsid w:val="24743B45"/>
    <w:rsid w:val="247749FB"/>
    <w:rsid w:val="24917A57"/>
    <w:rsid w:val="255567A5"/>
    <w:rsid w:val="25F4209D"/>
    <w:rsid w:val="264B1E3E"/>
    <w:rsid w:val="267D4EFC"/>
    <w:rsid w:val="27740528"/>
    <w:rsid w:val="289457E1"/>
    <w:rsid w:val="28A03A94"/>
    <w:rsid w:val="28A808C6"/>
    <w:rsid w:val="29E55A72"/>
    <w:rsid w:val="2A515672"/>
    <w:rsid w:val="2AB90BF0"/>
    <w:rsid w:val="2B8678B6"/>
    <w:rsid w:val="2BE61149"/>
    <w:rsid w:val="2C4651AC"/>
    <w:rsid w:val="2D7A5523"/>
    <w:rsid w:val="2DE24C54"/>
    <w:rsid w:val="2E9848D4"/>
    <w:rsid w:val="2EF81506"/>
    <w:rsid w:val="2F0D6640"/>
    <w:rsid w:val="30336FAA"/>
    <w:rsid w:val="304F232A"/>
    <w:rsid w:val="305F1B4D"/>
    <w:rsid w:val="312850D7"/>
    <w:rsid w:val="317E4255"/>
    <w:rsid w:val="31E42322"/>
    <w:rsid w:val="325B455A"/>
    <w:rsid w:val="32755858"/>
    <w:rsid w:val="329D3D2E"/>
    <w:rsid w:val="33DE7F4C"/>
    <w:rsid w:val="34AD2007"/>
    <w:rsid w:val="34E45C3F"/>
    <w:rsid w:val="34F05F8B"/>
    <w:rsid w:val="34F54159"/>
    <w:rsid w:val="360A255B"/>
    <w:rsid w:val="367D6465"/>
    <w:rsid w:val="36897F35"/>
    <w:rsid w:val="36A068D5"/>
    <w:rsid w:val="388D4973"/>
    <w:rsid w:val="39145CDA"/>
    <w:rsid w:val="39EE72DC"/>
    <w:rsid w:val="3A28273B"/>
    <w:rsid w:val="3A7061B9"/>
    <w:rsid w:val="3AB35BB0"/>
    <w:rsid w:val="3B8C53ED"/>
    <w:rsid w:val="3C361DB4"/>
    <w:rsid w:val="3C8317E7"/>
    <w:rsid w:val="3CD25455"/>
    <w:rsid w:val="3D2D673D"/>
    <w:rsid w:val="3DB80C2A"/>
    <w:rsid w:val="3DC40EAD"/>
    <w:rsid w:val="3DCE530E"/>
    <w:rsid w:val="3E8D24D8"/>
    <w:rsid w:val="3EFA6412"/>
    <w:rsid w:val="3F1D5ACA"/>
    <w:rsid w:val="3F293BFA"/>
    <w:rsid w:val="405014B2"/>
    <w:rsid w:val="4091116A"/>
    <w:rsid w:val="427E5292"/>
    <w:rsid w:val="42EE1DC6"/>
    <w:rsid w:val="43677073"/>
    <w:rsid w:val="43926C4B"/>
    <w:rsid w:val="43F637C7"/>
    <w:rsid w:val="451B08D2"/>
    <w:rsid w:val="45260A34"/>
    <w:rsid w:val="458F470E"/>
    <w:rsid w:val="45C825CB"/>
    <w:rsid w:val="460D74FE"/>
    <w:rsid w:val="46244F73"/>
    <w:rsid w:val="468E4E6D"/>
    <w:rsid w:val="478C6222"/>
    <w:rsid w:val="47B03BA9"/>
    <w:rsid w:val="49026E10"/>
    <w:rsid w:val="49613B95"/>
    <w:rsid w:val="49862C8F"/>
    <w:rsid w:val="49AC02A6"/>
    <w:rsid w:val="4A0B4034"/>
    <w:rsid w:val="4A2E02C6"/>
    <w:rsid w:val="4A8F0E29"/>
    <w:rsid w:val="4B057649"/>
    <w:rsid w:val="4B9E1DB9"/>
    <w:rsid w:val="4C7310AD"/>
    <w:rsid w:val="4D842037"/>
    <w:rsid w:val="4D9B2F7F"/>
    <w:rsid w:val="4E810093"/>
    <w:rsid w:val="4E9534A4"/>
    <w:rsid w:val="4F22110D"/>
    <w:rsid w:val="4F3912D1"/>
    <w:rsid w:val="50086B0C"/>
    <w:rsid w:val="52267A1D"/>
    <w:rsid w:val="537F56AD"/>
    <w:rsid w:val="54022FBD"/>
    <w:rsid w:val="54660E4D"/>
    <w:rsid w:val="54810BF1"/>
    <w:rsid w:val="550024AC"/>
    <w:rsid w:val="555A336D"/>
    <w:rsid w:val="55630EE8"/>
    <w:rsid w:val="566E4E83"/>
    <w:rsid w:val="570016CA"/>
    <w:rsid w:val="5768620E"/>
    <w:rsid w:val="57947A7F"/>
    <w:rsid w:val="57C8287A"/>
    <w:rsid w:val="58256A7C"/>
    <w:rsid w:val="588C0756"/>
    <w:rsid w:val="589647C1"/>
    <w:rsid w:val="58A75590"/>
    <w:rsid w:val="59174A94"/>
    <w:rsid w:val="59337A15"/>
    <w:rsid w:val="59857735"/>
    <w:rsid w:val="5AAB6294"/>
    <w:rsid w:val="5AB3021C"/>
    <w:rsid w:val="5ADB76FE"/>
    <w:rsid w:val="5AE005A4"/>
    <w:rsid w:val="5B3A2A97"/>
    <w:rsid w:val="5BE84678"/>
    <w:rsid w:val="5C260263"/>
    <w:rsid w:val="5C390BF5"/>
    <w:rsid w:val="5C6D5D5D"/>
    <w:rsid w:val="5C8759E7"/>
    <w:rsid w:val="5CDA262A"/>
    <w:rsid w:val="5CEC7289"/>
    <w:rsid w:val="5D2C1646"/>
    <w:rsid w:val="5D2C42B6"/>
    <w:rsid w:val="5D886622"/>
    <w:rsid w:val="5E400EED"/>
    <w:rsid w:val="5E8048B9"/>
    <w:rsid w:val="5E93433C"/>
    <w:rsid w:val="5EA6727F"/>
    <w:rsid w:val="5EF77271"/>
    <w:rsid w:val="5FB83662"/>
    <w:rsid w:val="5FC52ECB"/>
    <w:rsid w:val="60AE2B4F"/>
    <w:rsid w:val="60D90571"/>
    <w:rsid w:val="620344FC"/>
    <w:rsid w:val="62A25746"/>
    <w:rsid w:val="63B165B7"/>
    <w:rsid w:val="643C3ECA"/>
    <w:rsid w:val="645529A9"/>
    <w:rsid w:val="64862C2B"/>
    <w:rsid w:val="64875507"/>
    <w:rsid w:val="64F10C32"/>
    <w:rsid w:val="6552795A"/>
    <w:rsid w:val="65D0211A"/>
    <w:rsid w:val="660404C6"/>
    <w:rsid w:val="66176FA2"/>
    <w:rsid w:val="6661072D"/>
    <w:rsid w:val="672A6364"/>
    <w:rsid w:val="675C1F74"/>
    <w:rsid w:val="67900263"/>
    <w:rsid w:val="68615F66"/>
    <w:rsid w:val="690676B2"/>
    <w:rsid w:val="693966D8"/>
    <w:rsid w:val="6949237B"/>
    <w:rsid w:val="69A36B79"/>
    <w:rsid w:val="69E92CFF"/>
    <w:rsid w:val="6A58498D"/>
    <w:rsid w:val="6A8B3BD0"/>
    <w:rsid w:val="6B230C32"/>
    <w:rsid w:val="6B28104B"/>
    <w:rsid w:val="6B4B5941"/>
    <w:rsid w:val="6BCA3618"/>
    <w:rsid w:val="6C562B32"/>
    <w:rsid w:val="6CD76B48"/>
    <w:rsid w:val="6E015061"/>
    <w:rsid w:val="6EA43393"/>
    <w:rsid w:val="70025E46"/>
    <w:rsid w:val="70FA4B39"/>
    <w:rsid w:val="715E7281"/>
    <w:rsid w:val="72394572"/>
    <w:rsid w:val="73110955"/>
    <w:rsid w:val="735A1441"/>
    <w:rsid w:val="74B90B53"/>
    <w:rsid w:val="74EA0887"/>
    <w:rsid w:val="75E16295"/>
    <w:rsid w:val="75F265F9"/>
    <w:rsid w:val="77AB11C2"/>
    <w:rsid w:val="77BC650A"/>
    <w:rsid w:val="77C53B91"/>
    <w:rsid w:val="77D73344"/>
    <w:rsid w:val="78144598"/>
    <w:rsid w:val="793067AF"/>
    <w:rsid w:val="7B5911D5"/>
    <w:rsid w:val="7B5F1FCE"/>
    <w:rsid w:val="7B9A6B62"/>
    <w:rsid w:val="7BA336EB"/>
    <w:rsid w:val="7BD32074"/>
    <w:rsid w:val="7BE5390A"/>
    <w:rsid w:val="7C027415"/>
    <w:rsid w:val="7CF03A0A"/>
    <w:rsid w:val="7F6C6E1F"/>
    <w:rsid w:val="7FC44AF6"/>
    <w:rsid w:val="7FCC29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0"/>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102"/>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6">
    <w:name w:val="heading 3"/>
    <w:basedOn w:val="1"/>
    <w:next w:val="5"/>
    <w:link w:val="119"/>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3"/>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6"/>
    <w:qFormat/>
    <w:uiPriority w:val="0"/>
    <w:pPr>
      <w:keepNext/>
      <w:keepLines/>
      <w:spacing w:before="280" w:after="290" w:line="376" w:lineRule="auto"/>
      <w:outlineLvl w:val="4"/>
    </w:pPr>
    <w:rPr>
      <w:b/>
      <w:sz w:val="28"/>
      <w:szCs w:val="20"/>
    </w:rPr>
  </w:style>
  <w:style w:type="paragraph" w:styleId="9">
    <w:name w:val="heading 6"/>
    <w:basedOn w:val="1"/>
    <w:next w:val="5"/>
    <w:link w:val="91"/>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1"/>
    <w:qFormat/>
    <w:uiPriority w:val="0"/>
    <w:pPr>
      <w:keepNext/>
      <w:keepLines/>
      <w:spacing w:before="240" w:after="64" w:line="320" w:lineRule="auto"/>
      <w:outlineLvl w:val="6"/>
    </w:pPr>
    <w:rPr>
      <w:b/>
      <w:sz w:val="24"/>
      <w:szCs w:val="20"/>
    </w:rPr>
  </w:style>
  <w:style w:type="paragraph" w:styleId="11">
    <w:name w:val="heading 8"/>
    <w:basedOn w:val="1"/>
    <w:next w:val="5"/>
    <w:link w:val="98"/>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90"/>
    <w:qFormat/>
    <w:uiPriority w:val="0"/>
    <w:pPr>
      <w:keepNext/>
      <w:keepLines/>
      <w:spacing w:before="240" w:after="64" w:line="320" w:lineRule="auto"/>
      <w:outlineLvl w:val="8"/>
    </w:pPr>
    <w:rPr>
      <w:rFonts w:ascii="Arial" w:hAnsi="Arial" w:eastAsia="黑体"/>
      <w:szCs w:val="20"/>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6"/>
    <w:qFormat/>
    <w:uiPriority w:val="0"/>
    <w:pPr>
      <w:spacing w:after="120"/>
    </w:pPr>
  </w:style>
  <w:style w:type="paragraph" w:styleId="5">
    <w:name w:val="Normal Indent"/>
    <w:basedOn w:val="1"/>
    <w:link w:val="113"/>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1"/>
    <w:qFormat/>
    <w:uiPriority w:val="0"/>
    <w:pPr>
      <w:spacing w:line="360" w:lineRule="auto"/>
      <w:jc w:val="left"/>
    </w:pPr>
    <w:rPr>
      <w:sz w:val="24"/>
    </w:rPr>
  </w:style>
  <w:style w:type="paragraph" w:styleId="18">
    <w:name w:val="Body Text Indent"/>
    <w:basedOn w:val="1"/>
    <w:link w:val="123"/>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qFormat/>
    <w:uiPriority w:val="0"/>
    <w:pPr>
      <w:numPr>
        <w:ilvl w:val="0"/>
        <w:numId w:val="2"/>
      </w:numPr>
    </w:pPr>
  </w:style>
  <w:style w:type="paragraph" w:styleId="20">
    <w:name w:val="HTML Address"/>
    <w:basedOn w:val="1"/>
    <w:link w:val="129"/>
    <w:qFormat/>
    <w:uiPriority w:val="0"/>
    <w:pPr>
      <w:numPr>
        <w:ilvl w:val="0"/>
        <w:numId w:val="3"/>
      </w:numPr>
      <w:tabs>
        <w:tab w:val="clear" w:pos="432"/>
      </w:tabs>
      <w:ind w:left="0" w:firstLine="0"/>
    </w:pPr>
    <w:rPr>
      <w:i/>
    </w:rPr>
  </w:style>
  <w:style w:type="paragraph" w:styleId="21">
    <w:name w:val="toc 5"/>
    <w:basedOn w:val="1"/>
    <w:next w:val="1"/>
    <w:qFormat/>
    <w:uiPriority w:val="0"/>
    <w:pPr>
      <w:ind w:left="800" w:leftChars="800"/>
    </w:pPr>
    <w:rPr>
      <w:rFonts w:ascii="Calibri" w:hAnsi="Calibri"/>
      <w:szCs w:val="22"/>
    </w:rPr>
  </w:style>
  <w:style w:type="paragraph" w:styleId="22">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4"/>
    <w:qFormat/>
    <w:uiPriority w:val="0"/>
    <w:rPr>
      <w:rFonts w:ascii="宋体" w:hAnsi="Courier New"/>
      <w:szCs w:val="20"/>
    </w:rPr>
  </w:style>
  <w:style w:type="paragraph" w:styleId="24">
    <w:name w:val="toc 8"/>
    <w:basedOn w:val="1"/>
    <w:next w:val="1"/>
    <w:qFormat/>
    <w:uiPriority w:val="0"/>
    <w:pPr>
      <w:ind w:left="1400" w:leftChars="1400"/>
    </w:pPr>
    <w:rPr>
      <w:rFonts w:ascii="Calibri" w:hAnsi="Calibri"/>
      <w:szCs w:val="22"/>
    </w:rPr>
  </w:style>
  <w:style w:type="paragraph" w:styleId="25">
    <w:name w:val="Date"/>
    <w:basedOn w:val="1"/>
    <w:next w:val="1"/>
    <w:link w:val="63"/>
    <w:qFormat/>
    <w:uiPriority w:val="0"/>
    <w:pPr>
      <w:numPr>
        <w:ilvl w:val="0"/>
        <w:numId w:val="4"/>
      </w:numPr>
      <w:ind w:left="100" w:leftChars="2500"/>
    </w:pPr>
  </w:style>
  <w:style w:type="paragraph" w:styleId="26">
    <w:name w:val="Body Text Indent 2"/>
    <w:basedOn w:val="1"/>
    <w:link w:val="71"/>
    <w:qFormat/>
    <w:uiPriority w:val="0"/>
    <w:pPr>
      <w:spacing w:line="480" w:lineRule="exact"/>
      <w:ind w:left="810" w:firstLine="675"/>
    </w:pPr>
    <w:rPr>
      <w:rFonts w:eastAsia="仿宋_GB2312"/>
      <w:sz w:val="30"/>
      <w:szCs w:val="20"/>
    </w:rPr>
  </w:style>
  <w:style w:type="paragraph" w:styleId="27">
    <w:name w:val="Balloon Text"/>
    <w:basedOn w:val="1"/>
    <w:link w:val="86"/>
    <w:qFormat/>
    <w:uiPriority w:val="0"/>
    <w:rPr>
      <w:sz w:val="18"/>
      <w:szCs w:val="18"/>
    </w:rPr>
  </w:style>
  <w:style w:type="paragraph" w:styleId="28">
    <w:name w:val="footer"/>
    <w:basedOn w:val="1"/>
    <w:link w:val="132"/>
    <w:qFormat/>
    <w:uiPriority w:val="0"/>
    <w:pPr>
      <w:tabs>
        <w:tab w:val="center" w:pos="4153"/>
        <w:tab w:val="right" w:pos="8306"/>
      </w:tabs>
      <w:snapToGrid w:val="0"/>
      <w:jc w:val="left"/>
    </w:pPr>
    <w:rPr>
      <w:sz w:val="18"/>
      <w:szCs w:val="20"/>
    </w:rPr>
  </w:style>
  <w:style w:type="paragraph" w:styleId="29">
    <w:name w:val="header"/>
    <w:basedOn w:val="1"/>
    <w:link w:val="124"/>
    <w:qFormat/>
    <w:uiPriority w:val="99"/>
    <w:pPr>
      <w:pBdr>
        <w:bottom w:val="single" w:color="auto" w:sz="6" w:space="1"/>
      </w:pBdr>
      <w:tabs>
        <w:tab w:val="center" w:pos="4153"/>
        <w:tab w:val="right" w:pos="8306"/>
      </w:tabs>
      <w:snapToGrid w:val="0"/>
      <w:jc w:val="center"/>
    </w:pPr>
    <w:rPr>
      <w:sz w:val="18"/>
      <w:szCs w:val="20"/>
    </w:rPr>
  </w:style>
  <w:style w:type="paragraph" w:styleId="30">
    <w:name w:val="toc 1"/>
    <w:basedOn w:val="1"/>
    <w:next w:val="1"/>
    <w:qFormat/>
    <w:uiPriority w:val="39"/>
    <w:pPr>
      <w:tabs>
        <w:tab w:val="right" w:leader="dot" w:pos="8949"/>
      </w:tabs>
      <w:spacing w:before="120" w:after="120"/>
      <w:jc w:val="left"/>
    </w:pPr>
    <w:rPr>
      <w:b/>
      <w:bCs/>
      <w:caps/>
      <w:szCs w:val="21"/>
    </w:rPr>
  </w:style>
  <w:style w:type="paragraph" w:styleId="31">
    <w:name w:val="toc 4"/>
    <w:basedOn w:val="1"/>
    <w:next w:val="1"/>
    <w:qFormat/>
    <w:uiPriority w:val="0"/>
    <w:pPr>
      <w:ind w:left="600" w:leftChars="600"/>
    </w:pPr>
    <w:rPr>
      <w:rFonts w:ascii="Calibri" w:hAnsi="Calibri"/>
      <w:szCs w:val="22"/>
    </w:rPr>
  </w:style>
  <w:style w:type="paragraph" w:styleId="32">
    <w:name w:val="index heading"/>
    <w:basedOn w:val="1"/>
    <w:next w:val="33"/>
    <w:qFormat/>
    <w:uiPriority w:val="0"/>
    <w:rPr>
      <w:szCs w:val="20"/>
    </w:rPr>
  </w:style>
  <w:style w:type="paragraph" w:styleId="33">
    <w:name w:val="index 1"/>
    <w:basedOn w:val="1"/>
    <w:next w:val="1"/>
    <w:qFormat/>
    <w:uiPriority w:val="0"/>
  </w:style>
  <w:style w:type="paragraph" w:styleId="34">
    <w:name w:val="List"/>
    <w:basedOn w:val="1"/>
    <w:qFormat/>
    <w:uiPriority w:val="0"/>
    <w:pPr>
      <w:ind w:left="200" w:hanging="200" w:hangingChars="200"/>
    </w:pPr>
  </w:style>
  <w:style w:type="paragraph" w:styleId="35">
    <w:name w:val="toc 6"/>
    <w:basedOn w:val="1"/>
    <w:next w:val="1"/>
    <w:qFormat/>
    <w:uiPriority w:val="0"/>
    <w:pPr>
      <w:ind w:left="1000" w:leftChars="1000"/>
    </w:pPr>
    <w:rPr>
      <w:rFonts w:ascii="Calibri" w:hAnsi="Calibri"/>
      <w:szCs w:val="22"/>
    </w:rPr>
  </w:style>
  <w:style w:type="paragraph" w:styleId="36">
    <w:name w:val="Body Text Indent 3"/>
    <w:basedOn w:val="1"/>
    <w:link w:val="72"/>
    <w:qFormat/>
    <w:uiPriority w:val="0"/>
    <w:pPr>
      <w:widowControl/>
      <w:tabs>
        <w:tab w:val="left" w:pos="502"/>
      </w:tabs>
      <w:adjustRightInd w:val="0"/>
      <w:snapToGrid w:val="0"/>
      <w:spacing w:line="360" w:lineRule="auto"/>
      <w:ind w:left="540" w:leftChars="257"/>
    </w:pPr>
    <w:rPr>
      <w:rFonts w:ascii="宋体" w:hAnsi="宋体"/>
    </w:rPr>
  </w:style>
  <w:style w:type="paragraph" w:styleId="37">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8">
    <w:name w:val="toc 9"/>
    <w:basedOn w:val="1"/>
    <w:next w:val="1"/>
    <w:qFormat/>
    <w:uiPriority w:val="0"/>
    <w:pPr>
      <w:ind w:left="1600" w:leftChars="1600"/>
    </w:pPr>
    <w:rPr>
      <w:rFonts w:ascii="Calibri" w:hAnsi="Calibri"/>
      <w:szCs w:val="22"/>
    </w:rPr>
  </w:style>
  <w:style w:type="paragraph" w:styleId="39">
    <w:name w:val="Body Text 2"/>
    <w:basedOn w:val="1"/>
    <w:link w:val="101"/>
    <w:qFormat/>
    <w:uiPriority w:val="0"/>
    <w:pPr>
      <w:spacing w:line="360" w:lineRule="auto"/>
    </w:pPr>
    <w:rPr>
      <w:rFonts w:ascii="仿宋_GB2312" w:eastAsia="仿宋_GB2312"/>
      <w:sz w:val="32"/>
    </w:rPr>
  </w:style>
  <w:style w:type="paragraph" w:styleId="40">
    <w:name w:val="HTML Preformatted"/>
    <w:basedOn w:val="1"/>
    <w:link w:val="13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2">
    <w:name w:val="index 2"/>
    <w:basedOn w:val="1"/>
    <w:next w:val="1"/>
    <w:qFormat/>
    <w:uiPriority w:val="0"/>
    <w:pPr>
      <w:ind w:left="420" w:hanging="210"/>
      <w:jc w:val="left"/>
    </w:pPr>
    <w:rPr>
      <w:sz w:val="20"/>
      <w:szCs w:val="20"/>
    </w:rPr>
  </w:style>
  <w:style w:type="paragraph" w:styleId="43">
    <w:name w:val="Title"/>
    <w:basedOn w:val="1"/>
    <w:next w:val="1"/>
    <w:link w:val="125"/>
    <w:qFormat/>
    <w:uiPriority w:val="0"/>
    <w:pPr>
      <w:spacing w:before="240" w:after="60"/>
      <w:jc w:val="center"/>
      <w:outlineLvl w:val="0"/>
    </w:pPr>
    <w:rPr>
      <w:rFonts w:ascii="Cambria" w:hAnsi="Cambria"/>
      <w:b/>
      <w:bCs/>
      <w:sz w:val="32"/>
      <w:szCs w:val="32"/>
    </w:rPr>
  </w:style>
  <w:style w:type="paragraph" w:styleId="44">
    <w:name w:val="Body Text First Indent"/>
    <w:basedOn w:val="2"/>
    <w:link w:val="133"/>
    <w:qFormat/>
    <w:uiPriority w:val="0"/>
    <w:pPr>
      <w:ind w:firstLine="100" w:firstLineChars="100"/>
    </w:pPr>
    <w:rPr>
      <w:rFonts w:ascii="Calibri" w:hAnsi="Calibri"/>
      <w:szCs w:val="22"/>
    </w:rPr>
  </w:style>
  <w:style w:type="paragraph" w:styleId="45">
    <w:name w:val="Body Text First Indent 2"/>
    <w:basedOn w:val="18"/>
    <w:link w:val="60"/>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7">
    <w:name w:val="Table Grid"/>
    <w:basedOn w:val="46"/>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22"/>
    <w:rPr>
      <w:b/>
      <w:bCs/>
    </w:rPr>
  </w:style>
  <w:style w:type="character" w:styleId="50">
    <w:name w:val="page number"/>
    <w:basedOn w:val="48"/>
    <w:qFormat/>
    <w:uiPriority w:val="0"/>
  </w:style>
  <w:style w:type="character" w:styleId="51">
    <w:name w:val="Emphasis"/>
    <w:qFormat/>
    <w:uiPriority w:val="20"/>
    <w:rPr>
      <w:i/>
      <w:iCs/>
    </w:rPr>
  </w:style>
  <w:style w:type="character" w:styleId="52">
    <w:name w:val="Hyperlink"/>
    <w:qFormat/>
    <w:uiPriority w:val="99"/>
    <w:rPr>
      <w:color w:val="0000FF"/>
      <w:u w:val="single"/>
    </w:rPr>
  </w:style>
  <w:style w:type="character" w:styleId="53">
    <w:name w:val="annotation reference"/>
    <w:qFormat/>
    <w:uiPriority w:val="0"/>
    <w:rPr>
      <w:sz w:val="21"/>
      <w:szCs w:val="21"/>
    </w:rPr>
  </w:style>
  <w:style w:type="paragraph" w:customStyle="1" w:styleId="54">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5">
    <w:name w:val="标题 1 Char Char"/>
    <w:qFormat/>
    <w:uiPriority w:val="0"/>
    <w:rPr>
      <w:rFonts w:eastAsia="宋体"/>
      <w:b/>
      <w:bCs/>
      <w:kern w:val="44"/>
      <w:sz w:val="44"/>
      <w:szCs w:val="44"/>
      <w:lang w:val="en-US" w:eastAsia="zh-CN" w:bidi="ar-SA"/>
    </w:rPr>
  </w:style>
  <w:style w:type="character" w:customStyle="1" w:styleId="56">
    <w:name w:val="标题 4 Char Char"/>
    <w:qFormat/>
    <w:uiPriority w:val="0"/>
    <w:rPr>
      <w:rFonts w:ascii="Arial" w:hAnsi="Arial" w:eastAsia="黑体"/>
      <w:b/>
      <w:bCs/>
      <w:kern w:val="2"/>
      <w:sz w:val="28"/>
      <w:szCs w:val="28"/>
      <w:lang w:val="en-US" w:eastAsia="zh-CN" w:bidi="ar-SA"/>
    </w:rPr>
  </w:style>
  <w:style w:type="character" w:customStyle="1" w:styleId="57">
    <w:name w:val="font11"/>
    <w:basedOn w:val="48"/>
    <w:qFormat/>
    <w:uiPriority w:val="0"/>
    <w:rPr>
      <w:rFonts w:hint="eastAsia" w:ascii="宋体" w:hAnsi="宋体" w:eastAsia="宋体"/>
      <w:color w:val="000000"/>
      <w:sz w:val="24"/>
      <w:szCs w:val="24"/>
      <w:u w:val="none"/>
    </w:rPr>
  </w:style>
  <w:style w:type="character" w:customStyle="1" w:styleId="58">
    <w:name w:val="标题 5 Char Char"/>
    <w:qFormat/>
    <w:uiPriority w:val="0"/>
    <w:rPr>
      <w:rFonts w:eastAsia="宋体"/>
      <w:b/>
      <w:bCs/>
      <w:kern w:val="2"/>
      <w:sz w:val="28"/>
      <w:szCs w:val="28"/>
      <w:lang w:val="en-US" w:eastAsia="zh-CN" w:bidi="ar-SA"/>
    </w:rPr>
  </w:style>
  <w:style w:type="character" w:customStyle="1" w:styleId="59">
    <w:name w:val="ca-5"/>
    <w:basedOn w:val="48"/>
    <w:qFormat/>
    <w:uiPriority w:val="0"/>
  </w:style>
  <w:style w:type="character" w:customStyle="1" w:styleId="60">
    <w:name w:val="正文首行缩进 2 Char"/>
    <w:link w:val="45"/>
    <w:qFormat/>
    <w:uiPriority w:val="0"/>
    <w:rPr>
      <w:rFonts w:ascii="Calibri" w:hAnsi="Calibri" w:eastAsia="仿宋_GB2312"/>
      <w:kern w:val="2"/>
      <w:sz w:val="21"/>
      <w:szCs w:val="22"/>
      <w:lang w:val="en-US" w:eastAsia="zh-CN" w:bidi="ar-SA"/>
    </w:rPr>
  </w:style>
  <w:style w:type="character" w:customStyle="1" w:styleId="61">
    <w:name w:val="已访问的超链接1"/>
    <w:qFormat/>
    <w:uiPriority w:val="0"/>
    <w:rPr>
      <w:color w:val="800080"/>
      <w:u w:val="single"/>
    </w:rPr>
  </w:style>
  <w:style w:type="character" w:customStyle="1" w:styleId="62">
    <w:name w:val="正文首行缩进 Char Char"/>
    <w:qFormat/>
    <w:uiPriority w:val="0"/>
    <w:rPr>
      <w:rFonts w:eastAsia="仿宋_GB2312"/>
      <w:kern w:val="2"/>
      <w:sz w:val="28"/>
      <w:szCs w:val="24"/>
      <w:lang w:bidi="ar-SA"/>
    </w:rPr>
  </w:style>
  <w:style w:type="character" w:customStyle="1" w:styleId="63">
    <w:name w:val="日期 Char"/>
    <w:link w:val="25"/>
    <w:qFormat/>
    <w:uiPriority w:val="0"/>
    <w:rPr>
      <w:kern w:val="2"/>
      <w:sz w:val="21"/>
      <w:szCs w:val="24"/>
    </w:rPr>
  </w:style>
  <w:style w:type="character" w:customStyle="1" w:styleId="64">
    <w:name w:val="正文文本缩进 3 Char Char"/>
    <w:qFormat/>
    <w:uiPriority w:val="0"/>
    <w:rPr>
      <w:kern w:val="2"/>
      <w:sz w:val="16"/>
      <w:szCs w:val="16"/>
      <w:lang w:bidi="ar-SA"/>
    </w:rPr>
  </w:style>
  <w:style w:type="character" w:customStyle="1" w:styleId="65">
    <w:name w:val="文档正文 Char1"/>
    <w:link w:val="66"/>
    <w:qFormat/>
    <w:uiPriority w:val="0"/>
    <w:rPr>
      <w:rFonts w:ascii="Arial Narrow" w:hAnsi="Arial Narrow"/>
      <w:sz w:val="24"/>
      <w:szCs w:val="24"/>
      <w:lang w:val="en-US" w:eastAsia="zh-CN" w:bidi="ar-SA"/>
    </w:rPr>
  </w:style>
  <w:style w:type="paragraph" w:customStyle="1" w:styleId="66">
    <w:name w:val="文档正文"/>
    <w:link w:val="65"/>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7">
    <w:name w:val="正文文本 Char Char"/>
    <w:qFormat/>
    <w:uiPriority w:val="0"/>
    <w:rPr>
      <w:rFonts w:eastAsia="宋体"/>
      <w:kern w:val="2"/>
      <w:sz w:val="21"/>
      <w:szCs w:val="24"/>
      <w:lang w:val="en-US" w:eastAsia="zh-CN" w:bidi="ar-SA"/>
    </w:rPr>
  </w:style>
  <w:style w:type="character" w:customStyle="1" w:styleId="68">
    <w:name w:val="样式 样式 宋体 小四 行距: 1.5 倍行距 + ˎ̥ 黑色 Char Char"/>
    <w:link w:val="69"/>
    <w:qFormat/>
    <w:uiPriority w:val="0"/>
    <w:rPr>
      <w:rFonts w:ascii="Calibri" w:hAnsi="Calibri" w:eastAsia="仿宋_GB2312"/>
      <w:kern w:val="2"/>
      <w:sz w:val="21"/>
      <w:szCs w:val="22"/>
      <w:lang w:val="en-US" w:eastAsia="zh-CN" w:bidi="ar-SA"/>
    </w:rPr>
  </w:style>
  <w:style w:type="paragraph" w:customStyle="1" w:styleId="69">
    <w:name w:val="样式 样式 宋体 小四 行距: 1.5 倍行距 + ˎ̥ 黑色"/>
    <w:basedOn w:val="45"/>
    <w:link w:val="68"/>
    <w:qFormat/>
    <w:uiPriority w:val="0"/>
  </w:style>
  <w:style w:type="character" w:customStyle="1" w:styleId="70">
    <w:name w:val="style71"/>
    <w:qFormat/>
    <w:uiPriority w:val="0"/>
    <w:rPr>
      <w:sz w:val="21"/>
      <w:szCs w:val="21"/>
    </w:rPr>
  </w:style>
  <w:style w:type="character" w:customStyle="1" w:styleId="71">
    <w:name w:val="正文文本缩进 2 Char"/>
    <w:link w:val="26"/>
    <w:qFormat/>
    <w:uiPriority w:val="0"/>
    <w:rPr>
      <w:rFonts w:eastAsia="仿宋_GB2312"/>
      <w:kern w:val="2"/>
      <w:sz w:val="30"/>
      <w:lang w:val="en-US" w:eastAsia="zh-CN" w:bidi="ar-SA"/>
    </w:rPr>
  </w:style>
  <w:style w:type="character" w:customStyle="1" w:styleId="72">
    <w:name w:val="正文文本缩进 3 Char"/>
    <w:link w:val="36"/>
    <w:qFormat/>
    <w:uiPriority w:val="0"/>
    <w:rPr>
      <w:rFonts w:ascii="宋体" w:hAnsi="宋体" w:eastAsia="宋体"/>
      <w:kern w:val="2"/>
      <w:sz w:val="21"/>
      <w:szCs w:val="24"/>
      <w:lang w:val="en-US" w:eastAsia="zh-CN" w:bidi="ar-SA"/>
    </w:rPr>
  </w:style>
  <w:style w:type="character" w:customStyle="1" w:styleId="73">
    <w:name w:val="ca-9"/>
    <w:basedOn w:val="48"/>
    <w:qFormat/>
    <w:uiPriority w:val="0"/>
  </w:style>
  <w:style w:type="character" w:customStyle="1" w:styleId="74">
    <w:name w:val="纯文本 Char"/>
    <w:link w:val="23"/>
    <w:qFormat/>
    <w:uiPriority w:val="0"/>
    <w:rPr>
      <w:rFonts w:ascii="宋体" w:hAnsi="Courier New" w:eastAsia="宋体"/>
      <w:kern w:val="2"/>
      <w:sz w:val="21"/>
      <w:lang w:val="en-US" w:eastAsia="zh-CN" w:bidi="ar-SA"/>
    </w:rPr>
  </w:style>
  <w:style w:type="character" w:customStyle="1" w:styleId="75">
    <w:name w:val="页脚 Char Char"/>
    <w:qFormat/>
    <w:uiPriority w:val="0"/>
    <w:rPr>
      <w:rFonts w:eastAsia="宋体"/>
      <w:sz w:val="18"/>
      <w:szCs w:val="18"/>
      <w:lang w:bidi="ar-SA"/>
    </w:rPr>
  </w:style>
  <w:style w:type="character" w:customStyle="1" w:styleId="76">
    <w:name w:val="正文文本 Char"/>
    <w:link w:val="2"/>
    <w:qFormat/>
    <w:uiPriority w:val="0"/>
    <w:rPr>
      <w:rFonts w:eastAsia="宋体"/>
      <w:kern w:val="2"/>
      <w:sz w:val="21"/>
      <w:szCs w:val="24"/>
      <w:lang w:val="en-US" w:eastAsia="zh-CN" w:bidi="ar-SA"/>
    </w:rPr>
  </w:style>
  <w:style w:type="character" w:customStyle="1" w:styleId="77">
    <w:name w:val="标题 2 Char Char"/>
    <w:qFormat/>
    <w:uiPriority w:val="0"/>
    <w:rPr>
      <w:rFonts w:ascii="Cambria" w:hAnsi="Cambria" w:eastAsia="宋体"/>
      <w:b/>
      <w:bCs/>
      <w:kern w:val="2"/>
      <w:sz w:val="32"/>
      <w:szCs w:val="32"/>
      <w:lang w:val="en-US" w:eastAsia="zh-CN" w:bidi="ar-SA"/>
    </w:rPr>
  </w:style>
  <w:style w:type="character" w:customStyle="1" w:styleId="78">
    <w:name w:val="标题 1 1 Char"/>
    <w:qFormat/>
    <w:uiPriority w:val="0"/>
    <w:rPr>
      <w:rFonts w:ascii="黑体" w:eastAsia="黑体"/>
      <w:bCs/>
      <w:kern w:val="44"/>
      <w:sz w:val="24"/>
      <w:lang w:val="en-US" w:eastAsia="zh-CN" w:bidi="ar-SA"/>
    </w:rPr>
  </w:style>
  <w:style w:type="character" w:customStyle="1" w:styleId="79">
    <w:name w:val="Char Char14"/>
    <w:qFormat/>
    <w:uiPriority w:val="0"/>
    <w:rPr>
      <w:rFonts w:ascii="宋体" w:eastAsia="宋体"/>
      <w:sz w:val="34"/>
      <w:lang w:val="en-US" w:eastAsia="zh-CN" w:bidi="ar-SA"/>
    </w:rPr>
  </w:style>
  <w:style w:type="character" w:customStyle="1" w:styleId="80">
    <w:name w:val="content"/>
    <w:qFormat/>
    <w:uiPriority w:val="0"/>
  </w:style>
  <w:style w:type="character" w:customStyle="1" w:styleId="81">
    <w:name w:val="Char Char5"/>
    <w:qFormat/>
    <w:uiPriority w:val="0"/>
    <w:rPr>
      <w:rFonts w:eastAsia="宋体"/>
      <w:kern w:val="2"/>
      <w:sz w:val="18"/>
      <w:lang w:val="en-US" w:eastAsia="zh-CN" w:bidi="ar-SA"/>
    </w:rPr>
  </w:style>
  <w:style w:type="character" w:customStyle="1" w:styleId="82">
    <w:name w:val="c_666"/>
    <w:basedOn w:val="48"/>
    <w:qFormat/>
    <w:uiPriority w:val="0"/>
  </w:style>
  <w:style w:type="character" w:customStyle="1" w:styleId="83">
    <w:name w:val="ALT+Z Char"/>
    <w:qFormat/>
    <w:uiPriority w:val="0"/>
    <w:rPr>
      <w:rFonts w:ascii="宋体"/>
      <w:sz w:val="34"/>
    </w:rPr>
  </w:style>
  <w:style w:type="character" w:customStyle="1" w:styleId="84">
    <w:name w:val="正文（缩进） Char Char"/>
    <w:link w:val="85"/>
    <w:qFormat/>
    <w:uiPriority w:val="0"/>
    <w:rPr>
      <w:rFonts w:eastAsia="宋体"/>
      <w:kern w:val="2"/>
      <w:sz w:val="24"/>
      <w:szCs w:val="24"/>
      <w:lang w:val="en-US" w:eastAsia="zh-CN" w:bidi="ar-SA"/>
    </w:rPr>
  </w:style>
  <w:style w:type="paragraph" w:customStyle="1" w:styleId="85">
    <w:name w:val="正文（缩进）"/>
    <w:basedOn w:val="1"/>
    <w:link w:val="84"/>
    <w:qFormat/>
    <w:uiPriority w:val="0"/>
    <w:pPr>
      <w:spacing w:beforeLines="50" w:afterLines="50" w:line="360" w:lineRule="auto"/>
      <w:ind w:firstLine="480" w:firstLineChars="200"/>
    </w:pPr>
    <w:rPr>
      <w:sz w:val="24"/>
    </w:rPr>
  </w:style>
  <w:style w:type="character" w:customStyle="1" w:styleId="86">
    <w:name w:val="批注框文本 Char"/>
    <w:link w:val="27"/>
    <w:qFormat/>
    <w:uiPriority w:val="0"/>
    <w:rPr>
      <w:rFonts w:eastAsia="宋体"/>
      <w:kern w:val="2"/>
      <w:sz w:val="18"/>
      <w:szCs w:val="18"/>
      <w:lang w:val="en-US" w:eastAsia="zh-CN" w:bidi="ar-SA"/>
    </w:rPr>
  </w:style>
  <w:style w:type="character" w:customStyle="1" w:styleId="87">
    <w:name w:val="表格内容"/>
    <w:qFormat/>
    <w:uiPriority w:val="0"/>
    <w:rPr>
      <w:sz w:val="24"/>
    </w:rPr>
  </w:style>
  <w:style w:type="character" w:customStyle="1" w:styleId="88">
    <w:name w:val="ca-8"/>
    <w:basedOn w:val="48"/>
    <w:qFormat/>
    <w:uiPriority w:val="0"/>
  </w:style>
  <w:style w:type="character" w:customStyle="1" w:styleId="89">
    <w:name w:val="不明显参考1"/>
    <w:qFormat/>
    <w:uiPriority w:val="0"/>
    <w:rPr>
      <w:smallCaps/>
      <w:color w:val="C0504D"/>
      <w:u w:val="single"/>
    </w:rPr>
  </w:style>
  <w:style w:type="character" w:customStyle="1" w:styleId="90">
    <w:name w:val="标题 9 Char"/>
    <w:link w:val="12"/>
    <w:qFormat/>
    <w:uiPriority w:val="0"/>
    <w:rPr>
      <w:rFonts w:ascii="Arial" w:hAnsi="Arial" w:eastAsia="黑体"/>
      <w:kern w:val="2"/>
      <w:sz w:val="21"/>
      <w:lang w:val="en-US" w:eastAsia="zh-CN" w:bidi="ar-SA"/>
    </w:rPr>
  </w:style>
  <w:style w:type="character" w:customStyle="1" w:styleId="91">
    <w:name w:val="标题 6 Char"/>
    <w:link w:val="9"/>
    <w:qFormat/>
    <w:uiPriority w:val="0"/>
    <w:rPr>
      <w:rFonts w:ascii="Arial" w:hAnsi="Arial" w:eastAsia="黑体"/>
      <w:b/>
      <w:kern w:val="2"/>
      <w:sz w:val="24"/>
      <w:lang w:val="en-US" w:eastAsia="zh-CN" w:bidi="ar-SA"/>
    </w:rPr>
  </w:style>
  <w:style w:type="character" w:customStyle="1" w:styleId="92">
    <w:name w:val="ca-10"/>
    <w:basedOn w:val="48"/>
    <w:qFormat/>
    <w:uiPriority w:val="0"/>
  </w:style>
  <w:style w:type="character" w:customStyle="1" w:styleId="93">
    <w:name w:val="标题 4 Char"/>
    <w:link w:val="7"/>
    <w:qFormat/>
    <w:uiPriority w:val="0"/>
    <w:rPr>
      <w:rFonts w:ascii="Arial" w:hAnsi="Arial" w:eastAsia="黑体"/>
      <w:b/>
      <w:kern w:val="2"/>
      <w:sz w:val="28"/>
      <w:lang w:val="en-US" w:eastAsia="zh-CN" w:bidi="ar-SA"/>
    </w:rPr>
  </w:style>
  <w:style w:type="character" w:customStyle="1" w:styleId="94">
    <w:name w:val="批注文字 Char Char"/>
    <w:qFormat/>
    <w:uiPriority w:val="0"/>
    <w:rPr>
      <w:kern w:val="2"/>
      <w:sz w:val="21"/>
      <w:lang w:bidi="ar-SA"/>
    </w:rPr>
  </w:style>
  <w:style w:type="character" w:customStyle="1" w:styleId="95">
    <w:name w:val="style18"/>
    <w:qFormat/>
    <w:uiPriority w:val="0"/>
  </w:style>
  <w:style w:type="character" w:customStyle="1" w:styleId="96">
    <w:name w:val="font21"/>
    <w:basedOn w:val="48"/>
    <w:qFormat/>
    <w:uiPriority w:val="0"/>
    <w:rPr>
      <w:rFonts w:hint="default" w:ascii="Arial" w:hAnsi="Arial" w:cs="Arial"/>
      <w:color w:val="000000"/>
      <w:sz w:val="24"/>
      <w:szCs w:val="24"/>
      <w:u w:val="none"/>
    </w:rPr>
  </w:style>
  <w:style w:type="character" w:customStyle="1" w:styleId="97">
    <w:name w:val="ca-11"/>
    <w:basedOn w:val="48"/>
    <w:qFormat/>
    <w:uiPriority w:val="0"/>
  </w:style>
  <w:style w:type="character" w:customStyle="1" w:styleId="98">
    <w:name w:val="标题 8 Char"/>
    <w:link w:val="11"/>
    <w:qFormat/>
    <w:uiPriority w:val="0"/>
    <w:rPr>
      <w:rFonts w:ascii="Arial" w:hAnsi="Arial" w:eastAsia="黑体"/>
      <w:kern w:val="2"/>
      <w:sz w:val="24"/>
      <w:lang w:val="en-US" w:eastAsia="zh-CN" w:bidi="ar-SA"/>
    </w:rPr>
  </w:style>
  <w:style w:type="character" w:customStyle="1" w:styleId="99">
    <w:name w:val="类目1 Char Char"/>
    <w:link w:val="100"/>
    <w:qFormat/>
    <w:uiPriority w:val="0"/>
    <w:rPr>
      <w:b/>
      <w:color w:val="17365D"/>
      <w:kern w:val="2"/>
      <w:sz w:val="28"/>
      <w:szCs w:val="28"/>
      <w:lang w:bidi="ar-SA"/>
    </w:rPr>
  </w:style>
  <w:style w:type="paragraph" w:customStyle="1" w:styleId="100">
    <w:name w:val="类目1"/>
    <w:basedOn w:val="1"/>
    <w:link w:val="99"/>
    <w:qFormat/>
    <w:uiPriority w:val="0"/>
    <w:pPr>
      <w:adjustRightInd w:val="0"/>
      <w:snapToGrid w:val="0"/>
      <w:spacing w:line="220" w:lineRule="atLeast"/>
    </w:pPr>
    <w:rPr>
      <w:b/>
      <w:color w:val="17365D"/>
      <w:sz w:val="28"/>
      <w:szCs w:val="28"/>
    </w:rPr>
  </w:style>
  <w:style w:type="character" w:customStyle="1" w:styleId="101">
    <w:name w:val="正文文本 2 Char"/>
    <w:link w:val="39"/>
    <w:qFormat/>
    <w:uiPriority w:val="0"/>
    <w:rPr>
      <w:rFonts w:ascii="仿宋_GB2312" w:eastAsia="仿宋_GB2312"/>
      <w:kern w:val="2"/>
      <w:sz w:val="32"/>
      <w:szCs w:val="24"/>
      <w:lang w:val="en-US" w:eastAsia="zh-CN" w:bidi="ar-SA"/>
    </w:rPr>
  </w:style>
  <w:style w:type="character" w:customStyle="1" w:styleId="102">
    <w:name w:val="标题 2 Char"/>
    <w:link w:val="4"/>
    <w:qFormat/>
    <w:uiPriority w:val="0"/>
    <w:rPr>
      <w:rFonts w:ascii="黑体" w:hAnsi="宋体" w:eastAsia="黑体"/>
      <w:bCs/>
      <w:kern w:val="44"/>
      <w:sz w:val="21"/>
      <w:szCs w:val="24"/>
    </w:rPr>
  </w:style>
  <w:style w:type="character" w:customStyle="1" w:styleId="103">
    <w:name w:val="lineitems1"/>
    <w:qFormat/>
    <w:uiPriority w:val="0"/>
    <w:rPr>
      <w:sz w:val="17"/>
      <w:szCs w:val="17"/>
    </w:rPr>
  </w:style>
  <w:style w:type="character" w:customStyle="1" w:styleId="104">
    <w:name w:val="题注 Char1"/>
    <w:qFormat/>
    <w:uiPriority w:val="0"/>
    <w:rPr>
      <w:rFonts w:ascii="Arial" w:hAnsi="Arial" w:eastAsia="宋体" w:cs="Arial"/>
      <w:kern w:val="2"/>
      <w:lang w:val="en-US" w:eastAsia="zh-CN" w:bidi="ar-SA"/>
    </w:rPr>
  </w:style>
  <w:style w:type="character" w:customStyle="1" w:styleId="105">
    <w:name w:val="标题 3 Char Char"/>
    <w:qFormat/>
    <w:uiPriority w:val="0"/>
    <w:rPr>
      <w:rFonts w:eastAsia="宋体"/>
      <w:b/>
      <w:bCs/>
      <w:kern w:val="2"/>
      <w:sz w:val="32"/>
      <w:szCs w:val="32"/>
      <w:lang w:val="en-US" w:eastAsia="zh-CN" w:bidi="ar-SA"/>
    </w:rPr>
  </w:style>
  <w:style w:type="character" w:customStyle="1" w:styleId="106">
    <w:name w:val="标题 5 Char"/>
    <w:link w:val="8"/>
    <w:qFormat/>
    <w:uiPriority w:val="0"/>
    <w:rPr>
      <w:rFonts w:eastAsia="宋体"/>
      <w:b/>
      <w:kern w:val="2"/>
      <w:sz w:val="28"/>
      <w:lang w:val="en-US" w:eastAsia="zh-CN" w:bidi="ar-SA"/>
    </w:rPr>
  </w:style>
  <w:style w:type="character" w:customStyle="1" w:styleId="107">
    <w:name w:val="p12"/>
    <w:basedOn w:val="48"/>
    <w:qFormat/>
    <w:uiPriority w:val="0"/>
  </w:style>
  <w:style w:type="character" w:customStyle="1" w:styleId="108">
    <w:name w:val="正文缩进 Char2"/>
    <w:link w:val="109"/>
    <w:qFormat/>
    <w:uiPriority w:val="0"/>
    <w:rPr>
      <w:rFonts w:ascii="宋体" w:eastAsia="宋体"/>
      <w:sz w:val="34"/>
      <w:lang w:bidi="ar-SA"/>
    </w:rPr>
  </w:style>
  <w:style w:type="paragraph" w:customStyle="1" w:styleId="109">
    <w:name w:val="Normal Indent1"/>
    <w:basedOn w:val="1"/>
    <w:link w:val="108"/>
    <w:qFormat/>
    <w:uiPriority w:val="0"/>
    <w:pPr>
      <w:autoSpaceDE w:val="0"/>
      <w:autoSpaceDN w:val="0"/>
      <w:adjustRightInd w:val="0"/>
      <w:ind w:firstLine="420"/>
      <w:jc w:val="left"/>
      <w:textAlignment w:val="baseline"/>
    </w:pPr>
    <w:rPr>
      <w:rFonts w:ascii="宋体"/>
      <w:kern w:val="0"/>
      <w:sz w:val="34"/>
      <w:szCs w:val="20"/>
    </w:rPr>
  </w:style>
  <w:style w:type="character" w:customStyle="1" w:styleId="110">
    <w:name w:val="标题 9 Char Char"/>
    <w:qFormat/>
    <w:uiPriority w:val="0"/>
    <w:rPr>
      <w:rFonts w:ascii="Arial" w:hAnsi="Arial" w:eastAsia="黑体"/>
      <w:kern w:val="2"/>
      <w:sz w:val="21"/>
      <w:szCs w:val="21"/>
      <w:lang w:val="en-US" w:eastAsia="zh-CN" w:bidi="ar-SA"/>
    </w:rPr>
  </w:style>
  <w:style w:type="character" w:customStyle="1" w:styleId="111">
    <w:name w:val="标题 7 Char"/>
    <w:link w:val="10"/>
    <w:qFormat/>
    <w:uiPriority w:val="0"/>
    <w:rPr>
      <w:rFonts w:eastAsia="宋体"/>
      <w:b/>
      <w:kern w:val="2"/>
      <w:sz w:val="24"/>
      <w:lang w:val="en-US" w:eastAsia="zh-CN" w:bidi="ar-SA"/>
    </w:rPr>
  </w:style>
  <w:style w:type="character" w:customStyle="1" w:styleId="112">
    <w:name w:val="flname7"/>
    <w:basedOn w:val="48"/>
    <w:qFormat/>
    <w:uiPriority w:val="0"/>
  </w:style>
  <w:style w:type="character" w:customStyle="1" w:styleId="113">
    <w:name w:val="正文缩进 Char"/>
    <w:link w:val="5"/>
    <w:qFormat/>
    <w:uiPriority w:val="0"/>
    <w:rPr>
      <w:rFonts w:ascii="宋体" w:eastAsia="宋体"/>
      <w:sz w:val="34"/>
      <w:lang w:val="en-US" w:eastAsia="zh-CN" w:bidi="ar-SA"/>
    </w:rPr>
  </w:style>
  <w:style w:type="character" w:customStyle="1" w:styleId="114">
    <w:name w:val="样式5 Char Char"/>
    <w:link w:val="115"/>
    <w:qFormat/>
    <w:uiPriority w:val="0"/>
    <w:rPr>
      <w:rFonts w:ascii="宋体" w:hAnsi="宋体" w:eastAsia="宋体" w:cs="Arial"/>
      <w:b/>
      <w:kern w:val="2"/>
      <w:sz w:val="24"/>
      <w:szCs w:val="24"/>
      <w:lang w:val="en-US" w:eastAsia="zh-CN" w:bidi="ar-SA"/>
    </w:rPr>
  </w:style>
  <w:style w:type="paragraph" w:customStyle="1" w:styleId="115">
    <w:name w:val="样式5"/>
    <w:basedOn w:val="1"/>
    <w:link w:val="114"/>
    <w:qFormat/>
    <w:uiPriority w:val="0"/>
    <w:pPr>
      <w:spacing w:line="400" w:lineRule="exact"/>
      <w:ind w:left="482"/>
    </w:pPr>
    <w:rPr>
      <w:rFonts w:ascii="宋体" w:hAnsi="宋体" w:cs="Arial"/>
      <w:b/>
      <w:sz w:val="24"/>
    </w:rPr>
  </w:style>
  <w:style w:type="character" w:customStyle="1" w:styleId="116">
    <w:name w:val="text1"/>
    <w:qFormat/>
    <w:uiPriority w:val="0"/>
    <w:rPr>
      <w:sz w:val="20"/>
      <w:szCs w:val="20"/>
    </w:rPr>
  </w:style>
  <w:style w:type="character" w:customStyle="1" w:styleId="117">
    <w:name w:val="样式2"/>
    <w:qFormat/>
    <w:uiPriority w:val="0"/>
    <w:rPr>
      <w:rFonts w:eastAsia="华文楷体"/>
      <w:b/>
      <w:sz w:val="32"/>
    </w:rPr>
  </w:style>
  <w:style w:type="character" w:customStyle="1" w:styleId="118">
    <w:name w:val="页眉 Char Char"/>
    <w:qFormat/>
    <w:uiPriority w:val="0"/>
    <w:rPr>
      <w:rFonts w:eastAsia="宋体"/>
      <w:sz w:val="18"/>
      <w:szCs w:val="18"/>
      <w:lang w:bidi="ar-SA"/>
    </w:rPr>
  </w:style>
  <w:style w:type="character" w:customStyle="1" w:styleId="119">
    <w:name w:val="标题 3 Char"/>
    <w:link w:val="6"/>
    <w:qFormat/>
    <w:uiPriority w:val="0"/>
    <w:rPr>
      <w:rFonts w:ascii="黑体" w:eastAsia="黑体"/>
      <w:bCs/>
      <w:color w:val="000000"/>
      <w:kern w:val="2"/>
      <w:sz w:val="21"/>
      <w:szCs w:val="24"/>
    </w:rPr>
  </w:style>
  <w:style w:type="character" w:customStyle="1" w:styleId="120">
    <w:name w:val="书籍标题3 Char1"/>
    <w:link w:val="121"/>
    <w:qFormat/>
    <w:uiPriority w:val="0"/>
    <w:rPr>
      <w:b/>
      <w:bCs/>
      <w:spacing w:val="20"/>
      <w:kern w:val="2"/>
      <w:sz w:val="28"/>
      <w:szCs w:val="28"/>
    </w:rPr>
  </w:style>
  <w:style w:type="paragraph" w:customStyle="1" w:styleId="121">
    <w:name w:val="书籍标题3"/>
    <w:basedOn w:val="122"/>
    <w:link w:val="120"/>
    <w:qFormat/>
    <w:uiPriority w:val="0"/>
    <w:pPr>
      <w:numPr>
        <w:ilvl w:val="2"/>
      </w:numPr>
      <w:tabs>
        <w:tab w:val="left" w:pos="840"/>
      </w:tabs>
      <w:outlineLvl w:val="2"/>
    </w:pPr>
    <w:rPr>
      <w:rFonts w:cs="Times New Roman"/>
      <w:sz w:val="28"/>
      <w:szCs w:val="28"/>
    </w:rPr>
  </w:style>
  <w:style w:type="paragraph" w:customStyle="1" w:styleId="122">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3">
    <w:name w:val="正文文本缩进 Char"/>
    <w:link w:val="18"/>
    <w:qFormat/>
    <w:uiPriority w:val="0"/>
    <w:rPr>
      <w:rFonts w:ascii="仿宋_GB2312" w:eastAsia="仿宋_GB2312"/>
      <w:sz w:val="28"/>
      <w:lang w:val="en-US" w:eastAsia="zh-CN" w:bidi="ar-SA"/>
    </w:rPr>
  </w:style>
  <w:style w:type="character" w:customStyle="1" w:styleId="124">
    <w:name w:val="页眉 Char"/>
    <w:link w:val="29"/>
    <w:qFormat/>
    <w:uiPriority w:val="99"/>
    <w:rPr>
      <w:rFonts w:eastAsia="宋体"/>
      <w:kern w:val="2"/>
      <w:sz w:val="18"/>
      <w:lang w:val="en-US" w:eastAsia="zh-CN" w:bidi="ar-SA"/>
    </w:rPr>
  </w:style>
  <w:style w:type="character" w:customStyle="1" w:styleId="125">
    <w:name w:val="标题 Char"/>
    <w:link w:val="43"/>
    <w:qFormat/>
    <w:uiPriority w:val="0"/>
    <w:rPr>
      <w:rFonts w:ascii="Cambria" w:hAnsi="Cambria"/>
      <w:b/>
      <w:bCs/>
      <w:kern w:val="2"/>
      <w:sz w:val="32"/>
      <w:szCs w:val="32"/>
    </w:rPr>
  </w:style>
  <w:style w:type="character" w:customStyle="1" w:styleId="126">
    <w:name w:val="标题 8 Char Char"/>
    <w:qFormat/>
    <w:uiPriority w:val="0"/>
    <w:rPr>
      <w:rFonts w:ascii="Arial" w:hAnsi="Arial" w:eastAsia="黑体"/>
      <w:kern w:val="2"/>
      <w:sz w:val="24"/>
      <w:szCs w:val="24"/>
      <w:lang w:val="en-US" w:eastAsia="zh-CN" w:bidi="ar-SA"/>
    </w:rPr>
  </w:style>
  <w:style w:type="character" w:customStyle="1" w:styleId="127">
    <w:name w:val="正文文本缩进 2 Char Char"/>
    <w:qFormat/>
    <w:uiPriority w:val="0"/>
    <w:rPr>
      <w:rFonts w:eastAsia="仿宋_GB2312"/>
      <w:sz w:val="30"/>
      <w:lang w:bidi="ar-SA"/>
    </w:rPr>
  </w:style>
  <w:style w:type="character" w:customStyle="1" w:styleId="128">
    <w:name w:val="标题 7 Char Char"/>
    <w:qFormat/>
    <w:uiPriority w:val="0"/>
    <w:rPr>
      <w:rFonts w:eastAsia="宋体"/>
      <w:b/>
      <w:bCs/>
      <w:kern w:val="2"/>
      <w:sz w:val="24"/>
      <w:szCs w:val="24"/>
      <w:lang w:val="en-US" w:eastAsia="zh-CN" w:bidi="ar-SA"/>
    </w:rPr>
  </w:style>
  <w:style w:type="character" w:customStyle="1" w:styleId="129">
    <w:name w:val="HTML 地址 Char"/>
    <w:link w:val="20"/>
    <w:qFormat/>
    <w:uiPriority w:val="0"/>
    <w:rPr>
      <w:i/>
      <w:kern w:val="2"/>
      <w:sz w:val="21"/>
      <w:szCs w:val="24"/>
    </w:rPr>
  </w:style>
  <w:style w:type="character" w:customStyle="1" w:styleId="130">
    <w:name w:val="标题 1 Char"/>
    <w:link w:val="3"/>
    <w:qFormat/>
    <w:uiPriority w:val="0"/>
    <w:rPr>
      <w:rFonts w:ascii="黑体" w:eastAsia="黑体"/>
      <w:bCs/>
      <w:kern w:val="44"/>
      <w:sz w:val="24"/>
      <w:szCs w:val="24"/>
    </w:rPr>
  </w:style>
  <w:style w:type="character" w:customStyle="1" w:styleId="131">
    <w:name w:val="批注文字 Char"/>
    <w:link w:val="17"/>
    <w:qFormat/>
    <w:uiPriority w:val="0"/>
    <w:rPr>
      <w:kern w:val="2"/>
      <w:sz w:val="24"/>
      <w:szCs w:val="24"/>
    </w:rPr>
  </w:style>
  <w:style w:type="character" w:customStyle="1" w:styleId="132">
    <w:name w:val="页脚 Char"/>
    <w:link w:val="28"/>
    <w:qFormat/>
    <w:uiPriority w:val="0"/>
    <w:rPr>
      <w:rFonts w:eastAsia="宋体"/>
      <w:kern w:val="2"/>
      <w:sz w:val="18"/>
      <w:lang w:val="en-US" w:eastAsia="zh-CN" w:bidi="ar-SA"/>
    </w:rPr>
  </w:style>
  <w:style w:type="character" w:customStyle="1" w:styleId="133">
    <w:name w:val="正文首行缩进 Char"/>
    <w:link w:val="44"/>
    <w:qFormat/>
    <w:uiPriority w:val="0"/>
    <w:rPr>
      <w:rFonts w:ascii="Calibri" w:hAnsi="Calibri" w:eastAsia="宋体"/>
      <w:kern w:val="2"/>
      <w:sz w:val="21"/>
      <w:szCs w:val="22"/>
      <w:lang w:val="en-US" w:eastAsia="zh-CN" w:bidi="ar-SA"/>
    </w:rPr>
  </w:style>
  <w:style w:type="character" w:customStyle="1" w:styleId="134">
    <w:name w:val="纯文本 Char Char"/>
    <w:qFormat/>
    <w:uiPriority w:val="0"/>
    <w:rPr>
      <w:rFonts w:ascii="宋体" w:hAnsi="Courier New"/>
      <w:kern w:val="2"/>
      <w:sz w:val="21"/>
      <w:lang w:bidi="ar-SA"/>
    </w:rPr>
  </w:style>
  <w:style w:type="character" w:customStyle="1" w:styleId="135">
    <w:name w:val="HTML 预设格式 Char"/>
    <w:link w:val="40"/>
    <w:qFormat/>
    <w:uiPriority w:val="0"/>
    <w:rPr>
      <w:rFonts w:ascii="黑体" w:hAnsi="Courier New" w:eastAsia="黑体" w:cs="Courier New"/>
      <w:kern w:val="2"/>
      <w:sz w:val="21"/>
      <w:szCs w:val="24"/>
      <w:lang w:val="en-US" w:eastAsia="zh-CN" w:bidi="ar-SA"/>
    </w:rPr>
  </w:style>
  <w:style w:type="character" w:customStyle="1" w:styleId="136">
    <w:name w:val="标题 6 Char Char"/>
    <w:qFormat/>
    <w:uiPriority w:val="0"/>
    <w:rPr>
      <w:rFonts w:ascii="Arial" w:hAnsi="Arial" w:eastAsia="黑体"/>
      <w:b/>
      <w:bCs/>
      <w:kern w:val="2"/>
      <w:sz w:val="24"/>
      <w:szCs w:val="24"/>
      <w:lang w:val="en-US" w:eastAsia="zh-CN" w:bidi="ar-SA"/>
    </w:rPr>
  </w:style>
  <w:style w:type="character" w:customStyle="1" w:styleId="137">
    <w:name w:val="细目1 Char Char"/>
    <w:link w:val="138"/>
    <w:qFormat/>
    <w:uiPriority w:val="0"/>
    <w:rPr>
      <w:b/>
      <w:color w:val="215868"/>
      <w:kern w:val="2"/>
      <w:sz w:val="24"/>
      <w:szCs w:val="24"/>
    </w:rPr>
  </w:style>
  <w:style w:type="paragraph" w:customStyle="1" w:styleId="138">
    <w:name w:val="细目1"/>
    <w:basedOn w:val="1"/>
    <w:link w:val="137"/>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9">
    <w:name w:val="Char Char9"/>
    <w:qFormat/>
    <w:uiPriority w:val="0"/>
    <w:rPr>
      <w:rFonts w:ascii="宋体" w:hAnsi="Courier New" w:eastAsia="宋体"/>
      <w:kern w:val="2"/>
      <w:sz w:val="21"/>
      <w:lang w:val="en-US" w:eastAsia="zh-CN" w:bidi="ar-SA"/>
    </w:rPr>
  </w:style>
  <w:style w:type="character" w:customStyle="1" w:styleId="140">
    <w:name w:val="apple-converted-space"/>
    <w:qFormat/>
    <w:uiPriority w:val="0"/>
    <w:rPr>
      <w:rFonts w:cs="Times New Roman"/>
    </w:rPr>
  </w:style>
  <w:style w:type="paragraph" w:customStyle="1" w:styleId="141">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2">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3">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5">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6">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7">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8">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9">
    <w:name w:val="默认段落字体 Para Char Char Char Char Char Char Char Char Char Char"/>
    <w:basedOn w:val="1"/>
    <w:qFormat/>
    <w:uiPriority w:val="0"/>
    <w:rPr>
      <w:rFonts w:ascii="Tahoma" w:hAnsi="Tahoma"/>
      <w:sz w:val="24"/>
      <w:szCs w:val="20"/>
    </w:rPr>
  </w:style>
  <w:style w:type="paragraph" w:customStyle="1" w:styleId="15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1">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2">
    <w:name w:val="字元 字元"/>
    <w:basedOn w:val="1"/>
    <w:qFormat/>
    <w:uiPriority w:val="0"/>
    <w:pPr>
      <w:spacing w:line="360" w:lineRule="auto"/>
      <w:ind w:firstLine="200" w:firstLineChars="200"/>
    </w:pPr>
    <w:rPr>
      <w:rFonts w:ascii="宋体" w:hAnsi="宋体" w:cs="宋体"/>
      <w:sz w:val="24"/>
    </w:rPr>
  </w:style>
  <w:style w:type="paragraph" w:customStyle="1" w:styleId="153">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4">
    <w:name w:val="正文序号 4"/>
    <w:basedOn w:val="1"/>
    <w:qFormat/>
    <w:uiPriority w:val="0"/>
    <w:pPr>
      <w:numPr>
        <w:ilvl w:val="3"/>
        <w:numId w:val="7"/>
      </w:numPr>
      <w:tabs>
        <w:tab w:val="left" w:pos="1469"/>
      </w:tabs>
      <w:spacing w:before="60"/>
    </w:pPr>
  </w:style>
  <w:style w:type="paragraph" w:customStyle="1" w:styleId="15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6">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7">
    <w:name w:val="Char3"/>
    <w:basedOn w:val="1"/>
    <w:qFormat/>
    <w:uiPriority w:val="0"/>
  </w:style>
  <w:style w:type="paragraph" w:customStyle="1" w:styleId="158">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9">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
    <w:name w:val="Char28"/>
    <w:basedOn w:val="1"/>
    <w:qFormat/>
    <w:uiPriority w:val="0"/>
    <w:pPr>
      <w:adjustRightInd w:val="0"/>
      <w:spacing w:line="360" w:lineRule="auto"/>
    </w:pPr>
  </w:style>
  <w:style w:type="paragraph" w:customStyle="1" w:styleId="161">
    <w:name w:val="pa-14"/>
    <w:basedOn w:val="1"/>
    <w:qFormat/>
    <w:uiPriority w:val="0"/>
    <w:pPr>
      <w:widowControl/>
      <w:spacing w:before="150" w:after="150"/>
      <w:jc w:val="left"/>
    </w:pPr>
    <w:rPr>
      <w:rFonts w:ascii="宋体" w:hAnsi="宋体" w:cs="宋体"/>
      <w:kern w:val="0"/>
      <w:sz w:val="24"/>
    </w:rPr>
  </w:style>
  <w:style w:type="paragraph" w:customStyle="1" w:styleId="162">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3">
    <w:name w:val="Item List in Table"/>
    <w:basedOn w:val="1"/>
    <w:qFormat/>
    <w:uiPriority w:val="0"/>
    <w:pPr>
      <w:numPr>
        <w:ilvl w:val="0"/>
        <w:numId w:val="8"/>
      </w:numPr>
      <w:jc w:val="left"/>
    </w:pPr>
  </w:style>
  <w:style w:type="paragraph" w:customStyle="1" w:styleId="164">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5">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6">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7">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8">
    <w:name w:val="默认段落字体 Para Char"/>
    <w:basedOn w:val="1"/>
    <w:qFormat/>
    <w:uiPriority w:val="0"/>
    <w:rPr>
      <w:rFonts w:ascii="Tahoma" w:hAnsi="Tahoma"/>
      <w:sz w:val="24"/>
      <w:szCs w:val="20"/>
    </w:rPr>
  </w:style>
  <w:style w:type="paragraph" w:customStyle="1" w:styleId="169">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0">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1">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2">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3">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5">
    <w:name w:val="p0"/>
    <w:basedOn w:val="1"/>
    <w:qFormat/>
    <w:uiPriority w:val="0"/>
    <w:pPr>
      <w:widowControl/>
    </w:pPr>
    <w:rPr>
      <w:kern w:val="0"/>
      <w:szCs w:val="21"/>
    </w:rPr>
  </w:style>
  <w:style w:type="paragraph" w:customStyle="1" w:styleId="176">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7">
    <w:name w:val="默认段落字体 Para Char Char Char1 Char"/>
    <w:basedOn w:val="45"/>
    <w:qFormat/>
    <w:uiPriority w:val="0"/>
  </w:style>
  <w:style w:type="paragraph" w:customStyle="1" w:styleId="178">
    <w:name w:val="Char1"/>
    <w:basedOn w:val="1"/>
    <w:qFormat/>
    <w:uiPriority w:val="0"/>
    <w:pPr>
      <w:widowControl/>
      <w:spacing w:line="400" w:lineRule="exact"/>
      <w:jc w:val="center"/>
    </w:pPr>
    <w:rPr>
      <w:rFonts w:ascii="Verdana" w:hAnsi="Verdana"/>
      <w:kern w:val="0"/>
      <w:szCs w:val="20"/>
      <w:lang w:eastAsia="en-US"/>
    </w:rPr>
  </w:style>
  <w:style w:type="paragraph" w:customStyle="1" w:styleId="179">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2">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3">
    <w:name w:val="列出段落1"/>
    <w:basedOn w:val="1"/>
    <w:qFormat/>
    <w:uiPriority w:val="0"/>
    <w:pPr>
      <w:ind w:firstLine="200" w:firstLineChars="200"/>
    </w:pPr>
    <w:rPr>
      <w:rFonts w:ascii="Calibri" w:hAnsi="Calibri"/>
      <w:szCs w:val="22"/>
    </w:rPr>
  </w:style>
  <w:style w:type="paragraph" w:customStyle="1" w:styleId="184">
    <w:name w:val="缺省文本"/>
    <w:basedOn w:val="1"/>
    <w:qFormat/>
    <w:uiPriority w:val="0"/>
    <w:pPr>
      <w:autoSpaceDE w:val="0"/>
      <w:autoSpaceDN w:val="0"/>
      <w:adjustRightInd w:val="0"/>
      <w:jc w:val="left"/>
    </w:pPr>
    <w:rPr>
      <w:kern w:val="0"/>
      <w:sz w:val="24"/>
    </w:rPr>
  </w:style>
  <w:style w:type="paragraph" w:customStyle="1" w:styleId="185">
    <w:name w:val="Char Char Char Char Char Char Char Char Char"/>
    <w:basedOn w:val="1"/>
    <w:qFormat/>
    <w:uiPriority w:val="0"/>
    <w:rPr>
      <w:sz w:val="28"/>
    </w:rPr>
  </w:style>
  <w:style w:type="paragraph" w:customStyle="1" w:styleId="186">
    <w:name w:val="书籍标题4"/>
    <w:basedOn w:val="121"/>
    <w:next w:val="1"/>
    <w:qFormat/>
    <w:uiPriority w:val="0"/>
    <w:pPr>
      <w:numPr>
        <w:ilvl w:val="3"/>
      </w:numPr>
      <w:tabs>
        <w:tab w:val="left" w:pos="2160"/>
      </w:tabs>
      <w:ind w:left="2160"/>
      <w:outlineLvl w:val="3"/>
    </w:pPr>
    <w:rPr>
      <w:sz w:val="24"/>
      <w:szCs w:val="24"/>
      <w:lang w:val="zh-CN"/>
    </w:rPr>
  </w:style>
  <w:style w:type="paragraph" w:customStyle="1" w:styleId="187">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8">
    <w:name w:val="样式 书籍标题3 + Arial 段前: 1 行 段后: 1 行"/>
    <w:basedOn w:val="121"/>
    <w:qFormat/>
    <w:uiPriority w:val="0"/>
    <w:pPr>
      <w:numPr>
        <w:ilvl w:val="1"/>
        <w:numId w:val="9"/>
      </w:numPr>
      <w:spacing w:beforeLines="0" w:afterLines="0"/>
    </w:pPr>
    <w:rPr>
      <w:rFonts w:ascii="Arial" w:hAnsi="Arial" w:cs="宋体"/>
      <w:b w:val="0"/>
      <w:bCs w:val="0"/>
    </w:rPr>
  </w:style>
  <w:style w:type="paragraph" w:customStyle="1" w:styleId="189">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0">
    <w:name w:val="Char Char Char Char Char Char"/>
    <w:basedOn w:val="1"/>
    <w:qFormat/>
    <w:uiPriority w:val="0"/>
    <w:pPr>
      <w:widowControl/>
      <w:spacing w:after="160" w:line="240" w:lineRule="exact"/>
      <w:jc w:val="left"/>
    </w:pPr>
    <w:rPr>
      <w:sz w:val="32"/>
      <w:szCs w:val="20"/>
    </w:rPr>
  </w:style>
  <w:style w:type="paragraph" w:customStyle="1" w:styleId="191">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2">
    <w:name w:val="List Paragraph"/>
    <w:basedOn w:val="1"/>
    <w:qFormat/>
    <w:uiPriority w:val="0"/>
    <w:pPr>
      <w:ind w:firstLine="420" w:firstLineChars="200"/>
    </w:pPr>
  </w:style>
  <w:style w:type="paragraph" w:customStyle="1" w:styleId="19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4">
    <w:name w:val="Char1 Char Char Char"/>
    <w:basedOn w:val="1"/>
    <w:qFormat/>
    <w:uiPriority w:val="0"/>
    <w:pPr>
      <w:ind w:left="1365" w:hanging="360"/>
    </w:pPr>
    <w:rPr>
      <w:sz w:val="24"/>
    </w:rPr>
  </w:style>
  <w:style w:type="paragraph" w:customStyle="1" w:styleId="195">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7">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9">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20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5">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6">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7">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8">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9">
    <w:name w:val="特点标题"/>
    <w:basedOn w:val="1"/>
    <w:next w:val="36"/>
    <w:qFormat/>
    <w:uiPriority w:val="0"/>
    <w:pPr>
      <w:adjustRightInd w:val="0"/>
      <w:spacing w:line="360" w:lineRule="auto"/>
      <w:ind w:firstLine="482"/>
      <w:textAlignment w:val="baseline"/>
    </w:pPr>
    <w:rPr>
      <w:rFonts w:ascii="宋体" w:hAnsi="宋体"/>
      <w:kern w:val="0"/>
      <w:sz w:val="24"/>
    </w:rPr>
  </w:style>
  <w:style w:type="paragraph" w:customStyle="1" w:styleId="210">
    <w:name w:val="pa-13"/>
    <w:basedOn w:val="1"/>
    <w:qFormat/>
    <w:uiPriority w:val="0"/>
    <w:pPr>
      <w:widowControl/>
      <w:spacing w:before="150" w:after="150"/>
      <w:jc w:val="left"/>
    </w:pPr>
    <w:rPr>
      <w:rFonts w:ascii="宋体" w:hAnsi="宋体" w:cs="宋体"/>
      <w:kern w:val="0"/>
      <w:sz w:val="24"/>
    </w:rPr>
  </w:style>
  <w:style w:type="paragraph" w:customStyle="1" w:styleId="211">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2">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4">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6">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7">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8">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9">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0">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3">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5">
    <w:name w:val="Char1 Char Char Char1"/>
    <w:basedOn w:val="1"/>
    <w:qFormat/>
    <w:uiPriority w:val="0"/>
    <w:pPr>
      <w:tabs>
        <w:tab w:val="left" w:pos="425"/>
      </w:tabs>
      <w:ind w:left="425" w:hanging="425"/>
    </w:pPr>
    <w:rPr>
      <w:sz w:val="24"/>
    </w:rPr>
  </w:style>
  <w:style w:type="paragraph" w:customStyle="1" w:styleId="22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7">
    <w:name w:val="Char"/>
    <w:basedOn w:val="1"/>
    <w:qFormat/>
    <w:uiPriority w:val="0"/>
    <w:pPr>
      <w:tabs>
        <w:tab w:val="left" w:pos="1365"/>
      </w:tabs>
      <w:ind w:left="1365" w:hanging="360"/>
    </w:pPr>
    <w:rPr>
      <w:sz w:val="24"/>
    </w:rPr>
  </w:style>
  <w:style w:type="paragraph" w:customStyle="1" w:styleId="228">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9">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1">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2">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3">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4">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5">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6">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7">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8">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9">
    <w:name w:val="Char Char Char Char Char Char Char Char Char1"/>
    <w:basedOn w:val="1"/>
    <w:qFormat/>
    <w:uiPriority w:val="0"/>
    <w:pPr>
      <w:widowControl/>
      <w:spacing w:after="160" w:line="240" w:lineRule="exact"/>
      <w:jc w:val="left"/>
    </w:pPr>
  </w:style>
  <w:style w:type="paragraph" w:customStyle="1" w:styleId="240">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3">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5">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6">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8">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0">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font6"/>
    <w:basedOn w:val="1"/>
    <w:qFormat/>
    <w:uiPriority w:val="0"/>
    <w:pPr>
      <w:widowControl/>
      <w:spacing w:before="100" w:beforeAutospacing="1" w:after="100" w:afterAutospacing="1"/>
      <w:jc w:val="left"/>
    </w:pPr>
    <w:rPr>
      <w:kern w:val="0"/>
      <w:sz w:val="24"/>
    </w:rPr>
  </w:style>
  <w:style w:type="paragraph" w:customStyle="1" w:styleId="253">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4">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5">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6">
    <w:name w:val="样式 首行缩进:  0.85 厘米"/>
    <w:basedOn w:val="1"/>
    <w:qFormat/>
    <w:uiPriority w:val="0"/>
    <w:pPr>
      <w:spacing w:line="360" w:lineRule="auto"/>
      <w:ind w:firstLine="200" w:firstLineChars="200"/>
    </w:pPr>
    <w:rPr>
      <w:rFonts w:cs="宋体"/>
      <w:sz w:val="24"/>
      <w:szCs w:val="20"/>
    </w:rPr>
  </w:style>
  <w:style w:type="paragraph" w:customStyle="1" w:styleId="257">
    <w:name w:val="列举"/>
    <w:basedOn w:val="1"/>
    <w:qFormat/>
    <w:uiPriority w:val="0"/>
    <w:pPr>
      <w:numPr>
        <w:ilvl w:val="0"/>
        <w:numId w:val="15"/>
      </w:numPr>
      <w:spacing w:line="360" w:lineRule="auto"/>
    </w:pPr>
    <w:rPr>
      <w:rFonts w:ascii="宋体"/>
    </w:rPr>
  </w:style>
  <w:style w:type="paragraph" w:customStyle="1" w:styleId="258">
    <w:name w:val="正文1"/>
    <w:basedOn w:val="1"/>
    <w:qFormat/>
    <w:uiPriority w:val="0"/>
    <w:pPr>
      <w:spacing w:line="360" w:lineRule="auto"/>
    </w:pPr>
    <w:rPr>
      <w:rFonts w:ascii="宋体" w:hAnsi="宋体"/>
      <w:sz w:val="24"/>
    </w:rPr>
  </w:style>
  <w:style w:type="paragraph" w:customStyle="1" w:styleId="259">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0">
    <w:name w:val="正文缩进2字符"/>
    <w:basedOn w:val="44"/>
    <w:qFormat/>
    <w:uiPriority w:val="0"/>
    <w:pPr>
      <w:spacing w:after="0" w:line="360" w:lineRule="auto"/>
      <w:ind w:firstLine="200" w:firstLineChars="200"/>
    </w:pPr>
    <w:rPr>
      <w:sz w:val="24"/>
      <w:szCs w:val="24"/>
    </w:rPr>
  </w:style>
  <w:style w:type="paragraph" w:customStyle="1" w:styleId="261">
    <w:name w:val="font8"/>
    <w:basedOn w:val="1"/>
    <w:qFormat/>
    <w:uiPriority w:val="0"/>
    <w:pPr>
      <w:widowControl/>
      <w:spacing w:before="100" w:beforeAutospacing="1" w:after="100" w:afterAutospacing="1"/>
      <w:jc w:val="left"/>
    </w:pPr>
    <w:rPr>
      <w:kern w:val="0"/>
      <w:sz w:val="20"/>
      <w:szCs w:val="20"/>
    </w:rPr>
  </w:style>
  <w:style w:type="paragraph" w:customStyle="1" w:styleId="262">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3">
    <w:name w:val="pa-3"/>
    <w:basedOn w:val="1"/>
    <w:qFormat/>
    <w:uiPriority w:val="0"/>
    <w:pPr>
      <w:widowControl/>
      <w:spacing w:before="150" w:after="150"/>
      <w:jc w:val="left"/>
    </w:pPr>
    <w:rPr>
      <w:rFonts w:ascii="宋体" w:hAnsi="宋体" w:cs="宋体"/>
      <w:kern w:val="0"/>
      <w:sz w:val="24"/>
    </w:rPr>
  </w:style>
  <w:style w:type="paragraph" w:customStyle="1" w:styleId="264">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5">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列表数字1"/>
    <w:next w:val="44"/>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8">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9">
    <w:name w:val="加点标题"/>
    <w:basedOn w:val="1"/>
    <w:qFormat/>
    <w:uiPriority w:val="0"/>
    <w:pPr>
      <w:numPr>
        <w:ilvl w:val="0"/>
        <w:numId w:val="18"/>
      </w:numPr>
      <w:spacing w:line="360" w:lineRule="auto"/>
    </w:pPr>
    <w:rPr>
      <w:sz w:val="24"/>
    </w:rPr>
  </w:style>
  <w:style w:type="paragraph" w:customStyle="1" w:styleId="270">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2">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4">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5">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6">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8">
    <w:name w:val="MM Topic 3"/>
    <w:basedOn w:val="6"/>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9">
    <w:name w:val="列出段落2"/>
    <w:basedOn w:val="1"/>
    <w:qFormat/>
    <w:uiPriority w:val="0"/>
    <w:pPr>
      <w:ind w:firstLine="420" w:firstLineChars="200"/>
    </w:pPr>
  </w:style>
  <w:style w:type="paragraph" w:customStyle="1" w:styleId="280">
    <w:name w:val="font15"/>
    <w:basedOn w:val="1"/>
    <w:qFormat/>
    <w:uiPriority w:val="0"/>
    <w:pPr>
      <w:widowControl/>
      <w:spacing w:before="100" w:beforeAutospacing="1" w:after="100" w:afterAutospacing="1"/>
      <w:jc w:val="left"/>
    </w:pPr>
    <w:rPr>
      <w:kern w:val="0"/>
      <w:sz w:val="20"/>
      <w:szCs w:val="20"/>
    </w:rPr>
  </w:style>
  <w:style w:type="paragraph" w:customStyle="1" w:styleId="281">
    <w:name w:val="pa-15"/>
    <w:basedOn w:val="1"/>
    <w:qFormat/>
    <w:uiPriority w:val="0"/>
    <w:pPr>
      <w:widowControl/>
      <w:spacing w:before="150" w:after="150"/>
      <w:jc w:val="left"/>
    </w:pPr>
    <w:rPr>
      <w:rFonts w:ascii="宋体" w:hAnsi="宋体" w:cs="宋体"/>
      <w:kern w:val="0"/>
      <w:sz w:val="24"/>
    </w:rPr>
  </w:style>
  <w:style w:type="paragraph" w:customStyle="1" w:styleId="282">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4">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5">
    <w:name w:val="Char Char3 Char Char"/>
    <w:basedOn w:val="1"/>
    <w:qFormat/>
    <w:uiPriority w:val="0"/>
    <w:pPr>
      <w:spacing w:line="360" w:lineRule="auto"/>
      <w:ind w:firstLine="200" w:firstLineChars="200"/>
    </w:pPr>
    <w:rPr>
      <w:rFonts w:ascii="宋体" w:hAnsi="宋体" w:cs="宋体"/>
      <w:sz w:val="24"/>
    </w:rPr>
  </w:style>
  <w:style w:type="paragraph" w:customStyle="1" w:styleId="286">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7">
    <w:name w:val="正文序号 2"/>
    <w:basedOn w:val="1"/>
    <w:qFormat/>
    <w:uiPriority w:val="0"/>
    <w:pPr>
      <w:numPr>
        <w:ilvl w:val="1"/>
        <w:numId w:val="7"/>
      </w:numPr>
      <w:tabs>
        <w:tab w:val="left" w:pos="1049"/>
      </w:tabs>
      <w:spacing w:before="60"/>
    </w:pPr>
  </w:style>
  <w:style w:type="paragraph" w:customStyle="1" w:styleId="288">
    <w:name w:val="样式 样式 标题 4Alt+41.1.1.1 Heading 4bulletblbbH44h4H41h41H42... + 自动..."/>
    <w:basedOn w:val="199"/>
    <w:qFormat/>
    <w:uiPriority w:val="0"/>
    <w:pPr>
      <w:numPr>
        <w:ilvl w:val="3"/>
        <w:numId w:val="20"/>
      </w:numPr>
      <w:tabs>
        <w:tab w:val="clear" w:pos="1914"/>
      </w:tabs>
    </w:pPr>
    <w:rPr>
      <w:color w:val="auto"/>
    </w:rPr>
  </w:style>
  <w:style w:type="paragraph" w:styleId="289">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1">
    <w:name w:val="MM Topic 5"/>
    <w:basedOn w:val="8"/>
    <w:qFormat/>
    <w:uiPriority w:val="0"/>
    <w:pPr>
      <w:numPr>
        <w:ilvl w:val="4"/>
        <w:numId w:val="10"/>
      </w:numPr>
      <w:tabs>
        <w:tab w:val="left" w:pos="425"/>
        <w:tab w:val="clear" w:pos="2551"/>
      </w:tabs>
    </w:pPr>
    <w:rPr>
      <w:bCs/>
      <w:szCs w:val="28"/>
    </w:rPr>
  </w:style>
  <w:style w:type="paragraph" w:customStyle="1" w:styleId="292">
    <w:name w:val="正文文本样式"/>
    <w:basedOn w:val="1"/>
    <w:qFormat/>
    <w:uiPriority w:val="0"/>
    <w:pPr>
      <w:spacing w:line="360" w:lineRule="auto"/>
      <w:ind w:firstLine="482"/>
    </w:pPr>
    <w:rPr>
      <w:rFonts w:cs="宋体"/>
      <w:sz w:val="24"/>
      <w:szCs w:val="20"/>
    </w:rPr>
  </w:style>
  <w:style w:type="paragraph" w:customStyle="1" w:styleId="293">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5">
    <w:name w:val="MM Topic 4"/>
    <w:basedOn w:val="7"/>
    <w:qFormat/>
    <w:uiPriority w:val="0"/>
    <w:pPr>
      <w:numPr>
        <w:ilvl w:val="3"/>
        <w:numId w:val="10"/>
      </w:numPr>
      <w:tabs>
        <w:tab w:val="left" w:pos="425"/>
        <w:tab w:val="clear" w:pos="1984"/>
      </w:tabs>
    </w:pPr>
    <w:rPr>
      <w:bCs/>
      <w:szCs w:val="28"/>
    </w:rPr>
  </w:style>
  <w:style w:type="paragraph" w:customStyle="1" w:styleId="296">
    <w:name w:val="正文序号 3"/>
    <w:basedOn w:val="1"/>
    <w:qFormat/>
    <w:uiPriority w:val="0"/>
    <w:pPr>
      <w:numPr>
        <w:ilvl w:val="2"/>
        <w:numId w:val="7"/>
      </w:numPr>
      <w:tabs>
        <w:tab w:val="left" w:pos="1259"/>
      </w:tabs>
      <w:spacing w:before="60"/>
    </w:pPr>
  </w:style>
  <w:style w:type="paragraph" w:customStyle="1" w:styleId="297">
    <w:name w:val="Char2"/>
    <w:basedOn w:val="1"/>
    <w:qFormat/>
    <w:uiPriority w:val="0"/>
    <w:pPr>
      <w:tabs>
        <w:tab w:val="left" w:pos="425"/>
      </w:tabs>
      <w:ind w:left="425" w:hanging="425"/>
    </w:pPr>
    <w:rPr>
      <w:sz w:val="24"/>
    </w:rPr>
  </w:style>
  <w:style w:type="paragraph" w:customStyle="1" w:styleId="298">
    <w:name w:val="正文序号 1"/>
    <w:basedOn w:val="1"/>
    <w:qFormat/>
    <w:uiPriority w:val="0"/>
    <w:pPr>
      <w:numPr>
        <w:ilvl w:val="0"/>
        <w:numId w:val="7"/>
      </w:numPr>
      <w:tabs>
        <w:tab w:val="left" w:pos="839"/>
      </w:tabs>
      <w:spacing w:before="60"/>
    </w:pPr>
  </w:style>
  <w:style w:type="paragraph" w:customStyle="1" w:styleId="299">
    <w:name w:val="字元 字元1"/>
    <w:basedOn w:val="1"/>
    <w:qFormat/>
    <w:uiPriority w:val="0"/>
    <w:pPr>
      <w:spacing w:line="360" w:lineRule="auto"/>
      <w:ind w:firstLine="200" w:firstLineChars="200"/>
    </w:pPr>
    <w:rPr>
      <w:rFonts w:ascii="宋体" w:hAnsi="宋体" w:cs="宋体"/>
      <w:sz w:val="24"/>
    </w:rPr>
  </w:style>
  <w:style w:type="paragraph" w:customStyle="1" w:styleId="300">
    <w:name w:val="font12"/>
    <w:basedOn w:val="1"/>
    <w:qFormat/>
    <w:uiPriority w:val="0"/>
    <w:pPr>
      <w:widowControl/>
      <w:spacing w:before="100" w:beforeAutospacing="1" w:after="100" w:afterAutospacing="1"/>
      <w:jc w:val="left"/>
    </w:pPr>
    <w:rPr>
      <w:kern w:val="0"/>
      <w:sz w:val="22"/>
      <w:szCs w:val="22"/>
    </w:rPr>
  </w:style>
  <w:style w:type="paragraph" w:customStyle="1" w:styleId="301">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2">
    <w:name w:val="标题 1 Char2"/>
    <w:qFormat/>
    <w:uiPriority w:val="0"/>
    <w:rPr>
      <w:rFonts w:ascii="黑体" w:eastAsia="黑体"/>
      <w:bCs/>
      <w:kern w:val="44"/>
      <w:sz w:val="24"/>
      <w:szCs w:val="24"/>
    </w:rPr>
  </w:style>
  <w:style w:type="character" w:customStyle="1" w:styleId="303">
    <w:name w:val="Font Style17"/>
    <w:qFormat/>
    <w:uiPriority w:val="0"/>
    <w:rPr>
      <w:rFonts w:ascii="黑体" w:eastAsia="黑体" w:cs="黑体"/>
      <w:sz w:val="28"/>
      <w:szCs w:val="28"/>
    </w:rPr>
  </w:style>
  <w:style w:type="character" w:styleId="304">
    <w:name w:val="Placeholder Text"/>
    <w:basedOn w:val="48"/>
    <w:semiHidden/>
    <w:qFormat/>
    <w:uiPriority w:val="99"/>
    <w:rPr>
      <w:color w:val="808080"/>
    </w:rPr>
  </w:style>
  <w:style w:type="character" w:customStyle="1" w:styleId="305">
    <w:name w:val="正文缩进 Char3"/>
    <w:qFormat/>
    <w:uiPriority w:val="0"/>
    <w:rPr>
      <w:rFonts w:ascii="宋体" w:eastAsia="宋体"/>
      <w:sz w:val="34"/>
      <w:lang w:val="en-US" w:eastAsia="zh-CN" w:bidi="ar-SA"/>
    </w:rPr>
  </w:style>
  <w:style w:type="paragraph" w:customStyle="1" w:styleId="30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7">
    <w:name w:val="font01"/>
    <w:basedOn w:val="48"/>
    <w:qFormat/>
    <w:uiPriority w:val="0"/>
    <w:rPr>
      <w:rFonts w:hint="eastAsia" w:ascii="宋体" w:hAnsi="宋体" w:eastAsia="宋体" w:cs="宋体"/>
      <w:b/>
      <w:color w:val="000000"/>
      <w:sz w:val="20"/>
      <w:szCs w:val="20"/>
      <w:u w:val="none"/>
    </w:rPr>
  </w:style>
  <w:style w:type="character" w:customStyle="1" w:styleId="308">
    <w:name w:val="font41"/>
    <w:basedOn w:val="48"/>
    <w:qFormat/>
    <w:uiPriority w:val="0"/>
    <w:rPr>
      <w:rFonts w:hint="eastAsia" w:ascii="宋体" w:hAnsi="宋体" w:eastAsia="宋体" w:cs="宋体"/>
      <w:color w:val="000000"/>
      <w:sz w:val="20"/>
      <w:szCs w:val="20"/>
      <w:u w:val="none"/>
    </w:rPr>
  </w:style>
  <w:style w:type="character" w:customStyle="1" w:styleId="309">
    <w:name w:val="font61"/>
    <w:basedOn w:val="48"/>
    <w:qFormat/>
    <w:uiPriority w:val="0"/>
    <w:rPr>
      <w:rFonts w:hint="eastAsia" w:ascii="宋体" w:hAnsi="宋体" w:eastAsia="宋体" w:cs="宋体"/>
      <w:color w:val="000000"/>
      <w:sz w:val="20"/>
      <w:szCs w:val="20"/>
      <w:u w:val="none"/>
    </w:rPr>
  </w:style>
  <w:style w:type="character" w:customStyle="1" w:styleId="310">
    <w:name w:val="font31"/>
    <w:basedOn w:val="48"/>
    <w:qFormat/>
    <w:uiPriority w:val="0"/>
    <w:rPr>
      <w:rFonts w:hint="eastAsia" w:ascii="宋体" w:hAnsi="宋体" w:eastAsia="宋体" w:cs="宋体"/>
      <w:b/>
      <w:color w:val="000000"/>
      <w:sz w:val="20"/>
      <w:szCs w:val="20"/>
      <w:u w:val="none"/>
    </w:rPr>
  </w:style>
  <w:style w:type="character" w:customStyle="1" w:styleId="311">
    <w:name w:val="font51"/>
    <w:basedOn w:val="4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23930</Words>
  <Characters>25159</Characters>
  <Lines>286</Lines>
  <Paragraphs>80</Paragraphs>
  <TotalTime>3</TotalTime>
  <ScaleCrop>false</ScaleCrop>
  <LinksUpToDate>false</LinksUpToDate>
  <CharactersWithSpaces>29850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Administrator</cp:lastModifiedBy>
  <cp:lastPrinted>2023-10-07T02:51:00Z</cp:lastPrinted>
  <dcterms:modified xsi:type="dcterms:W3CDTF">2023-11-09T06:56:39Z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26EC757059534CA9AEEB9A8757A90DCE</vt:lpwstr>
  </property>
</Properties>
</file>