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3"/>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14:textFill>
            <w14:solidFill>
              <w14:schemeClr w14:val="tx1"/>
            </w14:solidFill>
          </w14:textFill>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highlight w:val="none"/>
          <w14:textFill>
            <w14:solidFill>
              <w14:schemeClr w14:val="tx1"/>
            </w14:solidFill>
          </w14:textFill>
        </w:rPr>
      </w:pPr>
    </w:p>
    <w:tbl>
      <w:tblPr>
        <w:tblStyle w:val="48"/>
        <w:tblW w:w="8523" w:type="dxa"/>
        <w:jc w:val="center"/>
        <w:tblLayout w:type="fixed"/>
        <w:tblCellMar>
          <w:top w:w="0" w:type="dxa"/>
          <w:left w:w="108" w:type="dxa"/>
          <w:bottom w:w="0" w:type="dxa"/>
          <w:right w:w="108" w:type="dxa"/>
        </w:tblCellMar>
      </w:tblPr>
      <w:tblGrid>
        <w:gridCol w:w="1951"/>
        <w:gridCol w:w="284"/>
        <w:gridCol w:w="6288"/>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88" w:type="dxa"/>
            <w:vAlign w:val="center"/>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YXCG-20220722</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88" w:type="dxa"/>
            <w:vAlign w:val="center"/>
          </w:tcPr>
          <w:p>
            <w:pPr>
              <w:pStyle w:val="23"/>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阳江农村商业银行股份有限公司文档云管理平台采购项目</w:t>
            </w:r>
          </w:p>
        </w:tc>
      </w:tr>
      <w:tr>
        <w:tblPrEx>
          <w:tblCellMar>
            <w:top w:w="0" w:type="dxa"/>
            <w:left w:w="108" w:type="dxa"/>
            <w:bottom w:w="0" w:type="dxa"/>
            <w:right w:w="108" w:type="dxa"/>
          </w:tblCellMar>
        </w:tblPrEx>
        <w:trPr>
          <w:trHeight w:val="510"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招标人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88" w:type="dxa"/>
            <w:vAlign w:val="center"/>
          </w:tcPr>
          <w:p>
            <w:pPr>
              <w:pStyle w:val="23"/>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阳江农村商业银行股份有限公司</w:t>
            </w:r>
          </w:p>
        </w:tc>
      </w:tr>
      <w:tr>
        <w:tblPrEx>
          <w:tblCellMar>
            <w:top w:w="0" w:type="dxa"/>
            <w:left w:w="108" w:type="dxa"/>
            <w:bottom w:w="0" w:type="dxa"/>
            <w:right w:w="108" w:type="dxa"/>
          </w:tblCellMar>
        </w:tblPrEx>
        <w:trPr>
          <w:trHeight w:val="682"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招标代理机构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288" w:type="dxa"/>
            <w:vAlign w:val="center"/>
          </w:tcPr>
          <w:p>
            <w:pPr>
              <w:pStyle w:val="23"/>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23"/>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二○二二年七月</w:t>
      </w:r>
    </w:p>
    <w:p>
      <w:pPr>
        <w:spacing w:before="120" w:beforeLines="50" w:after="120" w:afterLines="50" w:line="360" w:lineRule="atLeast"/>
        <w:jc w:val="center"/>
        <w:rPr>
          <w:rFonts w:ascii="宋体" w:hAnsi="宋体"/>
          <w:b/>
          <w:color w:val="000000" w:themeColor="text1"/>
          <w:sz w:val="36"/>
          <w:highlight w:val="none"/>
          <w14:textFill>
            <w14:solidFill>
              <w14:schemeClr w14:val="tx1"/>
            </w14:solidFill>
          </w14:textFill>
        </w:rPr>
      </w:pPr>
    </w:p>
    <w:p>
      <w:pPr>
        <w:spacing w:before="120" w:beforeLines="50" w:after="12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，招标代理机构</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w:t>
      </w:r>
      <w:r>
        <w:rPr>
          <w:rFonts w:hint="eastAsia" w:ascii="宋体" w:hAnsi="宋体"/>
          <w:color w:val="000000" w:themeColor="text1"/>
          <w:szCs w:val="21"/>
          <w:highlight w:val="none"/>
          <w14:textFill>
            <w14:solidFill>
              <w14:schemeClr w14:val="tx1"/>
            </w14:solidFill>
          </w14:textFill>
        </w:rPr>
        <w:t>招标代理机构</w:t>
      </w:r>
      <w:r>
        <w:rPr>
          <w:rFonts w:ascii="宋体" w:hAnsi="宋体"/>
          <w:color w:val="000000" w:themeColor="text1"/>
          <w:szCs w:val="21"/>
          <w:highlight w:val="none"/>
          <w14:textFill>
            <w14:solidFill>
              <w14:schemeClr w14:val="tx1"/>
            </w14:solidFill>
          </w14:textFill>
        </w:rPr>
        <w:t>，不对供应商购买招标文件时提交的相关资料的真伪做出判断，如供应商发现相关资料被盗用或复制，建议遵循法律途径解决，追究侵权者责任。对一家供应商递交两份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1"/>
        <w:tabs>
          <w:tab w:val="right" w:leader="dot" w:pos="8959"/>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_Toc21515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_Toc21515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_Toc31493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_Toc31493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_Toc550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_Toc31819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_Toc31819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_Toc5169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_Toc5169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_Toc23213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_Toc23213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_Toc14628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_Toc14628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_Toc12973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_Toc12973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_Toc18230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_Toc18230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_Toc1636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_Toc4590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_Toc5568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_Toc5568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_Toc20964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_Toc20964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_Toc21979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_Toc21979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_Toc13120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_Toc13120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_Toc26594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_Toc2427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_Toc13412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_Toc13412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_Toc13837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_Toc13837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_Toc15445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_Toc15445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_Toc5893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_Toc5893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_Toc18126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_Toc18126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_Toc7830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_Toc7830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_Toc11718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_Toc11718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_Toc6347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_Toc6347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_Toc14702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_Toc14702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_Toc28699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_Toc28699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_Toc2374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_Toc12641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_Toc7337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_Toc7337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_Toc13495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_Toc13495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_Toc4306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_Toc4306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_Toc14817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_Toc14817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_Toc18430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_Toc18430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_Toc32119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_Toc32119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_Toc2703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_Toc13290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_Toc13290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_Toc31329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_Toc31329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_Toc12721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_Toc1779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_Toc29247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_Toc26836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_Toc26836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_Toc11931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_Toc10207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G、评标细则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_Toc10207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_Toc18108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_Toc18108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_Toc19164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第五部分投标文件格式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_Toc23111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_Toc23111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_Toc24273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_Toc24273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_Toc26175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_Toc26175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_Toc18567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_Toc20713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_Toc20713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_Toc8001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_Toc8001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_Toc24112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_Toc24112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_Toc16940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_Toc6095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_Toc6095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_Toc9808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_Toc9808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_Toc20480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_Toc20480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_Toc2314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_Toc23180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_Toc23180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_Toc21336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_Toc21336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_Toc14186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附件四：商务条款偏离一览表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_Toc14186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_Toc7294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附件五：技术条款偏离一览表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_Toc7294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_Toc853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_Toc28360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_Toc28360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_Toc26105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_Toc26105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_Toc18298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_Toc18298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33237723"/>
      <w:bookmarkStart w:id="2" w:name="_Toc350438702"/>
      <w:bookmarkStart w:id="3" w:name="_Toc330459945"/>
      <w:bookmarkStart w:id="4" w:name="_Toc333238571"/>
      <w:bookmarkStart w:id="5" w:name="_Toc339020186"/>
      <w:bookmarkStart w:id="6" w:name="_Toc339020048"/>
      <w:bookmarkStart w:id="7" w:name="_Toc339441044"/>
      <w:bookmarkStart w:id="8" w:name="_Toc339019828"/>
      <w:bookmarkStart w:id="9" w:name="_Toc342296708"/>
      <w:bookmarkStart w:id="10" w:name="_Toc331512856"/>
      <w:bookmarkStart w:id="11" w:name="_Toc345513762"/>
      <w:bookmarkStart w:id="12" w:name="_Toc366072457"/>
      <w:bookmarkStart w:id="13" w:name="_Toc331683994"/>
      <w:bookmarkStart w:id="14" w:name="_Toc339019954"/>
      <w:bookmarkStart w:id="15" w:name="_Toc339362257"/>
      <w:bookmarkStart w:id="16" w:name="_Toc340677031"/>
      <w:bookmarkStart w:id="17" w:name="_Toc333935619"/>
      <w:bookmarkStart w:id="18" w:name="_Toc333935278"/>
      <w:bookmarkStart w:id="19" w:name="_Toc349143546"/>
      <w:bookmarkStart w:id="20" w:name="_Toc332206657"/>
      <w:bookmarkStart w:id="21" w:name="_Toc21515"/>
      <w:bookmarkStart w:id="22" w:name="_Toc349127583"/>
      <w:bookmarkStart w:id="23" w:name="_Toc342060322"/>
      <w:bookmarkStart w:id="24" w:name="_Toc336681537"/>
      <w:bookmarkStart w:id="25" w:name="_Toc332270305"/>
      <w:bookmarkStart w:id="26" w:name="_Toc336681892"/>
      <w:bookmarkStart w:id="27" w:name="_Toc365967002"/>
      <w:bookmarkStart w:id="28" w:name="_Toc340507403"/>
      <w:bookmarkStart w:id="29" w:name="_Toc350756403"/>
      <w:bookmarkStart w:id="30" w:name="_Toc337632315"/>
      <w:bookmarkStart w:id="31" w:name="_Toc365985108"/>
      <w:bookmarkStart w:id="32" w:name="_Toc333237612"/>
      <w:bookmarkStart w:id="33" w:name="_Toc340672830"/>
      <w:bookmarkStart w:id="34" w:name="_Toc341348291"/>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400" w:lineRule="exact"/>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广东业信采购招标有限公司（以下简称“招标代理机构”）受阳江农村商业银行股份有限公司（以下简称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）的委托，就阳江农村商业银行股份有限公司文档云管理平台采购项目进行公开招标(项目编号:YXCG-20220722)，欢迎符合条件的投标人参加。有关事项如下：</w:t>
      </w:r>
    </w:p>
    <w:p>
      <w:pPr>
        <w:widowControl/>
        <w:tabs>
          <w:tab w:val="left" w:pos="502"/>
        </w:tabs>
        <w:adjustRightInd w:val="0"/>
        <w:snapToGrid w:val="0"/>
        <w:spacing w:line="400" w:lineRule="exact"/>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widowControl/>
        <w:numPr>
          <w:ilvl w:val="0"/>
          <w:numId w:val="20"/>
        </w:numPr>
        <w:tabs>
          <w:tab w:val="left" w:pos="735"/>
          <w:tab w:val="clear" w:pos="528"/>
        </w:tabs>
        <w:adjustRightInd w:val="0"/>
        <w:snapToGrid w:val="0"/>
        <w:spacing w:line="400" w:lineRule="exact"/>
        <w:ind w:left="1785" w:leftChars="200" w:hanging="1365" w:hangingChars="6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项目名称：阳江农村商业银行股份有限公司文档云管理平台采购项目</w:t>
      </w:r>
    </w:p>
    <w:p>
      <w:pPr>
        <w:widowControl/>
        <w:numPr>
          <w:ilvl w:val="0"/>
          <w:numId w:val="20"/>
        </w:numPr>
        <w:tabs>
          <w:tab w:val="left" w:pos="735"/>
          <w:tab w:val="clear" w:pos="528"/>
        </w:tabs>
        <w:adjustRightInd w:val="0"/>
        <w:snapToGrid w:val="0"/>
        <w:spacing w:line="400" w:lineRule="exact"/>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 YXCG-20220722</w:t>
      </w:r>
    </w:p>
    <w:p>
      <w:pPr>
        <w:widowControl/>
        <w:numPr>
          <w:ilvl w:val="0"/>
          <w:numId w:val="20"/>
        </w:numPr>
        <w:tabs>
          <w:tab w:val="left" w:pos="735"/>
          <w:tab w:val="clear" w:pos="528"/>
        </w:tabs>
        <w:adjustRightInd w:val="0"/>
        <w:snapToGrid w:val="0"/>
        <w:spacing w:line="400" w:lineRule="exact"/>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投标报价上限：人民币350000.00元（超出该上限的投标报价将作为无效投标处理）</w:t>
      </w:r>
    </w:p>
    <w:p>
      <w:pPr>
        <w:widowControl/>
        <w:numPr>
          <w:ilvl w:val="0"/>
          <w:numId w:val="20"/>
        </w:numPr>
        <w:tabs>
          <w:tab w:val="left" w:pos="735"/>
          <w:tab w:val="clear" w:pos="528"/>
        </w:tabs>
        <w:adjustRightInd w:val="0"/>
        <w:snapToGrid w:val="0"/>
        <w:spacing w:line="400" w:lineRule="exact"/>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widowControl/>
        <w:numPr>
          <w:ilvl w:val="0"/>
          <w:numId w:val="20"/>
        </w:numPr>
        <w:tabs>
          <w:tab w:val="left" w:pos="735"/>
          <w:tab w:val="clear" w:pos="528"/>
        </w:tabs>
        <w:adjustRightInd w:val="0"/>
        <w:snapToGrid w:val="0"/>
        <w:spacing w:line="400" w:lineRule="exact"/>
        <w:ind w:left="736" w:leftChars="200" w:hanging="316" w:hangingChars="150"/>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中标人应在合同签署之日起30个日历日内完工。</w:t>
      </w:r>
      <w:r>
        <w:rPr>
          <w:rFonts w:hint="eastAsia" w:ascii="宋体" w:hAnsi="宋体"/>
          <w:bCs/>
          <w:color w:val="000000" w:themeColor="text1"/>
          <w:highlight w:val="none"/>
          <w14:textFill>
            <w14:solidFill>
              <w14:schemeClr w14:val="tx1"/>
            </w14:solidFill>
          </w14:textFill>
        </w:rPr>
        <w:t>（超出该完工期将作为无效投标处理）</w:t>
      </w:r>
    </w:p>
    <w:p>
      <w:pPr>
        <w:widowControl/>
        <w:numPr>
          <w:ilvl w:val="0"/>
          <w:numId w:val="20"/>
        </w:numPr>
        <w:tabs>
          <w:tab w:val="left" w:pos="315"/>
          <w:tab w:val="left" w:pos="735"/>
          <w:tab w:val="clear" w:pos="528"/>
        </w:tabs>
        <w:adjustRightInd w:val="0"/>
        <w:snapToGrid w:val="0"/>
        <w:spacing w:line="400" w:lineRule="exact"/>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项目招标方式：公开招标</w:t>
      </w:r>
    </w:p>
    <w:p>
      <w:pPr>
        <w:widowControl/>
        <w:tabs>
          <w:tab w:val="left" w:pos="502"/>
        </w:tabs>
        <w:adjustRightInd w:val="0"/>
        <w:snapToGrid w:val="0"/>
        <w:spacing w:line="400" w:lineRule="exact"/>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widowControl/>
        <w:numPr>
          <w:ilvl w:val="0"/>
          <w:numId w:val="22"/>
        </w:numPr>
        <w:tabs>
          <w:tab w:val="left" w:pos="420"/>
          <w:tab w:val="clear" w:pos="840"/>
        </w:tabs>
        <w:adjustRightInd w:val="0"/>
        <w:snapToGrid w:val="0"/>
        <w:spacing w:line="400" w:lineRule="exact"/>
        <w:ind w:left="434" w:leftChars="200" w:hanging="14" w:hangingChars="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widowControl/>
        <w:tabs>
          <w:tab w:val="left" w:pos="640"/>
          <w:tab w:val="left" w:pos="840"/>
        </w:tabs>
        <w:adjustRightInd w:val="0"/>
        <w:snapToGrid w:val="0"/>
        <w:spacing w:line="400" w:lineRule="exact"/>
        <w:ind w:left="636" w:leftChars="30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2）具有良好的商业信誉和健全的财务会计制度；</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3）具有履行合同所必需的设备和专业技术能力；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4）有依法缴纳税收和社会保障资金的良好记录；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6）法律、行政法规规定的其他条件。</w:t>
      </w:r>
    </w:p>
    <w:p>
      <w:pPr>
        <w:widowControl/>
        <w:tabs>
          <w:tab w:val="left" w:pos="525"/>
        </w:tabs>
        <w:adjustRightInd w:val="0"/>
        <w:snapToGrid w:val="0"/>
        <w:spacing w:line="400" w:lineRule="exact"/>
        <w:ind w:left="434" w:leftChars="200" w:hanging="14" w:hangingChars="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2.为采购项目提供整体设计、规范编制或者项目管理、监理、检测等服务的供应商，不得再参加该采购项目的其他采购活动。（提供《投标函》承诺）</w:t>
      </w:r>
    </w:p>
    <w:p>
      <w:pPr>
        <w:widowControl/>
        <w:tabs>
          <w:tab w:val="left" w:pos="525"/>
        </w:tabs>
        <w:adjustRightInd w:val="0"/>
        <w:snapToGrid w:val="0"/>
        <w:spacing w:line="400" w:lineRule="exact"/>
        <w:ind w:left="434" w:leftChars="200" w:hanging="14" w:hangingChars="7"/>
        <w:rPr>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3.单位负责人为同一人或者存在直接控股、管理关系的不同供应商，不得参加同一合同项下的政府采购活动。（提供《投标函》承诺）</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4.本项目不接受联合体投标；</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widowControl/>
        <w:tabs>
          <w:tab w:val="left" w:pos="502"/>
        </w:tabs>
        <w:adjustRightInd w:val="0"/>
        <w:snapToGrid w:val="0"/>
        <w:spacing w:line="400" w:lineRule="exact"/>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spacing w:line="400" w:lineRule="exact"/>
        <w:ind w:firstLine="420" w:firstLineChars="200"/>
        <w:rPr>
          <w:rFonts w:ascii="宋体" w:hAnsi="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cs="宋体"/>
          <w:bCs/>
          <w:color w:val="000000" w:themeColor="text1"/>
          <w:highlight w:val="none"/>
          <w14:textFill>
            <w14:solidFill>
              <w14:schemeClr w14:val="tx1"/>
            </w14:solidFill>
          </w14:textFill>
        </w:rPr>
        <w:t>间及下载：</w:t>
      </w:r>
      <w:r>
        <w:rPr>
          <w:rFonts w:hint="eastAsia" w:ascii="宋体" w:hAnsi="宋体" w:cs="宋体"/>
          <w:bCs/>
          <w:color w:val="000000" w:themeColor="text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color w:val="000000" w:themeColor="text1"/>
          <w:szCs w:val="21"/>
          <w:highlight w:val="none"/>
          <w14:textFill>
            <w14:solidFill>
              <w14:schemeClr w14:val="tx1"/>
            </w14:solidFill>
          </w14:textFill>
        </w:rPr>
        <w:t>至</w:t>
      </w:r>
      <w:r>
        <w:rPr>
          <w:rFonts w:hint="eastAsia" w:ascii="宋体" w:hAnsi="宋体" w:cs="宋体"/>
          <w:color w:val="000000" w:themeColor="text1"/>
          <w:szCs w:val="2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10</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bCs/>
          <w:color w:val="000000" w:themeColor="text1"/>
          <w:highlight w:val="none"/>
          <w14:textFill>
            <w14:solidFill>
              <w14:schemeClr w14:val="tx1"/>
            </w14:solidFill>
          </w14:textFill>
        </w:rPr>
        <w:t>。</w:t>
      </w:r>
    </w:p>
    <w:p>
      <w:pPr>
        <w:spacing w:line="400" w:lineRule="exact"/>
        <w:ind w:left="420" w:leftChars="200"/>
        <w:rPr>
          <w:rFonts w:ascii="宋体" w:hAnsi="宋体" w:cs="宋体"/>
          <w:color w:val="000000" w:themeColor="text1"/>
          <w:kern w:val="0"/>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根据《广东省实施〈中华人民共和国政府采购法〉办法》第三十五条的规定，投标人认为采购文件的内容损害其权益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w:t>
      </w:r>
      <w:r>
        <w:rPr>
          <w:rFonts w:hint="eastAsia" w:ascii="宋体" w:hAnsi="宋体" w:cs="宋体"/>
          <w:color w:val="000000" w:themeColor="text1"/>
          <w:kern w:val="0"/>
          <w:szCs w:val="21"/>
          <w:highlight w:val="none"/>
          <w14:textFill>
            <w14:solidFill>
              <w14:schemeClr w14:val="tx1"/>
            </w14:solidFill>
          </w14:textFill>
        </w:rPr>
        <w:t>招标人</w:t>
      </w:r>
      <w:r>
        <w:rPr>
          <w:rFonts w:ascii="宋体" w:hAnsi="宋体" w:cs="宋体"/>
          <w:color w:val="000000" w:themeColor="text1"/>
          <w:kern w:val="0"/>
          <w:szCs w:val="21"/>
          <w:highlight w:val="none"/>
          <w14:textFill>
            <w14:solidFill>
              <w14:schemeClr w14:val="tx1"/>
            </w14:solidFill>
          </w14:textFill>
        </w:rPr>
        <w:t>或</w:t>
      </w:r>
      <w:r>
        <w:rPr>
          <w:rFonts w:hint="eastAsia" w:ascii="宋体" w:hAnsi="宋体" w:cs="宋体"/>
          <w:color w:val="000000" w:themeColor="text1"/>
          <w:kern w:val="0"/>
          <w:szCs w:val="21"/>
          <w:highlight w:val="none"/>
          <w14:textFill>
            <w14:solidFill>
              <w14:schemeClr w14:val="tx1"/>
            </w14:solidFill>
          </w14:textFill>
        </w:rPr>
        <w:t>招标代理机构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投标人的法定代表人</w:t>
      </w:r>
      <w:r>
        <w:rPr>
          <w:rFonts w:ascii="宋体" w:hAnsi="宋体" w:cs="宋体"/>
          <w:color w:val="000000" w:themeColor="text1"/>
          <w:kern w:val="0"/>
          <w:szCs w:val="21"/>
          <w:highlight w:val="none"/>
          <w14:textFill>
            <w14:solidFill>
              <w14:schemeClr w14:val="tx1"/>
            </w14:solidFill>
          </w14:textFill>
        </w:rPr>
        <w:t>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招标代理机构工作人员做好确认工作，未被确认的质疑将作为无效质疑，招标人</w:t>
      </w:r>
      <w:r>
        <w:rPr>
          <w:rFonts w:ascii="宋体" w:hAnsi="宋体" w:cs="宋体"/>
          <w:color w:val="000000" w:themeColor="text1"/>
          <w:kern w:val="0"/>
          <w:szCs w:val="21"/>
          <w:highlight w:val="none"/>
          <w14:textFill>
            <w14:solidFill>
              <w14:schemeClr w14:val="tx1"/>
            </w14:solidFill>
          </w14:textFill>
        </w:rPr>
        <w:t>或</w:t>
      </w:r>
      <w:r>
        <w:rPr>
          <w:rFonts w:hint="eastAsia" w:ascii="宋体" w:hAnsi="宋体" w:cs="宋体"/>
          <w:color w:val="000000" w:themeColor="text1"/>
          <w:kern w:val="0"/>
          <w:szCs w:val="21"/>
          <w:highlight w:val="none"/>
          <w14:textFill>
            <w14:solidFill>
              <w14:schemeClr w14:val="tx1"/>
            </w14:solidFill>
          </w14:textFill>
        </w:rPr>
        <w:t>招标代理机构可不予作答。</w:t>
      </w:r>
    </w:p>
    <w:p>
      <w:pPr>
        <w:widowControl/>
        <w:numPr>
          <w:ilvl w:val="0"/>
          <w:numId w:val="23"/>
        </w:numPr>
        <w:tabs>
          <w:tab w:val="left" w:pos="502"/>
        </w:tabs>
        <w:adjustRightInd w:val="0"/>
        <w:snapToGrid w:val="0"/>
        <w:spacing w:line="400" w:lineRule="exact"/>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购买招标文件的时间、地点、方式及招标文件售价</w:t>
      </w:r>
      <w:bookmarkStart w:id="1947" w:name="_GoBack"/>
      <w:bookmarkEnd w:id="1947"/>
    </w:p>
    <w:p>
      <w:pPr>
        <w:widowControl/>
        <w:tabs>
          <w:tab w:val="left" w:pos="735"/>
        </w:tabs>
        <w:adjustRightInd w:val="0"/>
        <w:snapToGrid w:val="0"/>
        <w:spacing w:line="400" w:lineRule="exact"/>
        <w:ind w:left="210" w:leftChars="1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1.购买招标文件</w:t>
      </w:r>
      <w:r>
        <w:rPr>
          <w:rFonts w:hint="eastAsia" w:ascii="宋体" w:hAnsi="宋体" w:cs="宋体"/>
          <w:bCs/>
          <w:color w:val="000000" w:themeColor="text1"/>
          <w:highlight w:val="none"/>
          <w14:textFill>
            <w14:solidFill>
              <w14:schemeClr w14:val="tx1"/>
            </w14:solidFill>
          </w14:textFill>
        </w:rPr>
        <w:t xml:space="preserve">时间： </w:t>
      </w:r>
      <w:r>
        <w:rPr>
          <w:rFonts w:hint="eastAsia" w:ascii="宋体" w:hAnsi="宋体" w:cs="宋体"/>
          <w:bCs/>
          <w:color w:val="000000" w:themeColor="text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color w:val="000000" w:themeColor="text1"/>
          <w:szCs w:val="21"/>
          <w:highlight w:val="none"/>
          <w14:textFill>
            <w14:solidFill>
              <w14:schemeClr w14:val="tx1"/>
            </w14:solidFill>
          </w14:textFill>
        </w:rPr>
        <w:t>至</w:t>
      </w:r>
      <w:r>
        <w:rPr>
          <w:rFonts w:hint="eastAsia" w:ascii="宋体" w:hAnsi="宋体" w:cs="宋体"/>
          <w:color w:val="000000" w:themeColor="text1"/>
          <w:szCs w:val="2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10</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bCs/>
          <w:color w:val="000000" w:themeColor="text1"/>
          <w:highlight w:val="none"/>
          <w14:textFill>
            <w14:solidFill>
              <w14:schemeClr w14:val="tx1"/>
            </w14:solidFill>
          </w14:textFill>
        </w:rPr>
        <w:t>，上午9:00～12:00，下午2:30～5:30（节假日除外）（北</w:t>
      </w:r>
      <w:r>
        <w:rPr>
          <w:rFonts w:hint="eastAsia" w:ascii="宋体" w:hAnsi="宋体" w:cs="宋体"/>
          <w:color w:val="000000" w:themeColor="text1"/>
          <w:highlight w:val="none"/>
          <w14:textFill>
            <w14:solidFill>
              <w14:schemeClr w14:val="tx1"/>
            </w14:solidFill>
          </w14:textFill>
        </w:rPr>
        <w:t>京时间）。</w:t>
      </w:r>
    </w:p>
    <w:p>
      <w:pPr>
        <w:widowControl/>
        <w:tabs>
          <w:tab w:val="left" w:pos="735"/>
        </w:tabs>
        <w:adjustRightInd w:val="0"/>
        <w:snapToGrid w:val="0"/>
        <w:spacing w:line="400" w:lineRule="exact"/>
        <w:ind w:left="210" w:leftChars="1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2.购买招标文件地点：阳江市江城区猫山四街33号A座2楼</w:t>
      </w:r>
      <w:r>
        <w:rPr>
          <w:rFonts w:hint="eastAsia" w:ascii="宋体" w:hAnsi="宋体" w:cs="宋体"/>
          <w:color w:val="000000" w:themeColor="text1"/>
          <w:szCs w:val="21"/>
          <w:highlight w:val="none"/>
          <w14:textFill>
            <w14:solidFill>
              <w14:schemeClr w14:val="tx1"/>
            </w14:solidFill>
          </w14:textFill>
        </w:rPr>
        <w:t>205室。</w:t>
      </w:r>
    </w:p>
    <w:p>
      <w:pPr>
        <w:widowControl/>
        <w:tabs>
          <w:tab w:val="left" w:pos="735"/>
        </w:tabs>
        <w:adjustRightInd w:val="0"/>
        <w:snapToGrid w:val="0"/>
        <w:spacing w:line="400" w:lineRule="exact"/>
        <w:ind w:left="210" w:leftChars="100"/>
        <w:rPr>
          <w:rFonts w:ascii="宋体" w:hAnsi="宋体" w:cs="宋体"/>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3.招标文件售价：</w:t>
      </w:r>
      <w:r>
        <w:rPr>
          <w:rFonts w:hint="eastAsia" w:ascii="宋体" w:hAnsi="宋体" w:cs="宋体"/>
          <w:bCs/>
          <w:color w:val="000000" w:themeColor="text1"/>
          <w:szCs w:val="21"/>
          <w:highlight w:val="none"/>
          <w14:textFill>
            <w14:solidFill>
              <w14:schemeClr w14:val="tx1"/>
            </w14:solidFill>
          </w14:textFill>
        </w:rPr>
        <w:t>招标文件每套人民币300元，售后不退</w:t>
      </w:r>
      <w:r>
        <w:rPr>
          <w:rFonts w:hint="eastAsia" w:ascii="宋体" w:hAnsi="宋体" w:cs="宋体"/>
          <w:bCs/>
          <w:color w:val="000000" w:themeColor="text1"/>
          <w:highlight w:val="none"/>
          <w14:textFill>
            <w14:solidFill>
              <w14:schemeClr w14:val="tx1"/>
            </w14:solidFill>
          </w14:textFill>
        </w:rPr>
        <w:t>。</w:t>
      </w:r>
    </w:p>
    <w:p>
      <w:pPr>
        <w:widowControl/>
        <w:tabs>
          <w:tab w:val="left" w:pos="735"/>
        </w:tabs>
        <w:adjustRightInd w:val="0"/>
        <w:snapToGrid w:val="0"/>
        <w:spacing w:line="400" w:lineRule="exact"/>
        <w:ind w:left="420" w:leftChars="100" w:hanging="210" w:hangingChars="100"/>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4.招标文件获取方式：现场发售。</w:t>
      </w:r>
    </w:p>
    <w:p>
      <w:pPr>
        <w:widowControl/>
        <w:tabs>
          <w:tab w:val="left" w:pos="735"/>
        </w:tabs>
        <w:adjustRightInd w:val="0"/>
        <w:snapToGrid w:val="0"/>
        <w:spacing w:line="400" w:lineRule="exact"/>
        <w:ind w:left="420" w:leftChars="100" w:hanging="210" w:hangingChars="100"/>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5.</w:t>
      </w:r>
      <w:r>
        <w:rPr>
          <w:rFonts w:hint="eastAsia" w:ascii="宋体" w:hAnsi="宋体" w:cs="宋体"/>
          <w:bCs/>
          <w:color w:val="000000" w:themeColor="text1"/>
          <w:szCs w:val="21"/>
          <w:highlight w:val="none"/>
          <w14:textFill>
            <w14:solidFill>
              <w14:schemeClr w14:val="tx1"/>
            </w14:solidFill>
          </w14:textFill>
        </w:rPr>
        <w:t>购买招标文件必须携带:</w:t>
      </w:r>
    </w:p>
    <w:p>
      <w:pPr>
        <w:widowControl/>
        <w:tabs>
          <w:tab w:val="left" w:pos="735"/>
        </w:tabs>
        <w:adjustRightInd w:val="0"/>
        <w:snapToGrid w:val="0"/>
        <w:spacing w:line="400" w:lineRule="exact"/>
        <w:ind w:left="659" w:leftChars="164" w:hanging="315" w:hangingChars="150"/>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"http://www.yjgpc.gov.cn/" </w:instrText>
      </w:r>
      <w:r>
        <w:rPr>
          <w:color w:val="000000" w:themeColor="text1"/>
          <w:highlight w:val="none"/>
          <w14:textFill>
            <w14:solidFill>
              <w14:schemeClr w14:val="tx1"/>
            </w14:solidFill>
          </w14:textFill>
        </w:rPr>
        <w:fldChar w:fldCharType="separate"/>
      </w:r>
      <w:r>
        <w:rPr>
          <w:rStyle w:val="54"/>
          <w:rFonts w:hint="eastAsia" w:ascii="宋体" w:hAnsi="宋体" w:cs="宋体"/>
          <w:color w:val="000000" w:themeColor="text1"/>
          <w:highlight w:val="none"/>
          <w14:textFill>
            <w14:solidFill>
              <w14:schemeClr w14:val="tx1"/>
            </w14:solidFill>
          </w14:textFill>
        </w:rPr>
        <w:t>http://www.yjcg.cc</w:t>
      </w:r>
      <w:r>
        <w:rPr>
          <w:rStyle w:val="54"/>
          <w:rFonts w:hint="eastAsia" w:ascii="宋体" w:hAnsi="宋体" w:cs="宋体"/>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"http://www.yjcg.cc/index.php?c=content&amp;a=list&amp;catid=14" \o "政府采购资料下载" </w:instrText>
      </w:r>
      <w:r>
        <w:rPr>
          <w:color w:val="000000" w:themeColor="text1"/>
          <w:highlight w:val="none"/>
          <w14:textFill>
            <w14:solidFill>
              <w14:schemeClr w14:val="tx1"/>
            </w14:solidFill>
          </w14:textFill>
        </w:rPr>
        <w:fldChar w:fldCharType="separate"/>
      </w:r>
      <w:r>
        <w:rPr>
          <w:rStyle w:val="54"/>
          <w:rFonts w:hint="eastAsia" w:ascii="宋体" w:hAnsi="宋体" w:cs="宋体"/>
          <w:bCs/>
          <w:color w:val="000000" w:themeColor="text1"/>
          <w:highlight w:val="none"/>
          <w14:textFill>
            <w14:solidFill>
              <w14:schemeClr w14:val="tx1"/>
            </w14:solidFill>
          </w14:textFill>
        </w:rPr>
        <w:t>政府采购资料</w:t>
      </w:r>
      <w:r>
        <w:rPr>
          <w:rStyle w:val="54"/>
          <w:rFonts w:hint="eastAsia" w:ascii="宋体" w:hAnsi="宋体" w:cs="宋体"/>
          <w:bCs/>
          <w:color w:val="000000" w:themeColor="text1"/>
          <w:highlight w:val="none"/>
          <w14:textFill>
            <w14:solidFill>
              <w14:schemeClr w14:val="tx1"/>
            </w14:solidFill>
          </w14:textFill>
        </w:rPr>
        <w:fldChar w:fldCharType="end"/>
      </w:r>
      <w:r>
        <w:rPr>
          <w:rFonts w:hint="eastAsia" w:ascii="宋体" w:hAnsi="宋体" w:cs="宋体"/>
          <w:bCs/>
          <w:color w:val="000000" w:themeColor="text1"/>
          <w:szCs w:val="21"/>
          <w:highlight w:val="none"/>
          <w14:textFill>
            <w14:solidFill>
              <w14:schemeClr w14:val="tx1"/>
            </w14:solidFill>
          </w14:textFill>
        </w:rPr>
        <w:t>下载专区）加盖公章到指定地址购买。</w:t>
      </w:r>
      <w:r>
        <w:rPr>
          <w:rFonts w:hint="eastAsia" w:ascii="宋体" w:hAnsi="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cs="宋体"/>
          <w:bCs/>
          <w:color w:val="000000" w:themeColor="text1"/>
          <w:highlight w:val="none"/>
          <w14:textFill>
            <w14:solidFill>
              <w14:schemeClr w14:val="tx1"/>
            </w14:solidFill>
          </w14:textFill>
        </w:rPr>
        <w:t>。</w:t>
      </w:r>
    </w:p>
    <w:p>
      <w:pPr>
        <w:widowControl/>
        <w:tabs>
          <w:tab w:val="left" w:pos="735"/>
        </w:tabs>
        <w:adjustRightInd w:val="0"/>
        <w:snapToGrid w:val="0"/>
        <w:spacing w:line="400" w:lineRule="exact"/>
        <w:ind w:left="660" w:leftChars="164" w:hanging="316" w:hangingChars="150"/>
        <w:rPr>
          <w:rFonts w:ascii="宋体" w:hAnsi="宋体" w:cs="宋体"/>
          <w:b/>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招标代理机构或招标人查询结果为准，如相关失信记录已失效，供应商需提供相关证明资料）。</w:t>
      </w:r>
    </w:p>
    <w:p>
      <w:pPr>
        <w:widowControl/>
        <w:numPr>
          <w:ilvl w:val="0"/>
          <w:numId w:val="23"/>
        </w:numPr>
        <w:tabs>
          <w:tab w:val="left" w:pos="502"/>
        </w:tabs>
        <w:adjustRightInd w:val="0"/>
        <w:snapToGrid w:val="0"/>
        <w:spacing w:line="400" w:lineRule="exac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投标截止时间、开标时间及地点</w:t>
      </w:r>
    </w:p>
    <w:p>
      <w:pPr>
        <w:widowControl/>
        <w:tabs>
          <w:tab w:val="left" w:pos="735"/>
        </w:tabs>
        <w:adjustRightInd w:val="0"/>
        <w:snapToGrid w:val="0"/>
        <w:spacing w:line="400" w:lineRule="exact"/>
        <w:ind w:firstLine="210" w:firstLineChars="1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1.递交投标文件时间：</w:t>
      </w:r>
      <w:r>
        <w:rPr>
          <w:rFonts w:hint="eastAsia" w:ascii="宋体" w:hAnsi="宋体" w:cs="宋体"/>
          <w:color w:val="000000" w:themeColor="text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25</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0</w:t>
      </w:r>
      <w:r>
        <w:rPr>
          <w:rFonts w:hint="eastAsia" w:ascii="宋体" w:hAnsi="宋体" w:cs="宋体"/>
          <w:color w:val="000000" w:themeColor="text1"/>
          <w:highlight w:val="none"/>
          <w14:textFill>
            <w14:solidFill>
              <w14:schemeClr w14:val="tx1"/>
            </w14:solidFill>
          </w14:textFill>
        </w:rPr>
        <w:t>0-</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0 (北京时间)。</w:t>
      </w:r>
    </w:p>
    <w:p>
      <w:pPr>
        <w:widowControl/>
        <w:tabs>
          <w:tab w:val="left" w:pos="735"/>
        </w:tabs>
        <w:adjustRightInd w:val="0"/>
        <w:snapToGrid w:val="0"/>
        <w:spacing w:line="400" w:lineRule="exact"/>
        <w:ind w:firstLine="210" w:firstLineChars="100"/>
        <w:rPr>
          <w:rFonts w:ascii="宋体" w:hAnsi="宋体" w:cs="宋体"/>
          <w:bCs/>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2.投标截止时间、开标时间：</w:t>
      </w:r>
      <w:r>
        <w:rPr>
          <w:rFonts w:hint="eastAsia" w:ascii="宋体" w:hAnsi="宋体" w:cs="宋体"/>
          <w:color w:val="000000" w:themeColor="text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25</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0(北京时间)。</w:t>
      </w:r>
    </w:p>
    <w:p>
      <w:pPr>
        <w:widowControl/>
        <w:tabs>
          <w:tab w:val="left" w:pos="735"/>
        </w:tabs>
        <w:adjustRightInd w:val="0"/>
        <w:snapToGrid w:val="0"/>
        <w:spacing w:line="400" w:lineRule="exact"/>
        <w:ind w:firstLine="210" w:firstLineChars="100"/>
        <w:rPr>
          <w:rFonts w:ascii="宋体" w:hAnsi="宋体" w:cs="宋体"/>
          <w:bCs/>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3.递交投标文件地点、开标地点：阳江市江城区猫山四街33号A座2楼开标室。</w:t>
      </w:r>
    </w:p>
    <w:p>
      <w:pPr>
        <w:widowControl/>
        <w:tabs>
          <w:tab w:val="left" w:pos="735"/>
        </w:tabs>
        <w:adjustRightInd w:val="0"/>
        <w:snapToGrid w:val="0"/>
        <w:spacing w:line="400" w:lineRule="exac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六、招标人、招标代理机构的名称、地址和联系方式</w:t>
      </w:r>
    </w:p>
    <w:p>
      <w:pPr>
        <w:widowControl/>
        <w:tabs>
          <w:tab w:val="left" w:pos="630"/>
        </w:tabs>
        <w:adjustRightInd w:val="0"/>
        <w:snapToGrid w:val="0"/>
        <w:spacing w:line="400" w:lineRule="exact"/>
        <w:ind w:firstLine="315" w:firstLineChars="150"/>
        <w:rPr>
          <w:rFonts w:ascii="宋体" w:hAnsi="宋体" w:cs="宋体"/>
          <w:bCs/>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1．招标人联系方式：</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名称：阳江农村商业银行股份有限公司</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地址：阳江市江城区金山路3号美仑广场2幢、3幢1-2层、5幢1-3号铺、5-9号铺、201号铺</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联系人：李思</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联系电话：0662-3100088</w:t>
      </w:r>
    </w:p>
    <w:p>
      <w:pPr>
        <w:tabs>
          <w:tab w:val="left" w:pos="735"/>
          <w:tab w:val="left" w:pos="4680"/>
        </w:tabs>
        <w:adjustRightInd w:val="0"/>
        <w:snapToGrid w:val="0"/>
        <w:spacing w:line="400" w:lineRule="exact"/>
        <w:ind w:firstLine="315" w:firstLineChars="150"/>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2．</w:t>
      </w:r>
      <w:r>
        <w:rPr>
          <w:rFonts w:hint="eastAsia" w:ascii="宋体" w:hAnsi="宋体" w:cs="宋体"/>
          <w:color w:val="000000" w:themeColor="text1"/>
          <w:highlight w:val="none"/>
          <w14:textFill>
            <w14:solidFill>
              <w14:schemeClr w14:val="tx1"/>
            </w14:solidFill>
          </w14:textFill>
        </w:rPr>
        <w:t>招标代理机构联系方式：</w:t>
      </w:r>
    </w:p>
    <w:p>
      <w:pPr>
        <w:widowControl/>
        <w:tabs>
          <w:tab w:val="left" w:pos="735"/>
        </w:tabs>
        <w:adjustRightInd w:val="0"/>
        <w:snapToGrid w:val="0"/>
        <w:spacing w:line="400" w:lineRule="exact"/>
        <w:ind w:firstLine="630" w:firstLineChars="3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名    称：广东业信采购招标有限公司</w:t>
      </w:r>
    </w:p>
    <w:p>
      <w:pPr>
        <w:widowControl/>
        <w:tabs>
          <w:tab w:val="left" w:pos="735"/>
        </w:tabs>
        <w:adjustRightInd w:val="0"/>
        <w:snapToGrid w:val="0"/>
        <w:spacing w:line="400" w:lineRule="exact"/>
        <w:ind w:firstLine="630" w:firstLineChars="3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地    址：阳江市江城区猫山四街33号A座2楼</w:t>
      </w:r>
    </w:p>
    <w:p>
      <w:pPr>
        <w:widowControl/>
        <w:tabs>
          <w:tab w:val="left" w:pos="735"/>
        </w:tabs>
        <w:adjustRightInd w:val="0"/>
        <w:snapToGrid w:val="0"/>
        <w:spacing w:line="400" w:lineRule="exact"/>
        <w:ind w:firstLine="630" w:firstLineChars="3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联 系 人：冯国辉</w:t>
      </w:r>
    </w:p>
    <w:p>
      <w:pPr>
        <w:widowControl/>
        <w:tabs>
          <w:tab w:val="left" w:pos="735"/>
        </w:tabs>
        <w:adjustRightInd w:val="0"/>
        <w:snapToGrid w:val="0"/>
        <w:spacing w:line="400" w:lineRule="exact"/>
        <w:ind w:firstLine="630" w:firstLineChars="3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联系电话：0662-3167266</w:t>
      </w:r>
    </w:p>
    <w:p>
      <w:pPr>
        <w:widowControl/>
        <w:tabs>
          <w:tab w:val="left" w:pos="735"/>
        </w:tabs>
        <w:adjustRightInd w:val="0"/>
        <w:snapToGrid w:val="0"/>
        <w:spacing w:line="400" w:lineRule="exact"/>
        <w:ind w:firstLine="630" w:firstLineChars="3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传    真：0662-2669666</w:t>
      </w:r>
    </w:p>
    <w:p>
      <w:pPr>
        <w:tabs>
          <w:tab w:val="left" w:pos="4680"/>
        </w:tabs>
        <w:adjustRightInd w:val="0"/>
        <w:snapToGrid w:val="0"/>
        <w:spacing w:line="400" w:lineRule="exact"/>
        <w:ind w:firstLine="630" w:firstLineChars="300"/>
        <w:rPr>
          <w:rFonts w:ascii="宋体" w:hAnsi="宋体" w:cs="宋体"/>
          <w:b/>
          <w:color w:val="000000" w:themeColor="text1"/>
          <w:spacing w:val="20"/>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网    址：</w:t>
      </w:r>
      <w:r>
        <w:rPr>
          <w:rFonts w:hint="eastAsia" w:ascii="宋体" w:hAnsi="宋体" w:cs="宋体"/>
          <w:bCs/>
          <w:color w:val="000000" w:themeColor="text1"/>
          <w:highlight w:val="none"/>
          <w14:textFill>
            <w14:solidFill>
              <w14:schemeClr w14:val="tx1"/>
            </w14:solidFill>
          </w14:textFill>
        </w:rPr>
        <w:t>http://www.yjcg.cc</w:t>
      </w:r>
    </w:p>
    <w:p>
      <w:pPr>
        <w:widowControl/>
        <w:tabs>
          <w:tab w:val="left" w:pos="4769"/>
        </w:tabs>
        <w:adjustRightInd w:val="0"/>
        <w:snapToGrid w:val="0"/>
        <w:spacing w:line="400" w:lineRule="exact"/>
        <w:ind w:left="105" w:leftChars="50" w:firstLine="420" w:firstLineChars="200"/>
        <w:jc w:val="right"/>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广东业信采购招标有限公司</w:t>
      </w:r>
    </w:p>
    <w:p>
      <w:pPr>
        <w:widowControl/>
        <w:tabs>
          <w:tab w:val="left" w:pos="4769"/>
        </w:tabs>
        <w:adjustRightInd w:val="0"/>
        <w:snapToGrid w:val="0"/>
        <w:spacing w:line="400" w:lineRule="exact"/>
        <w:ind w:left="105" w:leftChars="50" w:firstLine="420" w:firstLineChars="200"/>
        <w:jc w:val="right"/>
        <w:rPr>
          <w:rFonts w:ascii="宋体" w:hAnsi="宋体" w:cs="宋体"/>
          <w:color w:val="000000" w:themeColor="text1"/>
          <w:highlight w:val="none"/>
          <w14:textFill>
            <w14:solidFill>
              <w14:schemeClr w14:val="tx1"/>
            </w14:solidFill>
          </w14:textFill>
        </w:rPr>
      </w:pPr>
      <w:bookmarkStart w:id="37" w:name="_Toc341348292"/>
      <w:bookmarkStart w:id="38" w:name="_Toc332270306"/>
      <w:bookmarkStart w:id="39" w:name="_Toc349127584"/>
      <w:bookmarkStart w:id="40" w:name="_Toc340672831"/>
      <w:bookmarkStart w:id="41" w:name="_Toc350756404"/>
      <w:bookmarkStart w:id="42" w:name="_Toc333935620"/>
      <w:bookmarkStart w:id="43" w:name="_Toc333237613"/>
      <w:bookmarkStart w:id="44" w:name="_Toc336681893"/>
      <w:bookmarkStart w:id="45" w:name="_Toc340677032"/>
      <w:bookmarkStart w:id="46" w:name="_Toc332206658"/>
      <w:bookmarkStart w:id="47" w:name="_Toc339362258"/>
      <w:bookmarkStart w:id="48" w:name="_Toc339441045"/>
      <w:bookmarkStart w:id="49" w:name="_Toc349143547"/>
      <w:bookmarkStart w:id="50" w:name="_Toc337632316"/>
      <w:bookmarkStart w:id="51" w:name="_Toc342060323"/>
      <w:bookmarkStart w:id="52" w:name="_Toc342296709"/>
      <w:bookmarkStart w:id="53" w:name="_Toc336681538"/>
      <w:bookmarkStart w:id="54" w:name="_Toc339020049"/>
      <w:bookmarkStart w:id="55" w:name="_Toc340507404"/>
      <w:bookmarkStart w:id="56" w:name="_Toc331683995"/>
      <w:bookmarkStart w:id="57" w:name="_Toc339020187"/>
      <w:bookmarkStart w:id="58" w:name="_Toc330459946"/>
      <w:bookmarkStart w:id="59" w:name="_Toc366072458"/>
      <w:bookmarkStart w:id="60" w:name="_Toc339019955"/>
      <w:bookmarkStart w:id="61" w:name="_Toc333238572"/>
      <w:bookmarkStart w:id="62" w:name="_Toc333237724"/>
      <w:bookmarkStart w:id="63" w:name="_Toc345513763"/>
      <w:bookmarkStart w:id="64" w:name="_Toc339019829"/>
      <w:bookmarkStart w:id="65" w:name="_Toc331512857"/>
      <w:bookmarkStart w:id="66" w:name="_Toc350438703"/>
      <w:bookmarkStart w:id="67" w:name="_Toc365985109"/>
      <w:bookmarkStart w:id="68" w:name="_Toc333935279"/>
      <w:bookmarkStart w:id="69" w:name="_Toc365967003"/>
      <w:r>
        <w:rPr>
          <w:rFonts w:hint="eastAsia" w:ascii="宋体" w:hAnsi="宋体" w:cs="宋体"/>
          <w:color w:val="000000" w:themeColor="text1"/>
          <w:highlight w:val="none"/>
          <w:lang w:val="en-US" w:eastAsia="zh-CN"/>
          <w14:textFill>
            <w14:solidFill>
              <w14:schemeClr w14:val="tx1"/>
            </w14:solidFill>
          </w14:textFill>
        </w:rPr>
        <w:t>2022</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日</w:t>
      </w:r>
    </w:p>
    <w:p>
      <w:pPr>
        <w:pStyle w:val="3"/>
        <w:numPr>
          <w:ilvl w:val="0"/>
          <w:numId w:val="0"/>
        </w:numPr>
        <w:spacing w:beforeLines="0" w:after="120" w:afterLines="50" w:line="390" w:lineRule="exact"/>
        <w:ind w:hanging="3"/>
        <w:rPr>
          <w:color w:val="000000" w:themeColor="text1"/>
          <w:highlight w:val="none"/>
          <w14:textFill>
            <w14:solidFill>
              <w14:schemeClr w14:val="tx1"/>
            </w14:solidFill>
          </w14:textFill>
        </w:rPr>
      </w:pPr>
      <w:bookmarkStart w:id="70" w:name="_Toc31493"/>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75570886"/>
      <w:bookmarkStart w:id="73" w:name="_Toc333237725"/>
      <w:bookmarkStart w:id="74" w:name="_Toc333935621"/>
      <w:bookmarkStart w:id="75" w:name="_Toc333935280"/>
      <w:bookmarkStart w:id="76" w:name="_Toc333238573"/>
      <w:bookmarkStart w:id="77" w:name="_Toc330459949"/>
      <w:bookmarkStart w:id="78" w:name="_Toc333237614"/>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360" w:beforeLines="150" w:after="0" w:line="360" w:lineRule="auto"/>
        <w:rPr>
          <w:color w:val="000000" w:themeColor="text1"/>
          <w:kern w:val="0"/>
          <w:sz w:val="24"/>
          <w:highlight w:val="none"/>
          <w14:textFill>
            <w14:solidFill>
              <w14:schemeClr w14:val="tx1"/>
            </w14:solidFill>
          </w14:textFill>
        </w:rPr>
      </w:pPr>
      <w:bookmarkStart w:id="79" w:name="_Toc550"/>
      <w:bookmarkStart w:id="80" w:name="_Toc330459952"/>
      <w:bookmarkStart w:id="81" w:name="_Toc366072495"/>
      <w:bookmarkStart w:id="82" w:name="_Toc350756417"/>
      <w:bookmarkStart w:id="83" w:name="_Toc341348305"/>
      <w:bookmarkStart w:id="84" w:name="_Toc337632325"/>
      <w:bookmarkStart w:id="85" w:name="_Toc332270313"/>
      <w:bookmarkStart w:id="86" w:name="_Toc336681547"/>
      <w:bookmarkStart w:id="87" w:name="_Toc339362267"/>
      <w:bookmarkStart w:id="88" w:name="_Toc339020200"/>
      <w:bookmarkStart w:id="89" w:name="_Toc333237755"/>
      <w:bookmarkStart w:id="90" w:name="_Toc331512865"/>
      <w:bookmarkStart w:id="91" w:name="_Toc339441054"/>
      <w:bookmarkStart w:id="92" w:name="_Toc349127593"/>
      <w:bookmarkStart w:id="93" w:name="_Toc333238600"/>
      <w:bookmarkStart w:id="94" w:name="_Toc365967040"/>
      <w:bookmarkStart w:id="95" w:name="_Toc345513834"/>
      <w:bookmarkStart w:id="96" w:name="_Toc333935313"/>
      <w:bookmarkStart w:id="97" w:name="_Toc342296727"/>
      <w:bookmarkStart w:id="98" w:name="_Toc350438716"/>
      <w:bookmarkStart w:id="99" w:name="_Toc332206675"/>
      <w:bookmarkStart w:id="100" w:name="_Toc339019856"/>
      <w:bookmarkStart w:id="101" w:name="_Toc342060341"/>
      <w:bookmarkStart w:id="102" w:name="_Toc340677037"/>
      <w:bookmarkStart w:id="103" w:name="_Toc339019982"/>
      <w:bookmarkStart w:id="104" w:name="_Toc333935654"/>
      <w:bookmarkStart w:id="105" w:name="_Toc331684005"/>
      <w:bookmarkStart w:id="106" w:name="_Toc339020062"/>
      <w:bookmarkStart w:id="107" w:name="_Toc349143556"/>
      <w:bookmarkStart w:id="108" w:name="_Toc340507409"/>
      <w:bookmarkStart w:id="109" w:name="_Toc336681902"/>
      <w:bookmarkStart w:id="110" w:name="_Toc340672836"/>
      <w:bookmarkStart w:id="111" w:name="_Toc365985146"/>
      <w:bookmarkStart w:id="112" w:name="_Toc333237644"/>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8"/>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20"/>
        <w:gridCol w:w="2203"/>
        <w:gridCol w:w="4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2220"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w:t>
            </w:r>
          </w:p>
        </w:tc>
        <w:tc>
          <w:tcPr>
            <w:tcW w:w="660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投标人投标资格要求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完工期</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投标报价包括</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报价包含完成本项目设备费、运输费、卸装费、安装费、保险费、维保费、软件升级费、咨询服务费、培训费、税费和验收等费用以及为完成本项目所产生的其他所有可预见和不可预见费用。招标人不再支付其他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合同签订要求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采购合同由中标人与招标人双方签订，签订时间《中标通知书》发出后30个工作日内。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交货要求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(1)本项目所采购的硬件设备是符合招标采购流程的全新的原厂设备。在招标人签发《验收合格证明》之前，如出现设备硬件故障，中标人负责免费提供原厂全新设备进行更换并提供相关原厂证明。</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(2)中标人供货时须向招标人提交原厂供货证明原件。若不能提供原厂供货证明原件，招标人有权单方解除合同，造成的损失由中标人承担。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完工地点</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招标人机房，按照项目要求按需分批次送到招标人指定地点。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包装要求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设备应按合同条款的要求进行包装。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技术资料</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中标人供货时提供包括但不限于满足货物使用和维护的全部技术文件。中标人交货时须提供原出厂产品合格证、产品说明书、原产地证明。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w:t>
            </w:r>
          </w:p>
        </w:tc>
        <w:tc>
          <w:tcPr>
            <w:tcW w:w="2220" w:type="dxa"/>
            <w:tcBorders>
              <w:top w:val="single" w:color="auto" w:sz="4" w:space="0"/>
              <w:left w:val="single" w:color="auto" w:sz="4" w:space="0"/>
              <w:right w:val="single" w:color="auto" w:sz="4" w:space="0"/>
            </w:tcBorders>
            <w:vAlign w:val="center"/>
          </w:tcPr>
          <w:p>
            <w:pPr>
              <w:widowControl/>
              <w:tabs>
                <w:tab w:val="left" w:pos="735"/>
              </w:tabs>
              <w:adjustRightInd w:val="0"/>
              <w:snapToGrid w:val="0"/>
              <w:spacing w:line="360" w:lineRule="auto"/>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检验与验收</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(1)货物验收由招标人、中标人共同负责。</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货物的安装及由此产生的费用由中标人负责，中标人必须向招标人提供合同货物安装所需的材料及技术资料以及组装/维修所需工具。派出的安装人员应具备相关的专业知识、技术水平、相应资质和能力，熟悉提供货物的规格、技术指标及安装工艺，有足够能力安装、调试所提供货物并使之达到本招标文件的要求。</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(3)中标人在接到招标人要求开始安装的通知后2天内必须派合适的人员到现场进行安装和调试。</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(4)验收：中标人为验收提供必需的一切条件及相关费用。在货物安装使用正常后15个工作日内，招标人将按照国际、国家及厂家标准对货物进行质量验收。</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验收标准依次序对照适用标准为：①符合中华人民共和国国家安全质量标准、环保标准或行业技术规范标准等；②符合招标文件和响应承诺中招标人认可的合理最佳配置、参数及各项要求；③货物来源国官方标准。上述标准必须是有关官方机构发布的最新版本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w:t>
            </w:r>
          </w:p>
        </w:tc>
        <w:tc>
          <w:tcPr>
            <w:tcW w:w="2220" w:type="dxa"/>
            <w:tcBorders>
              <w:top w:val="single" w:color="auto" w:sz="4" w:space="0"/>
              <w:left w:val="single" w:color="auto" w:sz="4" w:space="0"/>
              <w:right w:val="single" w:color="auto" w:sz="4" w:space="0"/>
            </w:tcBorders>
            <w:vAlign w:val="center"/>
          </w:tcPr>
          <w:p>
            <w:pPr>
              <w:widowControl/>
              <w:tabs>
                <w:tab w:val="left" w:pos="735"/>
              </w:tabs>
              <w:adjustRightInd w:val="0"/>
              <w:snapToGrid w:val="0"/>
              <w:spacing w:line="360" w:lineRule="auto"/>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质量保证</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货物质量指标达到相应的生产国标准，行业标准及投标人、投标产品原厂家在投标文件中提交并确定遵照的有关标准及技术要求。货物须获得中国政府批准在中国境内销售，并在中国有关监督管理部门办理注册登记。货物须适合中国国家标准，或通用国际标准。</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(2)质量保证要求：中标人所供货物必须是全新的，表面无划伤，无碰撞，其技术规格、标准必须符合用户需求书要求和国家计量检测标准。</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(3)质量保证期：质量保证期(质保期)：所供货物经验收合格之日起计，连续正常使用累计满3年。质保期内，由中标人联同原厂家共同负责相关售后服务工作，在非人为因素情况下，一切维修换件保养费用和备品备件均由中标人免费提供。如所供货物因故障停用时间累计超过30天则质保期重新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w:t>
            </w:r>
          </w:p>
        </w:tc>
        <w:tc>
          <w:tcPr>
            <w:tcW w:w="2220" w:type="dxa"/>
            <w:tcBorders>
              <w:top w:val="single" w:color="auto" w:sz="4" w:space="0"/>
              <w:left w:val="single" w:color="auto" w:sz="4" w:space="0"/>
              <w:right w:val="single" w:color="auto" w:sz="4" w:space="0"/>
            </w:tcBorders>
            <w:vAlign w:val="center"/>
          </w:tcPr>
          <w:p>
            <w:pPr>
              <w:widowControl/>
              <w:tabs>
                <w:tab w:val="left" w:pos="720"/>
              </w:tabs>
              <w:adjustRightInd w:val="0"/>
              <w:snapToGrid w:val="0"/>
              <w:spacing w:line="360" w:lineRule="auto"/>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★售后保障服务</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(1)备件服务要求。在技术服务期限内，提供三年免费维保服务和不低于原厂7*24小时同型号备件服务，即要求每周7天工作日，每天24小时响应，原厂同型号备件第二个自然日到达招标人设备安装现场。</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如果备件不能按时到达招标人现场，视为中标人违约，每延迟一天（不足一天的按一天计）,中标人向招标人支付合同总金额5%的违约金，招标人有权在后续支付款项中扣除该违约金，招标人为此有权另行聘请第三方进行故障修复处理，所产生的费用全部由中标人承担。</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原厂维保服务起始时间自用户通过安装调试验收合格之日起开始计算。</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关键时段现场保障服务。在合同期内，中标人须按招标人要求提供关键时段现场技术保障，关键时段包括但不限于国家重大活动期间、年终决算日、切换演练（包括网络、系统和机房的演练）、重要系统投产上线、重大网络变更等。</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巡检服务。中标人提供每年至少四次现场巡检服务。巡检须派经验丰富的专业工程师到设备安装现场进行预防性检查维护，对配置进行检查，分析系统告警信息并提出整改方案，中标人按招标人要求出具巡检报告、整改方案等文档并负责整改实施。</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升级服务。升级服务是指投标人针对所投产品缺陷或根据招标人要求在合同生效期间内为软件免费升级和补丁更新，保证用户能够及时获得相关服务和技术文档的更新，专业工程师每季度在巡检报告中提出是否需要进行升级服务的建议。技术文档包括了操作手册、产品说明、系统架构、应急处理、规章制度等。</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所投产品出现重大缺陷时，中标人和原厂须主动告知招标人升级或应对措施。</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(6)咨询服务。招标人可随时向中标人和设备原厂进行技术咨询，中标人和设备原厂工程师有义务向招标人团队提供咨询服务。</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(7)应急服务。中标人负责向招标人提供每周7×24小时专人应急服务电话。</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现场响应时间规定如下：中标人接到招标人应急报障后，保证在4小时内到达招标人阳江现场。</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到达现场后1小时内使业务恢复正常运行；一周内排除故障。故障排除后3个工作日内，向招标人提交《故障应急处理报告》。如不能根据招标人要求排除故障，招标人有权要求设备原厂无条件提供同等备机或另行聘请第三方进行处理，涉及第三方时所产生费用全部由投标人承担。</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培训服务。中标人承诺对招标人进行现场培训服务，并在系统日常使用及维护时，不定期地免费提供操作员培训。合同签订后，中标人将对招标人工程师进行至少3次现场技术培训，培训方式主要采取授课、实机演示、操作、答疑和研讨交流等形式进行。具体时间和地点，由双方协商确定。为保证培训的质量，培训可安排在招标人培训中心进行，因培训所产生费用由中标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付款方式</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设备到货并检验产品合格后15个工作日内支付合同价的30%，项目完工并验收合格通过后15个工作日内支付合同价的65%，合同价的5%作为质量保证金，质保期满后15个工作日内支付。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项目服务要求</w:t>
            </w:r>
          </w:p>
          <w:p>
            <w:pPr>
              <w:spacing w:line="320" w:lineRule="exact"/>
              <w:jc w:val="center"/>
              <w:rPr>
                <w:rFonts w:ascii="宋体" w:hAnsi="宋体" w:cs="宋体"/>
                <w:b/>
                <w:bCs/>
                <w:color w:val="000000" w:themeColor="text1"/>
                <w:szCs w:val="21"/>
                <w:highlight w:val="none"/>
                <w14:textFill>
                  <w14:solidFill>
                    <w14:schemeClr w14:val="tx1"/>
                  </w14:solidFill>
                </w14:textFill>
              </w:rPr>
            </w:pP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(1)技术服务期限：完成项目实施后，从招标人通过安装调试验收合格之日起计算，提供三年原厂备件服务。在设备保修服务开始之前，中标人按照售后服务保障要求规格提供服务。</w:t>
            </w:r>
          </w:p>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(2)技术服务方式：提供原厂专业工程师现场实施及保障服务。</w:t>
            </w:r>
          </w:p>
          <w:p>
            <w:pPr>
              <w:spacing w:line="32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中标人出具产品的原厂供货、服务证明相关材料必须原厂便签纸打印并由原厂家盖公章及其工作人员签字后送招标人的本项目的项目经理。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w:t>
            </w:r>
          </w:p>
        </w:tc>
        <w:tc>
          <w:tcPr>
            <w:tcW w:w="2220"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投标保证金</w:t>
            </w:r>
          </w:p>
          <w:p>
            <w:pPr>
              <w:spacing w:line="3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（应当以支票、汇票、本票或者金融机构、担保机构出具的保函等非现金形式提交）。</w:t>
            </w:r>
          </w:p>
          <w:p>
            <w:pPr>
              <w:spacing w:line="3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提交主体：必须以投标人自身名义提交，</w:t>
            </w:r>
            <w:r>
              <w:rPr>
                <w:rFonts w:hint="eastAsia" w:ascii="宋体" w:hAnsi="宋体" w:cs="宋体"/>
                <w:color w:val="000000" w:themeColor="text1"/>
                <w:szCs w:val="21"/>
                <w:highlight w:val="none"/>
                <w14:textFill>
                  <w14:solidFill>
                    <w14:schemeClr w14:val="tx1"/>
                  </w14:solidFill>
                </w14:textFill>
              </w:rPr>
              <w:t>应注明“</w:t>
            </w:r>
            <w:r>
              <w:rPr>
                <w:rFonts w:hint="eastAsia" w:ascii="宋体" w:hAnsi="宋体" w:cs="宋体"/>
                <w:b/>
                <w:color w:val="000000" w:themeColor="text1"/>
                <w:szCs w:val="21"/>
                <w:highlight w:val="none"/>
                <w14:textFill>
                  <w14:solidFill>
                    <w14:schemeClr w14:val="tx1"/>
                  </w14:solidFill>
                </w14:textFill>
              </w:rPr>
              <w:t>（项目编号）投标保证金</w:t>
            </w:r>
            <w:r>
              <w:rPr>
                <w:rFonts w:hint="eastAsia" w:ascii="宋体" w:hAnsi="宋体" w:cs="宋体"/>
                <w:color w:val="000000" w:themeColor="text1"/>
                <w:szCs w:val="21"/>
                <w:highlight w:val="none"/>
                <w14:textFill>
                  <w14:solidFill>
                    <w14:schemeClr w14:val="tx1"/>
                  </w14:solidFill>
                </w14:textFill>
              </w:rPr>
              <w:t>”。</w:t>
            </w:r>
          </w:p>
        </w:tc>
        <w:tc>
          <w:tcPr>
            <w:tcW w:w="220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保证金数额</w:t>
            </w:r>
          </w:p>
        </w:tc>
        <w:tc>
          <w:tcPr>
            <w:tcW w:w="44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人民币叁仟伍佰元整（￥3500.00元）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开户名称</w:t>
            </w:r>
          </w:p>
        </w:tc>
        <w:tc>
          <w:tcPr>
            <w:tcW w:w="440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widowControl/>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账    号</w:t>
            </w:r>
          </w:p>
        </w:tc>
        <w:tc>
          <w:tcPr>
            <w:tcW w:w="440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widowControl/>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开户银行</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交纳时间</w:t>
            </w:r>
          </w:p>
        </w:tc>
        <w:tc>
          <w:tcPr>
            <w:tcW w:w="440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s="宋体"/>
                <w:b/>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投标保证金作为投标人投标的组成部分，与投标文件一同递交。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w:t>
            </w:r>
          </w:p>
        </w:tc>
        <w:tc>
          <w:tcPr>
            <w:tcW w:w="2220"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中标服务费</w:t>
            </w:r>
          </w:p>
          <w:p>
            <w:pPr>
              <w:spacing w:line="3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（以银行转账、电汇方式提交）</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收费标准：</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根据发改价格[2015]299号文的规定，招标代理服务费实行市场调节价。中标人在领取《中标通知书》时应一次性交纳招标代理服务费柒仟元整（￥7000.00元）。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开户名称</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账    号</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highlight w:val="none"/>
                <w14:textFill>
                  <w14:solidFill>
                    <w14:schemeClr w14:val="tx1"/>
                  </w14:solidFill>
                </w14:textFill>
              </w:rPr>
            </w:pPr>
          </w:p>
        </w:tc>
        <w:tc>
          <w:tcPr>
            <w:tcW w:w="2220"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s="宋体"/>
                <w:color w:val="000000" w:themeColor="text1"/>
                <w:szCs w:val="21"/>
                <w:highlight w:val="none"/>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开户银行</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pPr>
        <w:pStyle w:val="4"/>
        <w:numPr>
          <w:ilvl w:val="0"/>
          <w:numId w:val="0"/>
        </w:numPr>
        <w:spacing w:before="360" w:beforeLines="150" w:after="0" w:line="360" w:lineRule="auto"/>
        <w:rPr>
          <w:color w:val="000000" w:themeColor="text1"/>
          <w:kern w:val="0"/>
          <w:sz w:val="24"/>
          <w:highlight w:val="none"/>
          <w14:textFill>
            <w14:solidFill>
              <w14:schemeClr w14:val="tx1"/>
            </w14:solidFill>
          </w14:textFill>
        </w:rPr>
      </w:pPr>
      <w:bookmarkStart w:id="113" w:name="_Toc31819"/>
      <w:r>
        <w:rPr>
          <w:rFonts w:hint="eastAsia"/>
          <w:color w:val="000000" w:themeColor="text1"/>
          <w:kern w:val="0"/>
          <w:sz w:val="24"/>
          <w:highlight w:val="none"/>
          <w14:textFill>
            <w14:solidFill>
              <w14:schemeClr w14:val="tx1"/>
            </w14:solidFill>
          </w14:textFill>
        </w:rPr>
        <w:t>B  技术要求</w:t>
      </w:r>
      <w:bookmarkEnd w:id="113"/>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一、需求背景</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人目前800多名员工，文档在每个人日常工作中有着举足轻重的作用，但是在移动时代，随时随地通过任何设备访问文档和信息已经必不可少，需要确保文档资料的安全和风险。所以，在提升组织内用户的文档使用效率的同时，也需要确保文档资料安全和可管理性。</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人希望通过采购文件管理平台，来帮助每个组织的成员在移动互联趋势下，获得消费级的文档使用、共享协作体验；二是令IT管理员放心的文档安全，帮助IT管理员在面向移动或者异地访问共享维护和保护文档数据资产安全。</w:t>
      </w:r>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二、需求清单</w:t>
      </w:r>
    </w:p>
    <w:tbl>
      <w:tblPr>
        <w:tblStyle w:val="48"/>
        <w:tblW w:w="8741" w:type="dxa"/>
        <w:jc w:val="center"/>
        <w:tblLayout w:type="fixed"/>
        <w:tblCellMar>
          <w:top w:w="0" w:type="dxa"/>
          <w:left w:w="108" w:type="dxa"/>
          <w:bottom w:w="0" w:type="dxa"/>
          <w:right w:w="108" w:type="dxa"/>
        </w:tblCellMar>
      </w:tblPr>
      <w:tblGrid>
        <w:gridCol w:w="1157"/>
        <w:gridCol w:w="2426"/>
        <w:gridCol w:w="1219"/>
        <w:gridCol w:w="3939"/>
      </w:tblGrid>
      <w:tr>
        <w:tblPrEx>
          <w:tblCellMar>
            <w:top w:w="0" w:type="dxa"/>
            <w:left w:w="108" w:type="dxa"/>
            <w:bottom w:w="0" w:type="dxa"/>
            <w:right w:w="108" w:type="dxa"/>
          </w:tblCellMar>
        </w:tblPrEx>
        <w:trPr>
          <w:trHeight w:val="537" w:hRule="atLeast"/>
          <w:jc w:val="center"/>
        </w:trPr>
        <w:tc>
          <w:tcPr>
            <w:tcW w:w="1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2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w:t>
            </w:r>
          </w:p>
        </w:tc>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数量</w:t>
            </w:r>
          </w:p>
        </w:tc>
        <w:tc>
          <w:tcPr>
            <w:tcW w:w="3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说明</w:t>
            </w:r>
          </w:p>
        </w:tc>
      </w:tr>
      <w:tr>
        <w:tblPrEx>
          <w:tblCellMar>
            <w:top w:w="0" w:type="dxa"/>
            <w:left w:w="108" w:type="dxa"/>
            <w:bottom w:w="0" w:type="dxa"/>
            <w:right w:w="108" w:type="dxa"/>
          </w:tblCellMar>
        </w:tblPrEx>
        <w:trPr>
          <w:trHeight w:val="537" w:hRule="atLeast"/>
          <w:jc w:val="center"/>
        </w:trPr>
        <w:tc>
          <w:tcPr>
            <w:tcW w:w="1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2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硬件</w:t>
            </w:r>
          </w:p>
        </w:tc>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3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具体要求详见技术参数要求</w:t>
            </w:r>
          </w:p>
        </w:tc>
      </w:tr>
      <w:tr>
        <w:trPr>
          <w:trHeight w:val="549" w:hRule="atLeast"/>
          <w:jc w:val="center"/>
        </w:trPr>
        <w:tc>
          <w:tcPr>
            <w:tcW w:w="1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2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文件管理软件</w:t>
            </w:r>
          </w:p>
        </w:tc>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3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具体要求详见技术参数要求</w:t>
            </w:r>
          </w:p>
        </w:tc>
      </w:tr>
    </w:tbl>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三、技术参数要求</w:t>
      </w:r>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1.硬件参数要求</w:t>
      </w:r>
    </w:p>
    <w:tbl>
      <w:tblPr>
        <w:tblStyle w:val="48"/>
        <w:tblW w:w="4722" w:type="pct"/>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331"/>
        <w:gridCol w:w="7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414" w:type="pct"/>
            <w:shd w:val="clear" w:color="auto" w:fill="EAF1DD"/>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w:t>
            </w:r>
          </w:p>
        </w:tc>
        <w:tc>
          <w:tcPr>
            <w:tcW w:w="729" w:type="pct"/>
            <w:shd w:val="clear" w:color="auto" w:fill="EAF1DD"/>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配件名称</w:t>
            </w:r>
          </w:p>
        </w:tc>
        <w:tc>
          <w:tcPr>
            <w:tcW w:w="3855" w:type="pct"/>
            <w:shd w:val="clear" w:color="auto" w:fill="EAF1DD"/>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restar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硬件</w:t>
            </w: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▲处理器</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单颗Cpu主频≥2.2GHz，线程数≥10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▲内存</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内存配置容量≥96GB，支持内存槽位≥24个，速率最大支持2933MT/s，支持RDIMM或LRDIMM，最大容量3.0TB。可选NVDIMM*；可支持12根英特尔傲腾™数据中心级持久内存（DCPMM）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Merge w:val="restar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▲本地存储</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可支持SAS/SATA/NVMe U.2接口的硬盘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系统盘为SSD磁盘，数量≥3块，单块要求≥240Gb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数据盘数量≥</w:t>
            </w:r>
            <w:r>
              <w:rPr>
                <w:rFonts w:ascii="宋体" w:hAnsi="宋体" w:cs="宋体"/>
                <w:color w:val="000000" w:themeColor="text1"/>
                <w:szCs w:val="21"/>
                <w:highlight w:val="none"/>
                <w14:textFill>
                  <w14:solidFill>
                    <w14:schemeClr w14:val="tx1"/>
                  </w14:solidFill>
                </w14:textFill>
              </w:rPr>
              <w:t>25</w:t>
            </w:r>
            <w:r>
              <w:rPr>
                <w:rFonts w:hint="eastAsia" w:ascii="宋体" w:hAnsi="宋体" w:cs="宋体"/>
                <w:color w:val="000000" w:themeColor="text1"/>
                <w:szCs w:val="21"/>
                <w:highlight w:val="none"/>
                <w14:textFill>
                  <w14:solidFill>
                    <w14:schemeClr w14:val="tx1"/>
                  </w14:solidFill>
                </w14:textFill>
              </w:rPr>
              <w:t>块，单块要求≥16TB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▲RAID卡</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标配板载阵列控制器 支持SATA RAID 0/1/10/5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▲配置网口</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配置千兆电口≥2个，25G端口≥2（不含光模块）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▲电源</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配置两个冗余热插拔电源，并提供配套的电源连接线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风扇</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冗余风扇,支持单风扇失效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4" w:type="pct"/>
            <w:vMerge w:val="continue"/>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729" w:type="pct"/>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操作系统</w:t>
            </w:r>
          </w:p>
        </w:tc>
        <w:tc>
          <w:tcPr>
            <w:tcW w:w="3855" w:type="pct"/>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支持CentOS系列操作系统</w:t>
            </w:r>
          </w:p>
        </w:tc>
      </w:tr>
    </w:tbl>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2.文件管理软件参数要求</w:t>
      </w:r>
    </w:p>
    <w:tbl>
      <w:tblPr>
        <w:tblStyle w:val="48"/>
        <w:tblW w:w="9373"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8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w:t>
            </w:r>
          </w:p>
        </w:tc>
        <w:tc>
          <w:tcPr>
            <w:tcW w:w="8224"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产品资质</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▲所投产品系统具有国家保密评测中心产品出具的涉密信息系统产品检测证书。投标时提供加盖公章的《涉密信息系统产品检测证书》证书复印件，否则，作负偏离处理。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系统基础参数</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▲要求采用开放的云存储集群架构，支持Scale-Out方式扩展，采用分布式数据处理机制，实现数据的并行处理。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▲要求至少配置1个硬件节点，并且后续可以支持增加节点组成高可用集群系统，要求每个云存储节点状态无关，任何管理节点的损坏，都不影响系统的对外服务。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▲支持文件重复数据删除技术，相同的文件只上传一次，对于重复上传者而言实现文件的秒传。服务端只保留一份数据。需提供数据重删操作界面截图并加盖公章。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系统管理可以通过登录Web，统一管理集群系统、云共享服务（包括创建用户组织、自定义文档库、权限管理、登陆访问控制、文档访问控制等、访问日志）。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硬件平台</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★基于嵌入式LINUX系统的专用集群存储设备，内部烧录云共享平台服务端软件，自带硬盘存储空间。要求系统采用SSD硬盘存储，不占用RAID存储空间，实现系统与用户数据分离，提高安全性。</w:t>
            </w:r>
            <w:r>
              <w:rPr>
                <w:rFonts w:hint="eastAsia"/>
                <w:b/>
                <w:bCs/>
                <w:color w:val="000000" w:themeColor="text1"/>
                <w:highlight w:val="none"/>
                <w14:textFill>
                  <w14:solidFill>
                    <w14:schemeClr w14:val="tx1"/>
                  </w14:solidFill>
                </w14:textFill>
              </w:rPr>
              <w:t>（提供承诺函）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平台管理</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系统管理员可以通过登陆Web了解整个集群的运转绩效，要求包括活跃用户统计、在线人数监控、文件分类数量统计、文件操作变化统计，文件秒传数据统计、文件活跃状况可以提供实时、每日、每月及年度的报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分布式部署，每个站点可以支持集群，多个站点可以形成统一的大规模分布式集群部署架构。站点的数据本身保证高可用和安全性，全局重复数据删除。同时为了保证访问体验，支持方向代理加速，大大提升跨站点文档访问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▲分布式部署中，既可以支持多组织架构树，也可以统一组织架构树，支持多个单位统一身份认证或者灵活的不同单位不同认证体系。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▲支持异步复制容灾特性，可以将本地站点容灾到异地，当本地出现故障后，可以快速切换接管恢复业务。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支持个人文档库访问，以个人用户的用户名为文件库名称，为个人用户所有，属于个人私密性和专属性的文档库。支持开启或者关闭个人文档库。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文档分类</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▲支持群组文档库访问，用户可以基于群组文档库与组织内的人进行共享协作。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支持自定义文档库访问，由系统管理员创建或者普通管理员创建分类、创建文档库并指派所有者，文档库所有者可以为相应组织的成员配置访问权限，这样成员就可以看到相应的文档库资料；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支持共享文档，他人共享给我的文档，包括文件或者文件夹，共享的文件和文件夹都是带权限的，共享的文件可以被修改、编辑，而且会自动更新，不是简单的下载副本资料。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▲支持Windows客户端、Mac客户端、移动客户端（Android、IOS）、Web客户端、office插件（必须兼容MS Office 2006以上）、微信企业号访问。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客户端兼容性</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▲支持与Microsoft Office办公软件无缝结合，支持通过插件实线OFFICE办公软件直接操作和保存云端文件，实线企业内部办公业务闭环。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用户和电子文档支持密级管理，根据保密要求，分为机密、秘密和非密、普通4级，系统密级决定用户与文档密级范围，系统密级不能向下调整，低密级用户不能访问高密级文件，高密用户不能把高密文件授权给低密用户，密级文件访问均有日志记录。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▲除文件密级外，用户还需要录入：保密期限、知悉范围、定密依据、定密责任人以及定密单位。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▲文件上传自动识别文件密级。管理员可在控制台配置策略，通过文件名匹配关键字来自动设置对应的文件密级。提供软件操作界面截图并加盖公章。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▲用户上传文件时，要求必须给全部文件手动设置密级，不能遗漏，否则不能上传。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启用文件定密审核机制后，当用户更改文件密级时，需经过定密审核员审核，审核通过后更改才能生效。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软WORM归档固化特性，通过对象文件系统层，实现归档电子资料的安全存储，存储后的数据不可被修改，后端通过切片后使用AES256进行高度加密。归档资料需要通过MD5值校验。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安全文档管理特性</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▲支持文档共享审核，由指定的文档审核管理员进行审核。不同部门的文件由文档审核管理员进行审核。审核通过后才能进行共享，确保文档的安全可控。提供软件操作界面截图并加盖公章。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▲支持用户绑定设备访问策略，避免用户使用非法设备访问内部业务数据。提供软件操作界面截图并加盖公章。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支持存储加密，支持SM4国密算法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支持基于管理员自定义敏感词对上传的文件进行过滤，并自动隔离包含敏感词的文件，防止非法内容在企业中扩散造成不良影响。用户发现自己的文档被误隔离以后，可以在系统中针对文档发起申诉，经管理员审查同意后可以还原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非法内容管控</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用户共享范围的可配置性，【包括HTTP共享链接（外链的方式）】。避免内部非法共享扩散，比如可以设置研发员工的共享范围，可根据管理规则来规划各个部门的共享区域。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共享特性</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基于所有者对特定文件及文件夹授权共享给指定的人。对于被共享者，可以随时访问和获得最新的文档进行共享协作。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支持HTTP共享预览/下载水印功能，后台开关控制是否允许普通用户设置HTTP共享预览/下载水印，如果后台允许，则用户开启HTTP共享时可以使用功能，被分享着预览/下载文件时会附带水印。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自定义共享（以内链的方式）、HTTP共享（外链的方式）的策略。共享（以内链的方式）策略包括如共享者、可以配置的权限、默认访问权限、权限有效期等；HTTP共享（外链的方式）策略包括共享者、可配置的访问权限、默认访问权限、有效期、访问密码、打开次数等。一旦设定后，该共享者就只能按照该策略去进行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取消/修改文件/夹从上级目录继承的权限。如果子文件夹需要缩小共享范围，可以对子文件/目录取消继承，重新配置新的权限。比如上级文件夹面向整个部门配置了权限，但是子文件夹安全性要求很高，只有部分人可见，此时可以取消继承，重新给指定人配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支持通过HTTP共享分享文件/文件夹。可配置访问者的访问权限、访问有效期、访问次数、访问密码；当配置了“上传”权限后，第三方用户可以匿名上传文件到该目录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▲用户将文件或文件夹共享给他人后，可以对已共享的HTTP链接文件的访问情况进行统计，支持查看访问者的IP、预览次数、下载次数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支持HTTP共享邀请，点击或扫描文档所有者开启的邀请链接或二维码，访问者在进行身份认证后，可自动获取该文档的访问权限。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支持多终端对文件进行添加到常用，已收藏的文件可在【常用】目录下查找，且该文档可保持与原文件同步更新。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名快速定位，当用户不记得的文档的位置，但是知道模糊的名字，比如与某个项目名称相关的文档、某个活动的文档；无论文件是否已经缓存到本地，都可以检索到，当选择未缓存的打开时，会优先下载并打开；快速定位支持对文件夹的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文档管理</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支持文件/文件夹的自定义编目及搜索，根据用户自定义规则，描述文档对象外部特征以及内容特征的记录，而且提供API接口进行管理，采用JSON格式存储，以满足自定义，可扩展。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基于云存储的全文检索，当用户想找某个文档资料，希望找到某个关键词相近的文档，输入关键词，获取全文检索的结果，支持文件类型、位置范围过滤，搜索结果支持时间排序。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▲集群存储采用冗余存储技术，支持多副本，保证每个数据都会通过读写一致性冗余技术确保存放在不同的节点、不同的硬盘上面。支持3副本存储池；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支持同级审核、会签审核、逐级审核三种模式。普通用户针对文件或者目录发起流程审核，审核过程中，审核员收到相应的消息提醒，并且能够实时查看审核状态。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支持将文档库信息使用情况导出为Excel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支持以缩略图模式浏览媒资文件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▲音视频文件无需下载即可通过浏览器和移动客户端在线播放，并且支持视频播放的版权水印，保护视频内容版权，需提供软件操作界面截图并加盖公章。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▲支持把会议资料开启共享，提供二维码，与会者在微信上扫描二维码，可在线预览会议资料，形成无纸化会议。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支持文件修改的历史版本记录，记录文件的修改历史，用户可通过历史版本，随时打开找回所修改的文件内容。对一个文件的修改保存会生成多个历史版本，支持 查看历史版本列表、查看历史版本内容、恢复指定的历史版本，PC客户端支持最多保存800个历史版本。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删除后自动移动至回收站中存放，可还原文件，回收站按文档库分类呈现，且可以支持文件名、删除位置和删除者的搜索，以便更好的找回误删除文件。提供系统回收站功能，支持恢复用户回收站删除后的文件。系统回收站页面新增搜索入口，可基于系统回收站的名称进行搜索；子页面中可基于文档名称、删除者、原位置进行搜索。文件数据保留时间单位的细粒度新增，分别为日、月、周、年。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支持管理员新建、编辑、删除文件编目。文件所有者、创建者、修改者进行编辑/查看文件编目。并且，全文检索时，支持文件编目的组合搜索。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支持管理员设置自动归档策略，并且知此对不同的用户配置不同的归档策略，可以设置归档位置以及归档周期，启用该策略后，系统会按照策略定期将用户的个人文档自动归档到指定归档库。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支持管理员设置自动清理策略，并支持对不同用户配置不同的清理策略，启用该策略后，会按照策略定期将用户的个人文档清理至回收站。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▲支持管理员设置文件属性策略。普通用户可以根据策略设置文档的属性值，并且系统提供基于文件属性的全文检索服务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容分析选件提供自动文本分析服务和非法内容管控服务，选件激活后将自动开启文档自动标签功能；此外，选件将根据客户提供的敏感词库检测用户上传的文档是否包含违法违规内容，若包含将自动隔离该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▲支持对文件手工单个或批量设置标签，以及基于标签的全文检索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网络传输管理</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产品提供断点续传功能，对于大文件的上传、下载，可以随时中断，重新连接后可以从中断处继续传输之前的数据，避免重复上传下载，减少带宽，提升用户体验。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在开启秒传机制的前提下，管理员可在【文档同步策略】中控制是否开启跨站点秒传。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▲支持网速限制策略，管理员可以选择开启文件传输网速限制，设置特定用户或某部门的所有用户的文件传输速度上限，充分利用宽带资源。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支持管理员新建或编辑用户信息时，可添加对用户的备注。管理员能够在控制台通过备注定位到用户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用户和部门管理</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支持三员管理结构，系统管理员负责系统运维、安全保密员负责组织文档管理授权与普通用户文档操作日志审计、安全审计员负责系统、权限与管理员操作日志审计，管理架构可在系统初始化时配置。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系统支持Windows域用户导入管理。系统管理员可导入域用户及域组织结构，并可将域用户与本地用户进行统一管理，执行编辑、修改、删除等操作，且并不影响Windows域中的用户数据。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支持添加主域控制器和备用域控制器，保证用户认证的高可用性。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支持通过Excel模板批量导入用户。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新建用户时支持设置账号有效期，账号到期后被禁用无法登录。同时支持管理员启用被禁用的用户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管理员可设置系统自动禁用长期未登录的用户，防止长期不使用的账号外泄。若需再次启用用户，可手动开启。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支持离职员工文档一键快速交接。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支持管理员批量冻结/解冻用户，被冻结的用户只可预览和下载文档，不可上传、编辑、修改、共享。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支持限制指定用户、部门每日最大下载次数，防止重要数据被过量下载造成外泄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支持管理员新建/编辑用户时，添加用户备注信息，便于查找和归类。支持用户使用身份证号登录 ,前提是用户信息中需要包含身份证号，且管理员进行域控制器的同步关键字设置。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▲支持使指定部门的用户无法通过组织架构找到企业成员信息，保护企业成员信息安全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支持管理员设置指定用户的个人文档自动归档，且可设置归档周期及归档位置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支持动态调整个人、部门、其他共享目录的最大逻辑存储空间上限，间接提升用户个人文件夹、部门文件夹或文档库中的内容质量，从而提升存储空间的利用效率。支持批量用户配额；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权限管理与访问控制</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▲支持移动设备远程数据擦除功能和设备禁用功能；当移动设备丢失时，移动端数据会被擦除并强制退出；也可对设备强制禁用。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要求能够支持同时基于文件及文件夹的多级细粒度权限配置，控制用户对文件及文件夹的显示、预览、下载、上传、修改、删除等权限，同时支持对文件的二级所有权限控制，实现所有权限的下放。支持取消/修改用户从上级目录继承的权限。支持权限有效期，过期后自动回收权限，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▲支持指定人员绑定机器的MAC地址、IP地址段，避免敏感用户的数据，通过外部访问操作，对于这些人员，只能在特定区域或者机器，或者接入VPN或者虚拟桌面后，模拟内部环境来操作文档数据。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▲支持限制指定文档库在指定IP地址段内访问，避免重要数据被有文件权限的用户在外部访问，对于这些人员，只能在特定区域或者机器，或者接入VPN或者虚拟桌面后，模拟内部环境来操作文档数据。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支持管理员可通过口令策略控制普通用户在执行注销/退出操作是否需要输入口令，以及修改口令。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▲支持禁止同一账号多地同时登录，支持对登录客户端的类型进行限制，如禁止Web客户端、移动Web客户端、Mac客户端、Windows客户端、iOS客户端、Android客户端登录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Web客户端参数</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支持通过文档目录结构导航树，快速定位文件。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支持常见office文档的多人同时Web在线编辑，支持编辑自动保存，同时能够实时刷新他人编辑的内容，且可以看到当前有哪些人正在对该文档进行编辑</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支持在Office Online界面对文件加锁，多人协作时，整个预览-加锁-编辑流程在一个页面中流畅进行。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支持列表和缩略图两种模式查看文档。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Windows客户端复制、移动、重命名的文件/夹，可以直接在云端映射操作，无须重新下载上传，不会作为新的文件存在，要求本地操作能应用到云端的原文件，无需落地直接在云端变动。Windows客户端提供两种删除模式：Windows本地自带的删除操作是删除本地的缓存，侧边栏和右键菜单的云端删除为删除云端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虚拟盘模式，完全Windows使用体验，不改变原有用户使用文件资料的习惯，直接在Windows文件夹下面看到云端文件/夹，直接操作云端文件/夹，无需通过单独客户端界面操作；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Windows客户端参数</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对指定文档库设置自动同步，且能够对指定目录进行文件同步大小限制，超过设置大小的文件不允许自动同步；可指定不允许自动同步的文件类型，例如视频、图片、PPT等。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基于最小化原则，Windows客户端默认文件不在本地自动缓存，而是当用户需要在Windows资源管理器打开文件时触发自动下载，已经下载的文件变化或者新增文件，自动上传同步。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地同步控制策略：支持管理员管控PC客户端的本地同步配置功能，可以针对不同的用户配置不同的本地同步策略，包括是否开启本地同步配置功能、是否允许用户删除配置的同步任务等。同时，管理员可以对本地同步控制策略进行编辑或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支持终端控制的本地缓存控制策略，由管理员设置定期、定量清理缓存策略，支持注销或退出客户端强制清除本地缓存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PC客户端的手动锁定协作机制，有修改权限用户打开文档时可手动锁定/解锁编辑。对于已经锁定的文件，所有者可进行【抢锁】操作，抢锁后，锁定者独占编辑，其他用户只可读。用户可以对自己锁定的文件进行管理。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MAC客户端参数</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▲MAC客户端复制、移动、重命名的文件/夹，可以直接在云端映射操作，无须重新下载上传，不会作为新的文件存在，要求本地操作能应用到云端的原文件，无需落地直接在云端变动。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MAC客户端支持虚拟盘模式，完全Finder使用体验，不改变原有用户使用文件资料的习惯，直接在Finder文件夹下面看到云端文件/夹，直接操作云端文件/夹，无需通过单独客户端界面操作；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基于最小化原则，MAC客户端默认文件不在本地自动缓存，而是当用户需要Finder打开文件时触发自动下载，已经下载的文件变化或者新增文件，自动上传同步。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MAC客户端的手动锁定协作机制，有修改权限用户打开文档时可手动锁定/解锁编辑。对于已经锁定的文件，所有者可进行【抢锁】操作，抢锁后，锁定者独占编辑，其他用户只可读。用户可以对自己锁定的文件进行管理。需提供软件操作界面截图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文档协作</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支持共享消息通过第三方企业微信等即时通讯软件集成，推送消息的文档共享链接打开仅限即时通讯的指定用户，转发无效。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支持通知第三方审核，管理员可在控制台启用Webhook通知第三方审核，配置对应URL路径后，文档流转审核、HTTP共享审核、文档共享审核都将通知至第三方。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支持多终端消息通知（Windows、Web、移动端）和邮件提醒，当有文件共享、审核时，相关人员可以通过消息通知或邮件即时的看到共享信息或审核相关内容。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安全特性</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防泄密策略支持水印策略。水印类型包含Word 、Excel、PPT、PDF、Txt、图片；支持用户名水印、自定义水印和时间水印；用户可以自定义水印样式以及水印文档范围，在范围内的文件预览或下载时会携带水印。文件所有者/修改者能够下载到原文件，文件非修改者可以下载到pdf格式的水印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支持文档预览水印，包括自定义水印、用户名水印和时间水印，支持自定义水印版式、字号、颜色等。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支持基于NAS网关的挂载防病毒方案，可实现全自动病毒查杀。当用户上传的文档因被防病毒软件查杀而隔离时，系统会发送安全消息通知该用户。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支持文件类型过滤，预置已知可疑文件、病毒文件类型，选择性禁止风险文件的上传，也可根据需要自行添加需要屏蔽的文件后缀名。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支持双因子认证登录方式，包括短信验证码认证、图形验证、动态密码验证三种方式，防止撞库攻击与密码暴力破解。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支持自主修改密码。管理员可以在后台设置忘记密码重置方式为短信验证或邮箱验证，普通用户在忘记密码时，可以通过验证方式自主修改密码。（各终端均支持）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▲当有用户通过HTTP共享（外链的方式）方式将文件链接外发给外部人员时，支持对外文件内容进行留底，可对外部人员查看或下载的文件内容进行审查和取证，支持一键清除超出范围的历史HTTP共享。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支持服务器端实时杀毒，启用该服务后，用户上传病毒文件将被自动隔离查杀，管理员可以在隔离区彻底删除或恢复文件。并且必须支持主动的全盘扫描或对指定文件夹扫描。</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联网情况下杀毒能够每天（支持配置）自动更新病毒库，且杀毒服务支持使用SSL实现多站点间数据库连接。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日志</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▲支持丰富的审计日志功能，包括系统管理、人员组织授权、文件操作、权限配置、上传下载、文件访问均有日志记录审计，日志可加密导出，长期归档，不可被篡改、删除。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支持设置日志转存周期，超过设定的周期后，日志将会自动转存为历史日志，且不会被删除。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支持基于日志的文件分析和用户行为分析，包括文件的概况、活跃状态以及用户的操作行为，在线人数等。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内外网交换</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普通用户将内网数据外发至外网，但是文件外发之前需要经过文档审核管理员进行审核；支持普通用户将外网转发至内网，文件转发至内网之前需要经过文档审核管理员进行审核；在开启跨网络数据交换的前提下，管理员可以在控制台启用文档库内外网同步，并且可以灵活配置同步范围，即选择部分文档库进行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支持放入特定文件夹的文档自动触发内外网审核和交换流程；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支持文件外发过程中按照关键字、文件名称、文件后缀进行过滤；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定制与开放扩展</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▲提供Web Service开放服务供第三方进行整合，开放的接口包括：文件操作API、目录操作API、回收站操作API、全文检索API、组织与授权API等。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提供Web组件，用于第三方系统进行快速整合，相比API接口更加高效。提供包括文件上传、下载、预览、视频播放、图片浏览、单点登录、HTTP共享、自定义文件属性、文件选择、消息通知、共享（以内链的方式）、共享邀请、文件评论、属性、标签、消息中心等的WEB开放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个性化配置，可以对Web客户端、Windows客户端、Mac客户端、iOS客户端、Android客户端进行个性化配置，包括产品名称、界面主题颜色、产品logo、登录背景图、应用程序图标、默认服务器地址、缓存路径等。还支持自主配置Web客户端、Windows客户端的备案号，配置完成后，登录页面的备案号为超链接形式，可以链接至工信部的查询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提供分布式对象文件系统，支持全局统一命名空间，存储空间可动态扩展。支持标准CIFS存储协议，S3和Swift等对象存储接口协议，所有的文件数据通过标准存储协议、开放API的文件，均可通过WEB、移动端进行统一访问、管理和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▲支持NAS网关模式将文档库挂载给应用系统实现无缝对接访问，通过CIFS共享存储到文档库的文档，可以直接在Web、Windows/MAC、移动客户端访问。反之通过客户端上传和更新的文件，也可以随时通过NAS共享访问。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运营推广服务</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▲提供专业咨询、方案设计（定制场景设计、文档组织设计、营销推广设计）、服务内容交付、运营报告、文档分析（文档安全分析、行为分析）等，助力文档管理，帮助客户持续做好非结构化数据的管理工作。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文档权限控制</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提供基于自主设置策略的文档访问权限控制，具体包含 9 种细粒度访问权限：显示、预览、下载、复制、新建、修改、删除、所有者、拒绝访问。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文档标签策略</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支持用户为有修改权限的文件手动添加标签，用户也可编辑该文件已有的标签，并可以标签为搜索条件，快速定位搜索具有此类标签的所有文件。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restart"/>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身份认证配置</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支持对域控制器执行 添加、修改、删除、禁用 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支持对指定的域用户组织执行一次手动同步。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149" w:type="dxa"/>
            <w:vMerge w:val="continue"/>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支持 开启/关闭 第三方认证，开启后，可设置认证服务器的参数。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49" w:type="dxa"/>
            <w:shd w:val="clear" w:color="auto" w:fill="auto"/>
            <w:vAlign w:val="center"/>
          </w:tcPr>
          <w:p>
            <w:pPr>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★授权与服务</w:t>
            </w:r>
          </w:p>
        </w:tc>
        <w:tc>
          <w:tcPr>
            <w:tcW w:w="8224" w:type="dxa"/>
            <w:shd w:val="clear" w:color="auto" w:fill="auto"/>
            <w:vAlign w:val="center"/>
          </w:tcPr>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本次要求提供900用户授权。</w:t>
            </w:r>
            <w:r>
              <w:rPr>
                <w:rFonts w:hint="eastAsia" w:ascii="宋体" w:hAnsi="宋体" w:cs="宋体"/>
                <w:b/>
                <w:bCs/>
                <w:color w:val="000000" w:themeColor="text1"/>
                <w:szCs w:val="21"/>
                <w:highlight w:val="none"/>
                <w14:textFill>
                  <w14:solidFill>
                    <w14:schemeClr w14:val="tx1"/>
                  </w14:solidFill>
                </w14:textFill>
              </w:rPr>
              <w:t>（提供承诺函）</w:t>
            </w:r>
          </w:p>
        </w:tc>
      </w:tr>
    </w:tbl>
    <w:p>
      <w:pPr>
        <w:spacing w:line="360" w:lineRule="auto"/>
        <w:rPr>
          <w:rFonts w:ascii="宋体" w:hAnsi="宋体" w:cs="宋体"/>
          <w:color w:val="000000" w:themeColor="text1"/>
          <w:szCs w:val="21"/>
          <w:highlight w:val="none"/>
          <w14:textFill>
            <w14:solidFill>
              <w14:schemeClr w14:val="tx1"/>
            </w14:solidFill>
          </w14:textFill>
        </w:rPr>
      </w:pPr>
    </w:p>
    <w:p>
      <w:pPr>
        <w:tabs>
          <w:tab w:val="left" w:pos="4410"/>
        </w:tabs>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配置满足用户需求所需的所有license和配件（如设备安装所需导轨、机柜层板等）；硬件产品要求能装入内空为标准19英寸的机柜；使上述产品的功能完整可用。施工布线要求：双绞网线使用康普线缆，必要时使用网线夹/光纤夹对线路进行整理分类，设备上架需充分考虑设备用电量以及空间规划，出具机柜摆放图纸及用电需求说明。供应商需根据设备实施情况，配套购买足够数量的光纤、网线等线缆及标签打印机、色带、扎带等相关耗材。实际数量由供应商中标后到网络中心机房现场统计，并与网络中心机房配合人员确认为准。本次项目配套使用的线缆要求为不低于6类网线原装跳线及OM3多模光纤原装跳线。标签要求：每条网线或光纤的两端均需打标签，清晰描述两端连接情况。</w:t>
      </w:r>
    </w:p>
    <w:p>
      <w:pPr>
        <w:widowControl/>
        <w:tabs>
          <w:tab w:val="left" w:pos="735"/>
        </w:tabs>
        <w:adjustRightInd w:val="0"/>
        <w:snapToGrid w:val="0"/>
        <w:spacing w:line="360" w:lineRule="auto"/>
        <w:rPr>
          <w:rFonts w:ascii="宋体" w:hAnsi="宋体"/>
          <w:b/>
          <w:bCs/>
          <w:color w:val="000000" w:themeColor="text1"/>
          <w:spacing w:val="120"/>
          <w:sz w:val="24"/>
          <w:highlight w:val="none"/>
          <w14:textFill>
            <w14:solidFill>
              <w14:schemeClr w14:val="tx1"/>
            </w14:solidFill>
          </w14:textFill>
        </w:rPr>
      </w:pPr>
    </w:p>
    <w:p>
      <w:pPr>
        <w:pStyle w:val="2"/>
        <w:rPr>
          <w:rFonts w:hAnsi="宋体"/>
          <w:b/>
          <w:bCs/>
          <w:color w:val="000000" w:themeColor="text1"/>
          <w:spacing w:val="120"/>
          <w:sz w:val="24"/>
          <w:highlight w:val="none"/>
          <w14:textFill>
            <w14:solidFill>
              <w14:schemeClr w14:val="tx1"/>
            </w14:solidFill>
          </w14:textFill>
        </w:rPr>
      </w:pPr>
    </w:p>
    <w:p>
      <w:pPr>
        <w:pStyle w:val="2"/>
        <w:rPr>
          <w:rFonts w:hAnsi="宋体"/>
          <w:b/>
          <w:bCs/>
          <w:color w:val="000000" w:themeColor="text1"/>
          <w:spacing w:val="120"/>
          <w:sz w:val="24"/>
          <w:highlight w:val="none"/>
          <w14:textFill>
            <w14:solidFill>
              <w14:schemeClr w14:val="tx1"/>
            </w14:solidFill>
          </w14:textFill>
        </w:rPr>
      </w:pPr>
    </w:p>
    <w:p>
      <w:pPr>
        <w:pStyle w:val="2"/>
        <w:rPr>
          <w:rFonts w:hAnsi="宋体"/>
          <w:b/>
          <w:bCs/>
          <w:color w:val="000000" w:themeColor="text1"/>
          <w:spacing w:val="120"/>
          <w:sz w:val="24"/>
          <w:highlight w:val="none"/>
          <w14:textFill>
            <w14:solidFill>
              <w14:schemeClr w14:val="tx1"/>
            </w14:solidFill>
          </w14:textFill>
        </w:rPr>
      </w:pPr>
    </w:p>
    <w:p>
      <w:pPr>
        <w:pStyle w:val="2"/>
        <w:rPr>
          <w:rFonts w:hAnsi="宋体"/>
          <w:b/>
          <w:bCs/>
          <w:color w:val="000000" w:themeColor="text1"/>
          <w:spacing w:val="120"/>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numPr>
          <w:ilvl w:val="0"/>
          <w:numId w:val="0"/>
        </w:numPr>
        <w:spacing w:beforeLines="0" w:line="240" w:lineRule="auto"/>
        <w:rPr>
          <w:color w:val="000000" w:themeColor="text1"/>
          <w:highlight w:val="none"/>
          <w14:textFill>
            <w14:solidFill>
              <w14:schemeClr w14:val="tx1"/>
            </w14:solidFill>
          </w14:textFill>
        </w:rPr>
      </w:pPr>
      <w:bookmarkStart w:id="114" w:name="_Toc5169"/>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color w:val="000000" w:themeColor="text1"/>
          <w:szCs w:val="21"/>
          <w:highlight w:val="none"/>
          <w14:textFill>
            <w14:solidFill>
              <w14:schemeClr w14:val="tx1"/>
            </w14:solidFill>
          </w14:textFill>
        </w:rPr>
      </w:pPr>
      <w:bookmarkStart w:id="115" w:name="_Toc434832495"/>
      <w:bookmarkStart w:id="116" w:name="_Toc456272919"/>
      <w:bookmarkStart w:id="117" w:name="_Toc23213"/>
      <w:bookmarkStart w:id="118" w:name="_Toc456648358"/>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8"/>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904"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评标委员会根据政府采购相关法律法规组成，评审专家根据相关法律法规及法律程序，依据本次采购活动的特点和需要在政府指定的专家库中随机抽取产生,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投标资料数量和封装要求</w:t>
            </w:r>
          </w:p>
        </w:tc>
        <w:tc>
          <w:tcPr>
            <w:tcW w:w="1587" w:type="dxa"/>
            <w:vMerge w:val="restart"/>
            <w:tcBorders>
              <w:top w:val="single" w:color="auto" w:sz="4" w:space="0"/>
              <w:left w:val="single" w:color="auto" w:sz="4" w:space="0"/>
              <w:right w:val="single" w:color="auto" w:sz="4" w:space="0"/>
            </w:tcBorders>
            <w:vAlign w:val="center"/>
          </w:tcPr>
          <w:p>
            <w:pPr>
              <w:tabs>
                <w:tab w:val="left" w:pos="528"/>
                <w:tab w:val="left" w:pos="783"/>
              </w:tabs>
              <w:spacing w:line="400" w:lineRule="exact"/>
              <w:rPr>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共提供4份投标资料，分别封装：</w:t>
            </w:r>
            <w:r>
              <w:rPr>
                <w:rFonts w:hint="eastAsia" w:ascii="宋体" w:hAnsi="宋体"/>
                <w:b/>
                <w:bCs/>
                <w:color w:val="000000" w:themeColor="text1"/>
                <w:szCs w:val="21"/>
                <w:highlight w:val="none"/>
                <w14:textFill>
                  <w14:solidFill>
                    <w14:schemeClr w14:val="tx1"/>
                  </w14:solidFill>
                </w14:textFill>
              </w:rPr>
              <w:br w:type="textWrapping"/>
            </w:r>
          </w:p>
          <w:p>
            <w:pPr>
              <w:tabs>
                <w:tab w:val="left" w:pos="528"/>
                <w:tab w:val="left" w:pos="783"/>
              </w:tabs>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1、资格审查文件。</w:t>
            </w:r>
            <w:r>
              <w:rPr>
                <w:rFonts w:hint="eastAsia"/>
                <w:color w:val="000000" w:themeColor="text1"/>
                <w:highlight w:val="none"/>
                <w14:textFill>
                  <w14:solidFill>
                    <w14:schemeClr w14:val="tx1"/>
                  </w14:solidFill>
                </w14:textFill>
              </w:rPr>
              <w:t>（内含</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正</w:t>
            </w:r>
            <w:r>
              <w:rPr>
                <w:rFonts w:hint="eastAsia"/>
                <w:color w:val="000000" w:themeColor="text1"/>
                <w:highlight w:val="none"/>
                <w:u w:val="single"/>
                <w14:textFill>
                  <w14:solidFill>
                    <w14:schemeClr w14:val="tx1"/>
                  </w14:solidFill>
                </w14:textFill>
              </w:rPr>
              <w:t xml:space="preserve"> 4 </w:t>
            </w:r>
            <w:r>
              <w:rPr>
                <w:rFonts w:hint="eastAsia"/>
                <w:color w:val="000000" w:themeColor="text1"/>
                <w:highlight w:val="none"/>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2、商务及技术文件。</w:t>
            </w:r>
            <w:r>
              <w:rPr>
                <w:rFonts w:hint="eastAsia"/>
                <w:color w:val="000000" w:themeColor="text1"/>
                <w:highlight w:val="none"/>
                <w14:textFill>
                  <w14:solidFill>
                    <w14:schemeClr w14:val="tx1"/>
                  </w14:solidFill>
                </w14:textFill>
              </w:rPr>
              <w:t>（内含</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正</w:t>
            </w:r>
            <w:r>
              <w:rPr>
                <w:rFonts w:hint="eastAsia"/>
                <w:color w:val="000000" w:themeColor="text1"/>
                <w:highlight w:val="none"/>
                <w:u w:val="single"/>
                <w14:textFill>
                  <w14:solidFill>
                    <w14:schemeClr w14:val="tx1"/>
                  </w14:solidFill>
                </w14:textFill>
              </w:rPr>
              <w:t xml:space="preserve"> 4 </w:t>
            </w:r>
            <w:r>
              <w:rPr>
                <w:rFonts w:hint="eastAsia"/>
                <w:color w:val="000000" w:themeColor="text1"/>
                <w:highlight w:val="none"/>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numPr>
                <w:ilvl w:val="0"/>
                <w:numId w:val="24"/>
              </w:numPr>
              <w:tabs>
                <w:tab w:val="left" w:pos="528"/>
                <w:tab w:val="left" w:pos="783"/>
              </w:tabs>
              <w:spacing w:line="400" w:lineRule="exact"/>
              <w:jc w:val="left"/>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color w:val="000000" w:themeColor="text1"/>
                <w:highlight w:val="none"/>
                <w14:textFill>
                  <w14:solidFill>
                    <w14:schemeClr w14:val="tx1"/>
                  </w14:solidFill>
                </w14:textFill>
              </w:rPr>
              <w:t>（内含“开标一览表”、“投标保证金”、“分项报价表”、“保证金退付书”、“法定代表人（负责人）证明书”和“法定代表人（负责人）授权书”。）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4、</w:t>
            </w:r>
            <w:r>
              <w:rPr>
                <w:rFonts w:hint="eastAsia"/>
                <w:b/>
                <w:bCs/>
                <w:color w:val="000000" w:themeColor="text1"/>
                <w:highlight w:val="none"/>
                <w14:textFill>
                  <w14:solidFill>
                    <w14:schemeClr w14:val="tx1"/>
                  </w14:solidFill>
                </w14:textFill>
              </w:rPr>
              <w:t>投标文件电子版。</w:t>
            </w:r>
            <w:r>
              <w:rPr>
                <w:rFonts w:hint="eastAsia"/>
                <w:color w:val="000000" w:themeColor="text1"/>
                <w:highlight w:val="none"/>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在封面上注明“公司名称-</w:t>
            </w:r>
            <w:r>
              <w:rPr>
                <w:rFonts w:hint="eastAsia"/>
                <w:color w:val="000000" w:themeColor="text1"/>
                <w:highlight w:val="none"/>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highlight w:val="none"/>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000000" w:themeColor="text1"/>
                <w:szCs w:val="21"/>
                <w:highlight w:val="none"/>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每一密封封装上均注明“于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000000" w:themeColor="text1"/>
                <w:szCs w:val="21"/>
                <w:highlight w:val="none"/>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招标代理机构有权予以拒收，并退回给投标人。电报、电话、传真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6904" w:type="dxa"/>
            <w:gridSpan w:val="3"/>
            <w:tcBorders>
              <w:top w:val="single" w:color="auto" w:sz="4" w:space="0"/>
              <w:left w:val="single" w:color="auto" w:sz="4" w:space="0"/>
              <w:bottom w:val="single" w:color="auto" w:sz="4" w:space="0"/>
              <w:right w:val="single" w:color="auto" w:sz="4" w:space="0"/>
            </w:tcBorders>
            <w:vAlign w:val="center"/>
          </w:tcPr>
          <w:p>
            <w:pPr>
              <w:pStyle w:val="2"/>
              <w:tabs>
                <w:tab w:val="left" w:pos="26"/>
              </w:tabs>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1.招标文件中打“★”号条款必须实质性响应，负偏离（不满足要求）将导致投标无效。</w:t>
            </w:r>
          </w:p>
          <w:p>
            <w:pPr>
              <w:pStyle w:val="2"/>
              <w:tabs>
                <w:tab w:val="left" w:pos="26"/>
              </w:tabs>
              <w:spacing w:line="400" w:lineRule="exact"/>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2.招标文件中带“▲”为实质性参数要求响应,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4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广东业信采购招标有限公司网</w:t>
            </w:r>
          </w:p>
        </w:tc>
        <w:tc>
          <w:tcPr>
            <w:tcW w:w="34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p>
        </w:tc>
        <w:tc>
          <w:tcPr>
            <w:tcW w:w="34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2"/>
        <w:ind w:firstLine="0"/>
        <w:rPr>
          <w:color w:val="000000" w:themeColor="text1"/>
          <w:szCs w:val="21"/>
          <w:highlight w:val="none"/>
          <w14:textFill>
            <w14:solidFill>
              <w14:schemeClr w14:val="tx1"/>
            </w14:solidFill>
          </w14:textFill>
        </w:rPr>
      </w:pPr>
    </w:p>
    <w:p>
      <w:pPr>
        <w:pStyle w:val="2"/>
        <w:ind w:firstLine="0"/>
        <w:rPr>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19" w:name="_Hlt21938665"/>
      <w:bookmarkEnd w:id="119"/>
      <w:bookmarkStart w:id="120" w:name="_Hlt21938668"/>
      <w:bookmarkEnd w:id="120"/>
      <w:bookmarkStart w:id="121" w:name="_Toc340677038"/>
      <w:bookmarkStart w:id="122" w:name="_Toc349143557"/>
      <w:bookmarkStart w:id="123" w:name="_Toc342060342"/>
      <w:bookmarkStart w:id="124" w:name="_Toc336681903"/>
      <w:bookmarkStart w:id="125" w:name="_Toc497224194"/>
      <w:bookmarkStart w:id="126" w:name="_Toc336681548"/>
      <w:bookmarkStart w:id="127" w:name="_Toc339441055"/>
      <w:bookmarkStart w:id="128" w:name="_Toc345513835"/>
      <w:bookmarkStart w:id="129" w:name="_Toc350438717"/>
      <w:bookmarkStart w:id="130" w:name="_Toc332206676"/>
      <w:bookmarkStart w:id="131" w:name="_Toc349127594"/>
      <w:bookmarkStart w:id="132" w:name="_Toc333238601"/>
      <w:bookmarkStart w:id="133" w:name="_Toc14628"/>
      <w:bookmarkStart w:id="134" w:name="_Toc339020063"/>
      <w:bookmarkStart w:id="135" w:name="_Toc333237645"/>
      <w:bookmarkStart w:id="136" w:name="_Toc339020201"/>
      <w:bookmarkStart w:id="137" w:name="_Toc332270314"/>
      <w:bookmarkStart w:id="138" w:name="_Toc333935655"/>
      <w:bookmarkStart w:id="139" w:name="_Toc337632326"/>
      <w:bookmarkStart w:id="140" w:name="_Toc339019983"/>
      <w:bookmarkStart w:id="141" w:name="_Toc365985147"/>
      <w:bookmarkStart w:id="142" w:name="_Toc341348306"/>
      <w:bookmarkStart w:id="143" w:name="_Toc333237756"/>
      <w:bookmarkStart w:id="144" w:name="_Toc350756418"/>
      <w:bookmarkStart w:id="145" w:name="_Toc366072496"/>
      <w:bookmarkStart w:id="146" w:name="_Toc342296728"/>
      <w:bookmarkStart w:id="147" w:name="_Toc340672837"/>
      <w:bookmarkStart w:id="148" w:name="_Toc331512866"/>
      <w:bookmarkStart w:id="149" w:name="_Toc365967041"/>
      <w:bookmarkStart w:id="150" w:name="_Toc340507410"/>
      <w:bookmarkStart w:id="151" w:name="_Toc331684006"/>
      <w:bookmarkStart w:id="152" w:name="_Toc339362268"/>
      <w:bookmarkStart w:id="153" w:name="_Toc503785396"/>
      <w:bookmarkStart w:id="154" w:name="_Toc339019857"/>
      <w:bookmarkStart w:id="155" w:name="_Toc330459953"/>
      <w:bookmarkStart w:id="156" w:name="_Toc333935314"/>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503785397"/>
      <w:bookmarkStart w:id="158" w:name="_Toc497224195"/>
      <w:bookmarkStart w:id="159" w:name="_Toc366072497"/>
      <w:bookmarkStart w:id="160" w:name="_Toc330459954"/>
      <w:bookmarkStart w:id="161" w:name="_Toc332206677"/>
      <w:bookmarkStart w:id="162" w:name="_Toc341348307"/>
      <w:bookmarkStart w:id="163" w:name="_Toc339441056"/>
      <w:bookmarkStart w:id="164" w:name="_Toc340672838"/>
      <w:bookmarkStart w:id="165" w:name="_Toc349127595"/>
      <w:bookmarkStart w:id="166" w:name="_Toc350438718"/>
      <w:bookmarkStart w:id="167" w:name="_Toc333237646"/>
      <w:bookmarkStart w:id="168" w:name="_Toc336681904"/>
      <w:bookmarkStart w:id="169" w:name="_Toc339020064"/>
      <w:bookmarkStart w:id="170" w:name="_Toc340507411"/>
      <w:bookmarkStart w:id="171" w:name="_Toc339362269"/>
      <w:bookmarkStart w:id="172" w:name="_Toc331684007"/>
      <w:bookmarkStart w:id="173" w:name="_Toc339020202"/>
      <w:bookmarkStart w:id="174" w:name="_Toc342296729"/>
      <w:bookmarkStart w:id="175" w:name="_Toc365967042"/>
      <w:bookmarkStart w:id="176" w:name="_Toc350756419"/>
      <w:bookmarkStart w:id="177" w:name="_Toc339019858"/>
      <w:bookmarkStart w:id="178" w:name="_Toc365985148"/>
      <w:bookmarkStart w:id="179" w:name="_Toc345513836"/>
      <w:bookmarkStart w:id="180" w:name="_Toc332270315"/>
      <w:bookmarkStart w:id="181" w:name="_Toc333935315"/>
      <w:bookmarkStart w:id="182" w:name="_Toc333238602"/>
      <w:bookmarkStart w:id="183" w:name="_Toc339019984"/>
      <w:bookmarkStart w:id="184" w:name="_Toc349143558"/>
      <w:bookmarkStart w:id="185" w:name="_Toc12973"/>
      <w:bookmarkStart w:id="186" w:name="_Toc333935656"/>
      <w:bookmarkStart w:id="187" w:name="_Toc342060343"/>
      <w:bookmarkStart w:id="188" w:name="_Toc333237757"/>
      <w:bookmarkStart w:id="189" w:name="_Toc331512867"/>
      <w:bookmarkStart w:id="190" w:name="_Toc340677039"/>
      <w:bookmarkStart w:id="191" w:name="_Toc336681549"/>
      <w:bookmarkStart w:id="192" w:name="_Toc337632327"/>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39441057"/>
      <w:bookmarkStart w:id="194" w:name="_Toc336681905"/>
      <w:bookmarkStart w:id="195" w:name="_Toc333935316"/>
      <w:bookmarkStart w:id="196" w:name="_Toc497224196"/>
      <w:bookmarkStart w:id="197" w:name="_Toc342060344"/>
      <w:bookmarkStart w:id="198" w:name="_Toc503785398"/>
      <w:bookmarkStart w:id="199" w:name="_Toc350438719"/>
      <w:bookmarkStart w:id="200" w:name="_Toc337632328"/>
      <w:bookmarkStart w:id="201" w:name="_Toc342296730"/>
      <w:bookmarkStart w:id="202" w:name="_Toc341348308"/>
      <w:bookmarkStart w:id="203" w:name="_Toc331684008"/>
      <w:bookmarkStart w:id="204" w:name="_Toc339020203"/>
      <w:bookmarkStart w:id="205" w:name="_Toc333237647"/>
      <w:bookmarkStart w:id="206" w:name="_Toc340507412"/>
      <w:bookmarkStart w:id="207" w:name="_Toc349127596"/>
      <w:bookmarkStart w:id="208" w:name="_Toc339019985"/>
      <w:bookmarkStart w:id="209" w:name="_Toc333238603"/>
      <w:bookmarkStart w:id="210" w:name="_Toc336681550"/>
      <w:bookmarkStart w:id="211" w:name="_Toc331512868"/>
      <w:bookmarkStart w:id="212" w:name="_Toc340677040"/>
      <w:bookmarkStart w:id="213" w:name="_Toc333237758"/>
      <w:bookmarkStart w:id="214" w:name="_Toc365985149"/>
      <w:bookmarkStart w:id="215" w:name="_Toc330459955"/>
      <w:bookmarkStart w:id="216" w:name="_Toc332206678"/>
      <w:bookmarkStart w:id="217" w:name="_Toc349143559"/>
      <w:bookmarkStart w:id="218" w:name="_Toc365967043"/>
      <w:bookmarkStart w:id="219" w:name="_Toc374454571"/>
      <w:bookmarkStart w:id="220" w:name="_Toc340672839"/>
      <w:bookmarkStart w:id="221" w:name="_Toc339020065"/>
      <w:bookmarkStart w:id="222" w:name="_Toc339019859"/>
      <w:bookmarkStart w:id="223" w:name="_Toc350756420"/>
      <w:bookmarkStart w:id="224" w:name="_Toc333935657"/>
      <w:bookmarkStart w:id="225" w:name="_Toc332270316"/>
      <w:bookmarkStart w:id="226" w:name="_Toc366072498"/>
      <w:bookmarkStart w:id="227" w:name="_Toc345513837"/>
      <w:bookmarkStart w:id="228" w:name="_Toc339362270"/>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本项目的招标人已分别获得一笔资金用于支付本次招标项下的所有合同款项。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本招标文件由招标代理机构负责解释。</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18230"/>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“招标代理机构”系指组织本次招标的广东业信采购招标有限公司。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“招标人”系指阳江农村商业银行股份有限公司，即项目采购用户方。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系指投标人根据招标文件规定，须向招标人提供的设备、材料、备品备件、工具、使用手册、软件及有关技术资料等。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503785399"/>
      <w:bookmarkStart w:id="231" w:name="_Toc497224197"/>
      <w:bookmarkStart w:id="232" w:name="_Toc333237759"/>
      <w:bookmarkStart w:id="233" w:name="_Toc339019860"/>
      <w:bookmarkStart w:id="234" w:name="_Toc333238604"/>
      <w:bookmarkStart w:id="235" w:name="_Toc336681551"/>
      <w:bookmarkStart w:id="236" w:name="_Toc345513838"/>
      <w:bookmarkStart w:id="237" w:name="_Toc333935658"/>
      <w:bookmarkStart w:id="238" w:name="_Toc340672840"/>
      <w:bookmarkStart w:id="239" w:name="_Toc336681906"/>
      <w:bookmarkStart w:id="240" w:name="_Toc374454572"/>
      <w:bookmarkStart w:id="241" w:name="_Toc333237648"/>
      <w:bookmarkStart w:id="242" w:name="_Toc365985150"/>
      <w:bookmarkStart w:id="243" w:name="_Toc342296731"/>
      <w:bookmarkStart w:id="244" w:name="_Toc341348309"/>
      <w:bookmarkStart w:id="245" w:name="_Toc366072499"/>
      <w:bookmarkStart w:id="246" w:name="_Toc332270317"/>
      <w:bookmarkStart w:id="247" w:name="_Toc333935317"/>
      <w:bookmarkStart w:id="248" w:name="_Toc337632329"/>
      <w:bookmarkStart w:id="249" w:name="_Toc365967044"/>
      <w:bookmarkStart w:id="250" w:name="_Toc340507413"/>
      <w:bookmarkStart w:id="251" w:name="_Toc350756421"/>
      <w:bookmarkStart w:id="252" w:name="_Toc339020204"/>
      <w:bookmarkStart w:id="253" w:name="_Toc1636"/>
      <w:bookmarkStart w:id="254" w:name="_Toc339020066"/>
      <w:bookmarkStart w:id="255" w:name="_Toc342060345"/>
      <w:bookmarkStart w:id="256" w:name="_Toc350438720"/>
      <w:bookmarkStart w:id="257" w:name="_Toc349127597"/>
      <w:bookmarkStart w:id="258" w:name="_Toc340677041"/>
      <w:bookmarkStart w:id="259" w:name="_Toc339019986"/>
      <w:bookmarkStart w:id="260" w:name="_Toc339362271"/>
      <w:bookmarkStart w:id="261" w:name="_Toc331684009"/>
      <w:bookmarkStart w:id="262" w:name="_Toc330459956"/>
      <w:bookmarkStart w:id="263" w:name="_Toc331512869"/>
      <w:bookmarkStart w:id="264" w:name="_Toc349143560"/>
      <w:bookmarkStart w:id="265" w:name="_Toc332206679"/>
      <w:bookmarkStart w:id="266" w:name="_Toc339441058"/>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339441059"/>
      <w:bookmarkStart w:id="268" w:name="_Toc339020067"/>
      <w:bookmarkStart w:id="269" w:name="_Toc342296732"/>
      <w:bookmarkStart w:id="270" w:name="_Toc365985151"/>
      <w:bookmarkStart w:id="271" w:name="_Toc333935318"/>
      <w:bookmarkStart w:id="272" w:name="_Toc349127598"/>
      <w:bookmarkStart w:id="273" w:name="_Toc333238605"/>
      <w:bookmarkStart w:id="274" w:name="_Toc341348310"/>
      <w:bookmarkStart w:id="275" w:name="_Toc374454573"/>
      <w:bookmarkStart w:id="276" w:name="_Toc331512870"/>
      <w:bookmarkStart w:id="277" w:name="_Toc340672841"/>
      <w:bookmarkStart w:id="278" w:name="_Toc333237649"/>
      <w:bookmarkStart w:id="279" w:name="_Toc332206680"/>
      <w:bookmarkStart w:id="280" w:name="_Toc366072500"/>
      <w:bookmarkStart w:id="281" w:name="_Toc333935659"/>
      <w:bookmarkStart w:id="282" w:name="_Toc336681907"/>
      <w:bookmarkStart w:id="283" w:name="_Toc330459957"/>
      <w:bookmarkStart w:id="284" w:name="_Toc350438721"/>
      <w:bookmarkStart w:id="285" w:name="_Toc340677042"/>
      <w:bookmarkStart w:id="286" w:name="_Toc340507414"/>
      <w:bookmarkStart w:id="287" w:name="_Toc339020205"/>
      <w:bookmarkStart w:id="288" w:name="_Toc339362272"/>
      <w:bookmarkStart w:id="289" w:name="_Toc331684010"/>
      <w:bookmarkStart w:id="290" w:name="_Toc333237760"/>
      <w:bookmarkStart w:id="291" w:name="_Toc503785400"/>
      <w:bookmarkStart w:id="292" w:name="_Toc339019861"/>
      <w:bookmarkStart w:id="293" w:name="_Toc337632330"/>
      <w:bookmarkStart w:id="294" w:name="_Toc339019987"/>
      <w:bookmarkStart w:id="295" w:name="_Toc345513839"/>
      <w:bookmarkStart w:id="296" w:name="_Toc365967045"/>
      <w:bookmarkStart w:id="297" w:name="_Toc332270318"/>
      <w:bookmarkStart w:id="298" w:name="_Toc342060346"/>
      <w:bookmarkStart w:id="299" w:name="_Toc497224198"/>
      <w:bookmarkStart w:id="300" w:name="_Toc4590"/>
      <w:bookmarkStart w:id="301" w:name="_Toc350756422"/>
      <w:bookmarkStart w:id="302" w:name="_Toc349143561"/>
      <w:bookmarkStart w:id="303" w:name="_Toc336681552"/>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投标人应承担所有与准备和参加投标有关的费用。不论投标的结果如何，招标代理机构和招标人均无义务和责任承担这些费用</w:t>
      </w:r>
      <w:r>
        <w:rPr>
          <w:rFonts w:hint="eastAsia" w:ascii="宋体"/>
          <w:bCs/>
          <w:color w:val="000000" w:themeColor="text1"/>
          <w:highlight w:val="none"/>
          <w14:textFill>
            <w14:solidFill>
              <w14:schemeClr w14:val="tx1"/>
            </w14:solidFill>
          </w14:textFill>
        </w:rPr>
        <w:t>。</w:t>
      </w:r>
      <w:bookmarkStart w:id="304" w:name="_Toc374454574"/>
      <w:bookmarkStart w:id="305" w:name="_Toc333935319"/>
      <w:bookmarkStart w:id="306" w:name="_Toc339020206"/>
      <w:bookmarkStart w:id="307" w:name="_Toc365967046"/>
      <w:bookmarkStart w:id="308" w:name="_Toc350756423"/>
      <w:bookmarkStart w:id="309" w:name="_Toc365985152"/>
      <w:bookmarkStart w:id="310" w:name="_Toc339019988"/>
      <w:bookmarkStart w:id="311" w:name="_Toc337632331"/>
      <w:bookmarkStart w:id="312" w:name="_Toc332206681"/>
      <w:bookmarkStart w:id="313" w:name="_Toc349143562"/>
      <w:bookmarkStart w:id="314" w:name="_Toc339441060"/>
      <w:bookmarkStart w:id="315" w:name="_Toc332270319"/>
      <w:bookmarkStart w:id="316" w:name="_Toc342296733"/>
      <w:bookmarkStart w:id="317" w:name="_Toc333237761"/>
      <w:bookmarkStart w:id="318" w:name="_Toc330459958"/>
      <w:bookmarkStart w:id="319" w:name="_Toc339019862"/>
      <w:bookmarkStart w:id="320" w:name="_Toc350438722"/>
      <w:bookmarkStart w:id="321" w:name="_Toc341348311"/>
      <w:bookmarkStart w:id="322" w:name="_Toc336681553"/>
      <w:bookmarkStart w:id="323" w:name="_Toc333237650"/>
      <w:bookmarkStart w:id="324" w:name="_Toc340507415"/>
      <w:bookmarkStart w:id="325" w:name="_Toc333935660"/>
      <w:bookmarkStart w:id="326" w:name="_Toc340672842"/>
      <w:bookmarkStart w:id="327" w:name="_Toc349127599"/>
      <w:bookmarkStart w:id="328" w:name="_Toc366072501"/>
      <w:bookmarkStart w:id="329" w:name="_Toc503785401"/>
      <w:bookmarkStart w:id="330" w:name="_Toc333238606"/>
      <w:bookmarkStart w:id="331" w:name="_Toc345513840"/>
      <w:bookmarkStart w:id="332" w:name="_Toc342060347"/>
      <w:bookmarkStart w:id="333" w:name="_Toc336681908"/>
      <w:bookmarkStart w:id="334" w:name="_Toc339020068"/>
      <w:bookmarkStart w:id="335" w:name="_Toc339362273"/>
      <w:bookmarkStart w:id="336" w:name="_Toc340677043"/>
      <w:bookmarkStart w:id="337" w:name="_Toc497224199"/>
      <w:bookmarkStart w:id="338" w:name="_Toc331684011"/>
      <w:bookmarkStart w:id="339" w:name="_Toc331512871"/>
    </w:p>
    <w:p>
      <w:pPr>
        <w:pStyle w:val="4"/>
        <w:numPr>
          <w:ilvl w:val="0"/>
          <w:numId w:val="0"/>
        </w:numPr>
        <w:rPr>
          <w:color w:val="000000" w:themeColor="text1"/>
          <w:sz w:val="24"/>
          <w:highlight w:val="none"/>
          <w14:textFill>
            <w14:solidFill>
              <w14:schemeClr w14:val="tx1"/>
            </w14:solidFill>
          </w14:textFill>
        </w:rPr>
      </w:pPr>
      <w:bookmarkStart w:id="340" w:name="_Toc5568"/>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39019989"/>
      <w:bookmarkStart w:id="342" w:name="_Toc374454575"/>
      <w:bookmarkStart w:id="343" w:name="_Toc350756424"/>
      <w:bookmarkStart w:id="344" w:name="_Toc350438723"/>
      <w:bookmarkStart w:id="345" w:name="_Toc336681909"/>
      <w:bookmarkStart w:id="346" w:name="_Toc332206682"/>
      <w:bookmarkStart w:id="347" w:name="_Toc349143563"/>
      <w:bookmarkStart w:id="348" w:name="_Toc20964"/>
      <w:bookmarkStart w:id="349" w:name="_Toc333238607"/>
      <w:bookmarkStart w:id="350" w:name="_Toc330459959"/>
      <w:bookmarkStart w:id="351" w:name="_Toc333237651"/>
      <w:bookmarkStart w:id="352" w:name="_Toc337632332"/>
      <w:bookmarkStart w:id="353" w:name="_Toc333935320"/>
      <w:bookmarkStart w:id="354" w:name="_Toc365985153"/>
      <w:bookmarkStart w:id="355" w:name="_Toc497224200"/>
      <w:bookmarkStart w:id="356" w:name="_Toc333935661"/>
      <w:bookmarkStart w:id="357" w:name="_Toc345513841"/>
      <w:bookmarkStart w:id="358" w:name="_Toc366072502"/>
      <w:bookmarkStart w:id="359" w:name="_Toc339020069"/>
      <w:bookmarkStart w:id="360" w:name="_Toc340672843"/>
      <w:bookmarkStart w:id="361" w:name="_Toc331512872"/>
      <w:bookmarkStart w:id="362" w:name="_Toc503785402"/>
      <w:bookmarkStart w:id="363" w:name="_Toc336681554"/>
      <w:bookmarkStart w:id="364" w:name="_Toc341348312"/>
      <w:bookmarkStart w:id="365" w:name="_Toc333237762"/>
      <w:bookmarkStart w:id="366" w:name="_Toc340507416"/>
      <w:bookmarkStart w:id="367" w:name="_Toc339020207"/>
      <w:bookmarkStart w:id="368" w:name="_Toc365967047"/>
      <w:bookmarkStart w:id="369" w:name="_Toc331684012"/>
      <w:bookmarkStart w:id="370" w:name="_Toc340677044"/>
      <w:bookmarkStart w:id="371" w:name="_Toc342296734"/>
      <w:bookmarkStart w:id="372" w:name="_Toc339362274"/>
      <w:bookmarkStart w:id="373" w:name="_Toc339441061"/>
      <w:bookmarkStart w:id="374" w:name="_Toc332270320"/>
      <w:bookmarkStart w:id="375" w:name="_Toc342060348"/>
      <w:bookmarkStart w:id="376" w:name="_Toc349127600"/>
      <w:bookmarkStart w:id="377" w:name="_Toc339019863"/>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39362275"/>
      <w:bookmarkStart w:id="379" w:name="_Toc340507417"/>
      <w:bookmarkStart w:id="380" w:name="_Toc333935321"/>
      <w:bookmarkStart w:id="381" w:name="_Toc330459960"/>
      <w:bookmarkStart w:id="382" w:name="_Toc339019864"/>
      <w:bookmarkStart w:id="383" w:name="_Toc365967048"/>
      <w:bookmarkStart w:id="384" w:name="_Toc331512873"/>
      <w:bookmarkStart w:id="385" w:name="_Toc350438724"/>
      <w:bookmarkStart w:id="386" w:name="_Toc349127601"/>
      <w:bookmarkStart w:id="387" w:name="_Toc340672844"/>
      <w:bookmarkStart w:id="388" w:name="_Toc503785403"/>
      <w:bookmarkStart w:id="389" w:name="_Toc339020070"/>
      <w:bookmarkStart w:id="390" w:name="_Toc370388389"/>
      <w:bookmarkStart w:id="391" w:name="_Toc333237763"/>
      <w:bookmarkStart w:id="392" w:name="_Toc333237652"/>
      <w:bookmarkStart w:id="393" w:name="_Toc332270321"/>
      <w:bookmarkStart w:id="394" w:name="_Toc350756425"/>
      <w:bookmarkStart w:id="395" w:name="_Toc337632333"/>
      <w:bookmarkStart w:id="396" w:name="_Toc342060349"/>
      <w:bookmarkStart w:id="397" w:name="_Toc340677045"/>
      <w:bookmarkStart w:id="398" w:name="_Toc333238608"/>
      <w:bookmarkStart w:id="399" w:name="_Toc342296735"/>
      <w:bookmarkStart w:id="400" w:name="_Toc365985154"/>
      <w:bookmarkStart w:id="401" w:name="_Toc339019990"/>
      <w:bookmarkStart w:id="402" w:name="_Toc331684013"/>
      <w:bookmarkStart w:id="403" w:name="_Toc349143564"/>
      <w:bookmarkStart w:id="404" w:name="_Toc339441062"/>
      <w:bookmarkStart w:id="405" w:name="_Toc336681555"/>
      <w:bookmarkStart w:id="406" w:name="_Toc339020208"/>
      <w:bookmarkStart w:id="407" w:name="_Toc497224201"/>
      <w:bookmarkStart w:id="408" w:name="_Toc332206683"/>
      <w:bookmarkStart w:id="409" w:name="_Toc336681910"/>
      <w:bookmarkStart w:id="410" w:name="_Toc345513842"/>
      <w:bookmarkStart w:id="411" w:name="_Toc333935662"/>
      <w:bookmarkStart w:id="412" w:name="_Toc341348313"/>
      <w:bookmarkStart w:id="413" w:name="_Toc21979"/>
      <w:bookmarkStart w:id="414" w:name="_Toc374454576"/>
      <w:bookmarkStart w:id="415" w:name="_Toc503785405"/>
      <w:bookmarkStart w:id="416" w:name="_Toc497224203"/>
      <w:bookmarkStart w:id="417" w:name="_Toc333935664"/>
      <w:bookmarkStart w:id="418" w:name="_Toc333237654"/>
      <w:bookmarkStart w:id="419" w:name="_Toc339019992"/>
      <w:bookmarkStart w:id="420" w:name="_Toc349127603"/>
      <w:bookmarkStart w:id="421" w:name="_Toc340672846"/>
      <w:bookmarkStart w:id="422" w:name="_Toc331512875"/>
      <w:bookmarkStart w:id="423" w:name="_Toc330459962"/>
      <w:bookmarkStart w:id="424" w:name="_Toc339362277"/>
      <w:bookmarkStart w:id="425" w:name="_Toc365985156"/>
      <w:bookmarkStart w:id="426" w:name="_Toc333238610"/>
      <w:bookmarkStart w:id="427" w:name="_Toc342060351"/>
      <w:bookmarkStart w:id="428" w:name="_Toc365967050"/>
      <w:bookmarkStart w:id="429" w:name="_Toc341348315"/>
      <w:bookmarkStart w:id="430" w:name="_Toc340677047"/>
      <w:bookmarkStart w:id="431" w:name="_Toc350756427"/>
      <w:bookmarkStart w:id="432" w:name="_Toc336681912"/>
      <w:bookmarkStart w:id="433" w:name="_Toc337632335"/>
      <w:bookmarkStart w:id="434" w:name="_Toc332206685"/>
      <w:bookmarkStart w:id="435" w:name="_Toc336681557"/>
      <w:bookmarkStart w:id="436" w:name="_Toc339020072"/>
      <w:bookmarkStart w:id="437" w:name="_Toc366072505"/>
      <w:bookmarkStart w:id="438" w:name="_Toc350438726"/>
      <w:bookmarkStart w:id="439" w:name="_Toc339020210"/>
      <w:bookmarkStart w:id="440" w:name="_Toc340507419"/>
      <w:bookmarkStart w:id="441" w:name="_Toc331684015"/>
      <w:bookmarkStart w:id="442" w:name="_Toc339441064"/>
      <w:bookmarkStart w:id="443" w:name="_Toc349143566"/>
      <w:bookmarkStart w:id="444" w:name="_Toc339019866"/>
      <w:bookmarkStart w:id="445" w:name="_Toc345513844"/>
      <w:bookmarkStart w:id="446" w:name="_Toc333935323"/>
      <w:bookmarkStart w:id="447" w:name="_Toc332270323"/>
      <w:bookmarkStart w:id="448" w:name="_Toc333237765"/>
      <w:bookmarkStart w:id="449" w:name="_Toc342296737"/>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澄清或修改时间距投标截止时间不足15日的，招标人或招标代理机构在征得已获取招标文件的投标人同意并书面确认后，可不改变投标截止时间。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13120"/>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30459963"/>
      <w:bookmarkStart w:id="453" w:name="_Toc336681913"/>
      <w:bookmarkStart w:id="454" w:name="_Toc342296738"/>
      <w:bookmarkStart w:id="455" w:name="_Toc333935665"/>
      <w:bookmarkStart w:id="456" w:name="_Toc365985157"/>
      <w:bookmarkStart w:id="457" w:name="_Toc350756428"/>
      <w:bookmarkStart w:id="458" w:name="_Toc333238611"/>
      <w:bookmarkStart w:id="459" w:name="_Toc331684016"/>
      <w:bookmarkStart w:id="460" w:name="_Toc332270324"/>
      <w:bookmarkStart w:id="461" w:name="_Toc332206686"/>
      <w:bookmarkStart w:id="462" w:name="_Toc497224204"/>
      <w:bookmarkStart w:id="463" w:name="_Toc342060352"/>
      <w:bookmarkStart w:id="464" w:name="_Toc365967051"/>
      <w:bookmarkStart w:id="465" w:name="_Toc340677048"/>
      <w:bookmarkStart w:id="466" w:name="_Toc333237655"/>
      <w:bookmarkStart w:id="467" w:name="_Toc345513845"/>
      <w:bookmarkStart w:id="468" w:name="_Toc26594"/>
      <w:bookmarkStart w:id="469" w:name="_Toc350438727"/>
      <w:bookmarkStart w:id="470" w:name="_Toc349143567"/>
      <w:bookmarkStart w:id="471" w:name="_Toc333237766"/>
      <w:bookmarkStart w:id="472" w:name="_Toc339020211"/>
      <w:bookmarkStart w:id="473" w:name="_Toc339020073"/>
      <w:bookmarkStart w:id="474" w:name="_Toc339362278"/>
      <w:bookmarkStart w:id="475" w:name="_Toc331512876"/>
      <w:bookmarkStart w:id="476" w:name="_Toc341348316"/>
      <w:bookmarkStart w:id="477" w:name="_Toc333935324"/>
      <w:bookmarkStart w:id="478" w:name="_Toc337632336"/>
      <w:bookmarkStart w:id="479" w:name="_Toc374454578"/>
      <w:bookmarkStart w:id="480" w:name="_Toc340672847"/>
      <w:bookmarkStart w:id="481" w:name="_Toc366072506"/>
      <w:bookmarkStart w:id="482" w:name="_Toc340507420"/>
      <w:bookmarkStart w:id="483" w:name="_Toc339019867"/>
      <w:bookmarkStart w:id="484" w:name="_Toc336681558"/>
      <w:bookmarkStart w:id="485" w:name="_Toc339019993"/>
      <w:bookmarkStart w:id="486" w:name="_Toc503785406"/>
      <w:bookmarkStart w:id="487" w:name="_Toc349127604"/>
      <w:bookmarkStart w:id="488" w:name="_Toc339441065"/>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503785407"/>
      <w:bookmarkStart w:id="490" w:name="_Toc336681914"/>
      <w:bookmarkStart w:id="491" w:name="_Toc342060353"/>
      <w:bookmarkStart w:id="492" w:name="_Toc349143568"/>
      <w:bookmarkStart w:id="493" w:name="_Toc333237656"/>
      <w:bookmarkStart w:id="494" w:name="_Toc341348317"/>
      <w:bookmarkStart w:id="495" w:name="_Toc332270325"/>
      <w:bookmarkStart w:id="496" w:name="_Toc365967052"/>
      <w:bookmarkStart w:id="497" w:name="_Toc350438728"/>
      <w:bookmarkStart w:id="498" w:name="_Toc333935325"/>
      <w:bookmarkStart w:id="499" w:name="_Toc340677049"/>
      <w:bookmarkStart w:id="500" w:name="_Toc345513846"/>
      <w:bookmarkStart w:id="501" w:name="_Toc331512877"/>
      <w:bookmarkStart w:id="502" w:name="_Toc350756429"/>
      <w:bookmarkStart w:id="503" w:name="_Toc332206687"/>
      <w:bookmarkStart w:id="504" w:name="_Toc336681559"/>
      <w:bookmarkStart w:id="505" w:name="_Toc331684017"/>
      <w:bookmarkStart w:id="506" w:name="_Toc333237767"/>
      <w:bookmarkStart w:id="507" w:name="_Toc333238612"/>
      <w:bookmarkStart w:id="508" w:name="_Toc339362279"/>
      <w:bookmarkStart w:id="509" w:name="_Toc349127605"/>
      <w:bookmarkStart w:id="510" w:name="_Toc333935666"/>
      <w:bookmarkStart w:id="511" w:name="_Toc339019994"/>
      <w:bookmarkStart w:id="512" w:name="_Toc342296739"/>
      <w:bookmarkStart w:id="513" w:name="_Toc339020212"/>
      <w:bookmarkStart w:id="514" w:name="_Toc337632337"/>
      <w:bookmarkStart w:id="515" w:name="_Toc340672848"/>
      <w:bookmarkStart w:id="516" w:name="_Toc374454579"/>
      <w:bookmarkStart w:id="517" w:name="_Toc365985158"/>
      <w:bookmarkStart w:id="518" w:name="_Toc339441066"/>
      <w:bookmarkStart w:id="519" w:name="_Toc339019868"/>
      <w:bookmarkStart w:id="520" w:name="_Toc330459964"/>
      <w:bookmarkStart w:id="521" w:name="_Toc2427"/>
      <w:bookmarkStart w:id="522" w:name="_Toc366072507"/>
      <w:bookmarkStart w:id="523" w:name="_Toc340507421"/>
      <w:bookmarkStart w:id="524" w:name="_Toc339020074"/>
      <w:bookmarkStart w:id="525" w:name="_Toc497224205"/>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投标人提交的投标文件（包括资格证明文件）以及投标人与招标代理机构就有关投标的所有往来函电均应使用中文。投标人可以提交用其它语言打印的资料，但有关段落必须译成中文。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49127606"/>
      <w:bookmarkStart w:id="527" w:name="_Toc365967053"/>
      <w:bookmarkStart w:id="528" w:name="_Toc333237657"/>
      <w:bookmarkStart w:id="529" w:name="_Toc350756430"/>
      <w:bookmarkStart w:id="530" w:name="_Toc349143569"/>
      <w:bookmarkStart w:id="531" w:name="_Toc331512878"/>
      <w:bookmarkStart w:id="532" w:name="_Toc339362280"/>
      <w:bookmarkStart w:id="533" w:name="_Toc341348318"/>
      <w:bookmarkStart w:id="534" w:name="_Toc337632338"/>
      <w:bookmarkStart w:id="535" w:name="_Toc331684018"/>
      <w:bookmarkStart w:id="536" w:name="_Toc342060354"/>
      <w:bookmarkStart w:id="537" w:name="_Toc503785408"/>
      <w:bookmarkStart w:id="538" w:name="_Toc332206688"/>
      <w:bookmarkStart w:id="539" w:name="_Toc340507422"/>
      <w:bookmarkStart w:id="540" w:name="_Toc333238613"/>
      <w:bookmarkStart w:id="541" w:name="_Toc340677050"/>
      <w:bookmarkStart w:id="542" w:name="_Toc339441067"/>
      <w:bookmarkStart w:id="543" w:name="_Toc332270326"/>
      <w:bookmarkStart w:id="544" w:name="_Toc342296740"/>
      <w:bookmarkStart w:id="545" w:name="_Toc333935667"/>
      <w:bookmarkStart w:id="546" w:name="_Toc336681560"/>
      <w:bookmarkStart w:id="547" w:name="_Toc497224206"/>
      <w:bookmarkStart w:id="548" w:name="_Toc365985159"/>
      <w:bookmarkStart w:id="549" w:name="_Toc339019995"/>
      <w:bookmarkStart w:id="550" w:name="_Toc330459965"/>
      <w:bookmarkStart w:id="551" w:name="_Toc374454580"/>
      <w:bookmarkStart w:id="552" w:name="_Toc339019869"/>
      <w:bookmarkStart w:id="553" w:name="_Toc333237768"/>
      <w:bookmarkStart w:id="554" w:name="_Toc339020075"/>
      <w:bookmarkStart w:id="555" w:name="_Toc336681915"/>
      <w:bookmarkStart w:id="556" w:name="_Toc350438729"/>
      <w:bookmarkStart w:id="557" w:name="_Toc366072508"/>
      <w:bookmarkStart w:id="558" w:name="_Toc345513847"/>
      <w:bookmarkStart w:id="559" w:name="_Toc333935326"/>
      <w:bookmarkStart w:id="560" w:name="_Toc340672849"/>
      <w:bookmarkStart w:id="561" w:name="_Toc339020213"/>
      <w:bookmarkStart w:id="562" w:name="_Toc13412"/>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497224207"/>
      <w:bookmarkStart w:id="564" w:name="_Toc503785409"/>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39441068"/>
      <w:bookmarkStart w:id="566" w:name="_Toc349127607"/>
      <w:bookmarkStart w:id="567" w:name="_Toc342060355"/>
      <w:bookmarkStart w:id="568" w:name="_Toc340672850"/>
      <w:bookmarkStart w:id="569" w:name="_Toc340677051"/>
      <w:bookmarkStart w:id="570" w:name="_Toc332206689"/>
      <w:bookmarkStart w:id="571" w:name="_Toc333237769"/>
      <w:bookmarkStart w:id="572" w:name="_Toc339020076"/>
      <w:bookmarkStart w:id="573" w:name="_Toc350438730"/>
      <w:bookmarkStart w:id="574" w:name="_Toc345513848"/>
      <w:bookmarkStart w:id="575" w:name="_Toc349143570"/>
      <w:bookmarkStart w:id="576" w:name="_Toc336681561"/>
      <w:bookmarkStart w:id="577" w:name="_Toc366072509"/>
      <w:bookmarkStart w:id="578" w:name="_Toc339019996"/>
      <w:bookmarkStart w:id="579" w:name="_Toc23030"/>
      <w:bookmarkStart w:id="580" w:name="_Toc337632339"/>
      <w:bookmarkStart w:id="581" w:name="_Toc336681916"/>
      <w:bookmarkStart w:id="582" w:name="_Toc333935327"/>
      <w:bookmarkStart w:id="583" w:name="_Toc332270327"/>
      <w:bookmarkStart w:id="584" w:name="_Toc331684019"/>
      <w:bookmarkStart w:id="585" w:name="_Toc339019870"/>
      <w:bookmarkStart w:id="586" w:name="_Toc333935668"/>
      <w:bookmarkStart w:id="587" w:name="_Toc333237658"/>
      <w:bookmarkStart w:id="588" w:name="_Toc339020214"/>
      <w:bookmarkStart w:id="589" w:name="_Toc365967054"/>
      <w:bookmarkStart w:id="590" w:name="_Toc341348319"/>
      <w:bookmarkStart w:id="591" w:name="_Toc342296741"/>
      <w:bookmarkStart w:id="592" w:name="_Toc339362281"/>
      <w:bookmarkStart w:id="593" w:name="_Toc333238614"/>
      <w:bookmarkStart w:id="594" w:name="_Toc330459966"/>
      <w:bookmarkStart w:id="595" w:name="_Toc365985160"/>
      <w:bookmarkStart w:id="596" w:name="_Toc374454581"/>
      <w:bookmarkStart w:id="597" w:name="_Toc340507423"/>
      <w:bookmarkStart w:id="598" w:name="_Toc350756431"/>
      <w:bookmarkStart w:id="599" w:name="_Toc331512879"/>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9019871"/>
      <w:bookmarkStart w:id="601" w:name="_Toc331512880"/>
      <w:bookmarkStart w:id="602" w:name="_Toc332270328"/>
      <w:bookmarkStart w:id="603" w:name="_Toc365985161"/>
      <w:bookmarkStart w:id="604" w:name="_Toc337632340"/>
      <w:bookmarkStart w:id="605" w:name="_Toc340677052"/>
      <w:bookmarkStart w:id="606" w:name="_Toc330459967"/>
      <w:bookmarkStart w:id="607" w:name="_Toc339019997"/>
      <w:bookmarkStart w:id="608" w:name="_Toc365967055"/>
      <w:bookmarkStart w:id="609" w:name="_Toc339020077"/>
      <w:bookmarkStart w:id="610" w:name="_Toc340507424"/>
      <w:bookmarkStart w:id="611" w:name="_Toc350438731"/>
      <w:bookmarkStart w:id="612" w:name="_Toc333238615"/>
      <w:bookmarkStart w:id="613" w:name="_Toc366072510"/>
      <w:bookmarkStart w:id="614" w:name="_Toc342060356"/>
      <w:bookmarkStart w:id="615" w:name="_Toc345513849"/>
      <w:bookmarkStart w:id="616" w:name="_Toc341348320"/>
      <w:bookmarkStart w:id="617" w:name="_Toc13837"/>
      <w:bookmarkStart w:id="618" w:name="_Toc333237659"/>
      <w:bookmarkStart w:id="619" w:name="_Toc339441069"/>
      <w:bookmarkStart w:id="620" w:name="_Toc374454582"/>
      <w:bookmarkStart w:id="621" w:name="_Toc5003680"/>
      <w:bookmarkStart w:id="622" w:name="_Toc333935669"/>
      <w:bookmarkStart w:id="623" w:name="_Toc339362282"/>
      <w:bookmarkStart w:id="624" w:name="_Toc336681562"/>
      <w:bookmarkStart w:id="625" w:name="_Toc340672851"/>
      <w:bookmarkStart w:id="626" w:name="_Toc339020215"/>
      <w:bookmarkStart w:id="627" w:name="_Toc336681917"/>
      <w:bookmarkStart w:id="628" w:name="_Toc350756432"/>
      <w:bookmarkStart w:id="629" w:name="_Toc333237770"/>
      <w:bookmarkStart w:id="630" w:name="_Toc342296742"/>
      <w:bookmarkStart w:id="631" w:name="_Toc349127608"/>
      <w:bookmarkStart w:id="632" w:name="_Toc331684020"/>
      <w:bookmarkStart w:id="633" w:name="_Toc332206690"/>
      <w:bookmarkStart w:id="634" w:name="_Toc349143571"/>
      <w:bookmarkStart w:id="635" w:name="_Toc333935328"/>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招标人签订合同，就中标项目向招标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36681918"/>
      <w:bookmarkStart w:id="637" w:name="_Toc341348321"/>
      <w:bookmarkStart w:id="638" w:name="_Toc366072511"/>
      <w:bookmarkStart w:id="639" w:name="_Toc365985162"/>
      <w:bookmarkStart w:id="640" w:name="_Toc374454583"/>
      <w:bookmarkStart w:id="641" w:name="_Toc365967056"/>
      <w:bookmarkStart w:id="642" w:name="_Toc333237660"/>
      <w:bookmarkStart w:id="643" w:name="_Toc340507425"/>
      <w:bookmarkStart w:id="644" w:name="_Toc333237771"/>
      <w:bookmarkStart w:id="645" w:name="_Toc349127609"/>
      <w:bookmarkStart w:id="646" w:name="_Toc349143572"/>
      <w:bookmarkStart w:id="647" w:name="_Toc339362283"/>
      <w:bookmarkStart w:id="648" w:name="_Toc331684021"/>
      <w:bookmarkStart w:id="649" w:name="_Toc342296743"/>
      <w:bookmarkStart w:id="650" w:name="_Toc339020216"/>
      <w:bookmarkStart w:id="651" w:name="_Toc340672852"/>
      <w:bookmarkStart w:id="652" w:name="_Toc330459968"/>
      <w:bookmarkStart w:id="653" w:name="_Toc350756433"/>
      <w:bookmarkStart w:id="654" w:name="_Toc332270329"/>
      <w:bookmarkStart w:id="655" w:name="_Toc332206691"/>
      <w:bookmarkStart w:id="656" w:name="_Toc339441070"/>
      <w:bookmarkStart w:id="657" w:name="_Toc336681563"/>
      <w:bookmarkStart w:id="658" w:name="_Toc5003681"/>
      <w:bookmarkStart w:id="659" w:name="_Toc331512881"/>
      <w:bookmarkStart w:id="660" w:name="_Toc350438732"/>
      <w:bookmarkStart w:id="661" w:name="_Toc339019872"/>
      <w:bookmarkStart w:id="662" w:name="_Toc339019998"/>
      <w:bookmarkStart w:id="663" w:name="_Toc342060357"/>
      <w:bookmarkStart w:id="664" w:name="_Toc333935670"/>
      <w:bookmarkStart w:id="665" w:name="_Toc340677053"/>
      <w:bookmarkStart w:id="666" w:name="_Toc345513850"/>
      <w:bookmarkStart w:id="667" w:name="_Toc333238616"/>
      <w:bookmarkStart w:id="668" w:name="_Toc337632341"/>
      <w:bookmarkStart w:id="669" w:name="_Toc333935329"/>
      <w:bookmarkStart w:id="670" w:name="_Toc339020078"/>
      <w:bookmarkStart w:id="671" w:name="_Toc15445"/>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货物从招标人开始使用至招标要求中规定的周期内正常、连续地使用所必须的备件和专用工具清单，包括备件和专用工具的货源及现行价格。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对照招标文件技术规格，逐条说明所提供货物和服务已对招标人的技术规格做出了实质性的响应，或申明与技术规格条文的偏差和例外。特别对于有具体参数要求的指标，投标人必须提供所投设备的具体参数值。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36681564"/>
      <w:bookmarkStart w:id="673" w:name="_Toc339020217"/>
      <w:bookmarkStart w:id="674" w:name="_Toc349127610"/>
      <w:bookmarkStart w:id="675" w:name="_Toc337632342"/>
      <w:bookmarkStart w:id="676" w:name="_Toc331512882"/>
      <w:bookmarkStart w:id="677" w:name="_Toc340507426"/>
      <w:bookmarkStart w:id="678" w:name="_Toc342060358"/>
      <w:bookmarkStart w:id="679" w:name="_Toc341348322"/>
      <w:bookmarkStart w:id="680" w:name="_Toc339019999"/>
      <w:bookmarkStart w:id="681" w:name="_Toc332206692"/>
      <w:bookmarkStart w:id="682" w:name="_Toc336681919"/>
      <w:bookmarkStart w:id="683" w:name="_Toc339019873"/>
      <w:bookmarkStart w:id="684" w:name="_Toc340677054"/>
      <w:bookmarkStart w:id="685" w:name="_Toc332270330"/>
      <w:bookmarkStart w:id="686" w:name="_Toc339441071"/>
      <w:bookmarkStart w:id="687" w:name="_Toc497224209"/>
      <w:bookmarkStart w:id="688" w:name="_Toc333935671"/>
      <w:bookmarkStart w:id="689" w:name="_Toc5893"/>
      <w:bookmarkStart w:id="690" w:name="_Toc339362284"/>
      <w:bookmarkStart w:id="691" w:name="_Toc366072512"/>
      <w:bookmarkStart w:id="692" w:name="_Toc339020079"/>
      <w:bookmarkStart w:id="693" w:name="_Toc374454584"/>
      <w:bookmarkStart w:id="694" w:name="_Toc340672853"/>
      <w:bookmarkStart w:id="695" w:name="_Toc330459969"/>
      <w:bookmarkStart w:id="696" w:name="_Toc350438733"/>
      <w:bookmarkStart w:id="697" w:name="_Toc342296744"/>
      <w:bookmarkStart w:id="698" w:name="_Toc345513851"/>
      <w:bookmarkStart w:id="699" w:name="_Toc365967057"/>
      <w:bookmarkStart w:id="700" w:name="_Toc503785411"/>
      <w:bookmarkStart w:id="701" w:name="_Toc333237772"/>
      <w:bookmarkStart w:id="702" w:name="_Toc365985163"/>
      <w:bookmarkStart w:id="703" w:name="_Toc333238617"/>
      <w:bookmarkStart w:id="704" w:name="_Toc331684022"/>
      <w:bookmarkStart w:id="705" w:name="_Toc349143573"/>
      <w:bookmarkStart w:id="706" w:name="_Toc350756434"/>
      <w:bookmarkStart w:id="707" w:name="_Toc333237661"/>
      <w:bookmarkStart w:id="708" w:name="_Toc333935330"/>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投标人在投标文件中如有任何遗漏，影响到招标文件中规定的范围、质量、性能和项目的实施或限制了招标人的权利和投标人的义务，由此产生的费用由投标人负责。</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36681920"/>
      <w:bookmarkStart w:id="710" w:name="_Toc339441072"/>
      <w:bookmarkStart w:id="711" w:name="_Toc497224212"/>
      <w:bookmarkStart w:id="712" w:name="_Toc332206693"/>
      <w:bookmarkStart w:id="713" w:name="_Toc330459970"/>
      <w:bookmarkStart w:id="714" w:name="_Toc350756435"/>
      <w:bookmarkStart w:id="715" w:name="_Toc331684023"/>
      <w:bookmarkStart w:id="716" w:name="_Toc331512883"/>
      <w:bookmarkStart w:id="717" w:name="_Toc365967058"/>
      <w:bookmarkStart w:id="718" w:name="_Toc341348323"/>
      <w:bookmarkStart w:id="719" w:name="_Toc342060359"/>
      <w:bookmarkStart w:id="720" w:name="_Toc339020218"/>
      <w:bookmarkStart w:id="721" w:name="_Toc336681565"/>
      <w:bookmarkStart w:id="722" w:name="_Toc339362285"/>
      <w:bookmarkStart w:id="723" w:name="_Toc350438734"/>
      <w:bookmarkStart w:id="724" w:name="_Toc333935331"/>
      <w:bookmarkStart w:id="725" w:name="_Toc337632343"/>
      <w:bookmarkStart w:id="726" w:name="_Toc333238618"/>
      <w:bookmarkStart w:id="727" w:name="_Toc18126"/>
      <w:bookmarkStart w:id="728" w:name="_Toc345513852"/>
      <w:bookmarkStart w:id="729" w:name="_Toc333935672"/>
      <w:bookmarkStart w:id="730" w:name="_Toc333237662"/>
      <w:bookmarkStart w:id="731" w:name="_Toc340677055"/>
      <w:bookmarkStart w:id="732" w:name="_Toc339020000"/>
      <w:bookmarkStart w:id="733" w:name="_Toc333237773"/>
      <w:bookmarkStart w:id="734" w:name="_Toc340672854"/>
      <w:bookmarkStart w:id="735" w:name="_Toc340507427"/>
      <w:bookmarkStart w:id="736" w:name="_Toc349143574"/>
      <w:bookmarkStart w:id="737" w:name="_Toc349127611"/>
      <w:bookmarkStart w:id="738" w:name="_Toc365985164"/>
      <w:bookmarkStart w:id="739" w:name="_Toc503785414"/>
      <w:bookmarkStart w:id="740" w:name="_Toc374454585"/>
      <w:bookmarkStart w:id="741" w:name="_Toc332270331"/>
      <w:bookmarkStart w:id="742" w:name="_Toc366072513"/>
      <w:bookmarkStart w:id="743" w:name="_Toc339019874"/>
      <w:bookmarkStart w:id="744" w:name="_Toc342296745"/>
      <w:bookmarkStart w:id="745" w:name="_Toc339020080"/>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招标代理机构在因投标人的行为受到损害时，可根据第14.7条的规定，投标人的投标保证金不予退还。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未中标的投标人的投标保证金，招标代理机构应当自中标通知书发出之日起5个工作日内无息退还。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65985165"/>
      <w:bookmarkStart w:id="747" w:name="_Toc350756436"/>
      <w:bookmarkStart w:id="748" w:name="_Toc336681566"/>
      <w:bookmarkStart w:id="749" w:name="_Toc340672855"/>
      <w:bookmarkStart w:id="750" w:name="_Toc374454586"/>
      <w:bookmarkStart w:id="751" w:name="_Toc345513853"/>
      <w:bookmarkStart w:id="752" w:name="_Toc333237663"/>
      <w:bookmarkStart w:id="753" w:name="_Toc340677056"/>
      <w:bookmarkStart w:id="754" w:name="_Toc337632344"/>
      <w:bookmarkStart w:id="755" w:name="_Toc333237774"/>
      <w:bookmarkStart w:id="756" w:name="_Toc366072514"/>
      <w:bookmarkStart w:id="757" w:name="_Toc340507428"/>
      <w:bookmarkStart w:id="758" w:name="_Toc342296746"/>
      <w:bookmarkStart w:id="759" w:name="_Toc331684024"/>
      <w:bookmarkStart w:id="760" w:name="_Toc339020001"/>
      <w:bookmarkStart w:id="761" w:name="_Toc339020081"/>
      <w:bookmarkStart w:id="762" w:name="_Toc339019875"/>
      <w:bookmarkStart w:id="763" w:name="_Toc333935332"/>
      <w:bookmarkStart w:id="764" w:name="_Toc339362286"/>
      <w:bookmarkStart w:id="765" w:name="_Toc333935673"/>
      <w:bookmarkStart w:id="766" w:name="_Toc365967059"/>
      <w:bookmarkStart w:id="767" w:name="_Toc339020219"/>
      <w:bookmarkStart w:id="768" w:name="_Toc342060360"/>
      <w:bookmarkStart w:id="769" w:name="_Toc503785415"/>
      <w:bookmarkStart w:id="770" w:name="_Toc349143575"/>
      <w:bookmarkStart w:id="771" w:name="_Toc349127612"/>
      <w:bookmarkStart w:id="772" w:name="_Toc330459971"/>
      <w:bookmarkStart w:id="773" w:name="_Toc350438735"/>
      <w:bookmarkStart w:id="774" w:name="_Toc331512884"/>
      <w:bookmarkStart w:id="775" w:name="_Toc497224213"/>
      <w:bookmarkStart w:id="776" w:name="_Toc7830"/>
      <w:bookmarkStart w:id="777" w:name="_Toc336681921"/>
      <w:bookmarkStart w:id="778" w:name="_Toc341348324"/>
      <w:bookmarkStart w:id="779" w:name="_Toc333238619"/>
      <w:bookmarkStart w:id="780" w:name="_Toc332206694"/>
      <w:bookmarkStart w:id="781" w:name="_Toc332270332"/>
      <w:bookmarkStart w:id="782" w:name="_Toc339441073"/>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招标代理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39019876"/>
      <w:bookmarkStart w:id="784" w:name="_Toc332206695"/>
      <w:bookmarkStart w:id="785" w:name="_Toc345513854"/>
      <w:bookmarkStart w:id="786" w:name="_Toc374454587"/>
      <w:bookmarkStart w:id="787" w:name="_Toc337632345"/>
      <w:bookmarkStart w:id="788" w:name="_Toc365985166"/>
      <w:bookmarkStart w:id="789" w:name="_Toc333237775"/>
      <w:bookmarkStart w:id="790" w:name="_Toc339441074"/>
      <w:bookmarkStart w:id="791" w:name="_Toc333935333"/>
      <w:bookmarkStart w:id="792" w:name="_Toc339020002"/>
      <w:bookmarkStart w:id="793" w:name="_Toc331684025"/>
      <w:bookmarkStart w:id="794" w:name="_Toc339362287"/>
      <w:bookmarkStart w:id="795" w:name="_Toc350438736"/>
      <w:bookmarkStart w:id="796" w:name="_Toc331512885"/>
      <w:bookmarkStart w:id="797" w:name="_Toc342060361"/>
      <w:bookmarkStart w:id="798" w:name="_Toc503785416"/>
      <w:bookmarkStart w:id="799" w:name="_Toc340677057"/>
      <w:bookmarkStart w:id="800" w:name="_Toc339020082"/>
      <w:bookmarkStart w:id="801" w:name="_Toc341348325"/>
      <w:bookmarkStart w:id="802" w:name="_Toc332270333"/>
      <w:bookmarkStart w:id="803" w:name="_Toc340507429"/>
      <w:bookmarkStart w:id="804" w:name="_Toc342296747"/>
      <w:bookmarkStart w:id="805" w:name="_Toc365967060"/>
      <w:bookmarkStart w:id="806" w:name="_Toc330459972"/>
      <w:bookmarkStart w:id="807" w:name="_Toc11718"/>
      <w:bookmarkStart w:id="808" w:name="_Toc349143576"/>
      <w:bookmarkStart w:id="809" w:name="_Toc340672856"/>
      <w:bookmarkStart w:id="810" w:name="_Toc336681922"/>
      <w:bookmarkStart w:id="811" w:name="_Toc333935674"/>
      <w:bookmarkStart w:id="812" w:name="_Toc339020220"/>
      <w:bookmarkStart w:id="813" w:name="_Toc111534389"/>
      <w:bookmarkStart w:id="814" w:name="_Toc350756437"/>
      <w:bookmarkStart w:id="815" w:name="_Toc349127613"/>
      <w:bookmarkStart w:id="816" w:name="_Toc336681567"/>
      <w:bookmarkStart w:id="817" w:name="_Toc333237664"/>
      <w:bookmarkStart w:id="818" w:name="_Toc497224214"/>
      <w:bookmarkStart w:id="819" w:name="_Toc366072515"/>
      <w:bookmarkStart w:id="820" w:name="_Toc333238620"/>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1" w:name="_Toc333935675"/>
      <w:bookmarkStart w:id="822" w:name="_Toc336681923"/>
      <w:bookmarkStart w:id="823" w:name="_Toc345513855"/>
      <w:bookmarkStart w:id="824" w:name="_Toc337632346"/>
      <w:bookmarkStart w:id="825" w:name="_Toc342060362"/>
      <w:bookmarkStart w:id="826" w:name="_Toc330459973"/>
      <w:bookmarkStart w:id="827" w:name="_Toc332206696"/>
      <w:bookmarkStart w:id="828" w:name="_Toc340507430"/>
      <w:bookmarkStart w:id="829" w:name="_Toc349143577"/>
      <w:bookmarkStart w:id="830" w:name="_Toc331684026"/>
      <w:bookmarkStart w:id="831" w:name="_Toc497224215"/>
      <w:bookmarkStart w:id="832" w:name="_Toc503785417"/>
      <w:bookmarkStart w:id="833" w:name="_Toc366072516"/>
      <w:bookmarkStart w:id="834" w:name="_Toc350756438"/>
      <w:bookmarkStart w:id="835" w:name="_Toc340677058"/>
      <w:bookmarkStart w:id="836" w:name="_Toc333935334"/>
      <w:bookmarkStart w:id="837" w:name="_Toc339441075"/>
      <w:bookmarkStart w:id="838" w:name="_Toc365985167"/>
      <w:bookmarkStart w:id="839" w:name="_Toc339019877"/>
      <w:bookmarkStart w:id="840" w:name="_Toc349127614"/>
      <w:bookmarkStart w:id="841" w:name="_Toc331512886"/>
      <w:bookmarkStart w:id="842" w:name="_Toc333238621"/>
      <w:bookmarkStart w:id="843" w:name="_Toc341348326"/>
      <w:bookmarkStart w:id="844" w:name="_Toc333237665"/>
      <w:bookmarkStart w:id="845" w:name="_Toc336681568"/>
      <w:bookmarkStart w:id="846" w:name="_Toc333237776"/>
      <w:bookmarkStart w:id="847" w:name="_Toc339020083"/>
      <w:bookmarkStart w:id="848" w:name="_Toc339362288"/>
      <w:bookmarkStart w:id="849" w:name="_Toc350438737"/>
      <w:bookmarkStart w:id="850" w:name="_Toc111534390"/>
      <w:bookmarkStart w:id="851" w:name="_Toc332270334"/>
      <w:bookmarkStart w:id="852" w:name="_Toc340672857"/>
      <w:bookmarkStart w:id="853" w:name="_Toc339020221"/>
      <w:bookmarkStart w:id="854" w:name="_Toc339020003"/>
      <w:bookmarkStart w:id="855" w:name="_Toc365967061"/>
      <w:bookmarkStart w:id="856" w:name="_Toc342296748"/>
      <w:bookmarkStart w:id="857" w:name="_Toc374454588"/>
      <w:r>
        <w:rPr>
          <w:color w:val="000000" w:themeColor="text1"/>
          <w:sz w:val="24"/>
          <w:highlight w:val="none"/>
          <w14:textFill>
            <w14:solidFill>
              <w14:schemeClr w14:val="tx1"/>
            </w14:solidFill>
          </w14:textFill>
        </w:rPr>
        <w:br w:type="page"/>
      </w:r>
      <w:bookmarkStart w:id="858" w:name="_Toc6347"/>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5"/>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33237777"/>
      <w:bookmarkStart w:id="860" w:name="_Toc333935676"/>
      <w:bookmarkStart w:id="861" w:name="_Toc340672858"/>
      <w:bookmarkStart w:id="862" w:name="_Toc339362289"/>
      <w:bookmarkStart w:id="863" w:name="_Toc339019878"/>
      <w:bookmarkStart w:id="864" w:name="_Toc339020004"/>
      <w:bookmarkStart w:id="865" w:name="_Toc331512887"/>
      <w:bookmarkStart w:id="866" w:name="_Toc339441076"/>
      <w:bookmarkStart w:id="867" w:name="_Toc365985168"/>
      <w:bookmarkStart w:id="868" w:name="_Toc340507431"/>
      <w:bookmarkStart w:id="869" w:name="_Toc374454589"/>
      <w:bookmarkStart w:id="870" w:name="_Toc333935335"/>
      <w:bookmarkStart w:id="871" w:name="_Toc331684027"/>
      <w:bookmarkStart w:id="872" w:name="_Toc503785418"/>
      <w:bookmarkStart w:id="873" w:name="_Toc497224216"/>
      <w:bookmarkStart w:id="874" w:name="_Toc330459974"/>
      <w:bookmarkStart w:id="875" w:name="_Toc349143578"/>
      <w:bookmarkStart w:id="876" w:name="_Toc337632347"/>
      <w:bookmarkStart w:id="877" w:name="_Toc342060363"/>
      <w:bookmarkStart w:id="878" w:name="_Toc365967062"/>
      <w:bookmarkStart w:id="879" w:name="_Toc111534391"/>
      <w:bookmarkStart w:id="880" w:name="_Toc332206697"/>
      <w:bookmarkStart w:id="881" w:name="_Toc341348327"/>
      <w:bookmarkStart w:id="882" w:name="_Toc345513856"/>
      <w:bookmarkStart w:id="883" w:name="_Toc342296749"/>
      <w:bookmarkStart w:id="884" w:name="_Toc333238622"/>
      <w:bookmarkStart w:id="885" w:name="_Toc336681569"/>
      <w:bookmarkStart w:id="886" w:name="_Toc349127615"/>
      <w:bookmarkStart w:id="887" w:name="_Toc350438738"/>
      <w:bookmarkStart w:id="888" w:name="_Toc339020084"/>
      <w:bookmarkStart w:id="889" w:name="_Toc336681924"/>
      <w:bookmarkStart w:id="890" w:name="_Toc350756439"/>
      <w:bookmarkStart w:id="891" w:name="_Toc333237666"/>
      <w:bookmarkStart w:id="892" w:name="_Toc366072517"/>
      <w:bookmarkStart w:id="893" w:name="_Toc340677059"/>
      <w:bookmarkStart w:id="894" w:name="_Toc339020222"/>
      <w:bookmarkStart w:id="895" w:name="_Toc332270335"/>
      <w:r>
        <w:rPr>
          <w:rFonts w:hint="eastAsia"/>
          <w:color w:val="000000" w:themeColor="text1"/>
          <w:highlight w:val="none"/>
          <w14:textFill>
            <w14:solidFill>
              <w14:schemeClr w14:val="tx1"/>
            </w14:solidFill>
          </w14:textFill>
        </w:rPr>
        <w:t xml:space="preserve">     </w:t>
      </w:r>
      <w:bookmarkStart w:id="896" w:name="_Toc14702"/>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2"/>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340672859"/>
      <w:bookmarkStart w:id="898" w:name="_Toc374454590"/>
      <w:bookmarkStart w:id="899" w:name="_Toc349143579"/>
      <w:bookmarkStart w:id="900" w:name="_Toc28699"/>
      <w:bookmarkStart w:id="901" w:name="_Toc365985169"/>
      <w:bookmarkStart w:id="902" w:name="_Toc332270336"/>
      <w:bookmarkStart w:id="903" w:name="_Toc333935336"/>
      <w:bookmarkStart w:id="904" w:name="_Toc333237778"/>
      <w:bookmarkStart w:id="905" w:name="_Toc365967063"/>
      <w:bookmarkStart w:id="906" w:name="_Toc339020005"/>
      <w:bookmarkStart w:id="907" w:name="_Toc340677060"/>
      <w:bookmarkStart w:id="908" w:name="_Toc331512888"/>
      <w:bookmarkStart w:id="909" w:name="_Toc350756440"/>
      <w:bookmarkStart w:id="910" w:name="_Toc339441077"/>
      <w:bookmarkStart w:id="911" w:name="_Toc497224217"/>
      <w:bookmarkStart w:id="912" w:name="_Toc333238623"/>
      <w:bookmarkStart w:id="913" w:name="_Toc339362290"/>
      <w:bookmarkStart w:id="914" w:name="_Toc342060364"/>
      <w:bookmarkStart w:id="915" w:name="_Toc333935677"/>
      <w:bookmarkStart w:id="916" w:name="_Toc111534392"/>
      <w:bookmarkStart w:id="917" w:name="_Toc342296750"/>
      <w:bookmarkStart w:id="918" w:name="_Toc339020085"/>
      <w:bookmarkStart w:id="919" w:name="_Toc336681925"/>
      <w:bookmarkStart w:id="920" w:name="_Toc339020223"/>
      <w:bookmarkStart w:id="921" w:name="_Toc340507432"/>
      <w:bookmarkStart w:id="922" w:name="_Toc337632348"/>
      <w:bookmarkStart w:id="923" w:name="_Toc349127616"/>
      <w:bookmarkStart w:id="924" w:name="_Toc341348328"/>
      <w:bookmarkStart w:id="925" w:name="_Toc345513857"/>
      <w:bookmarkStart w:id="926" w:name="_Toc333237667"/>
      <w:bookmarkStart w:id="927" w:name="_Toc331684028"/>
      <w:bookmarkStart w:id="928" w:name="_Toc330459975"/>
      <w:bookmarkStart w:id="929" w:name="_Toc332206698"/>
      <w:bookmarkStart w:id="930" w:name="_Toc336681570"/>
      <w:bookmarkStart w:id="931" w:name="_Toc366072518"/>
      <w:bookmarkStart w:id="932" w:name="_Toc350438739"/>
      <w:bookmarkStart w:id="933" w:name="_Toc503785419"/>
      <w:bookmarkStart w:id="934" w:name="_Toc339019879"/>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投标文件需由专人送交。投标人须将密封和标记后的投标文件，按照招标文件中注明的开标地址于投标截止时间之前送交招标代理机构。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66072519"/>
      <w:bookmarkStart w:id="936" w:name="_Toc342060365"/>
      <w:bookmarkStart w:id="937" w:name="_Toc365967064"/>
      <w:bookmarkStart w:id="938" w:name="_Toc333935337"/>
      <w:bookmarkStart w:id="939" w:name="_Toc503785420"/>
      <w:bookmarkStart w:id="940" w:name="_Toc339362291"/>
      <w:bookmarkStart w:id="941" w:name="_Toc339020224"/>
      <w:bookmarkStart w:id="942" w:name="_Toc332206699"/>
      <w:bookmarkStart w:id="943" w:name="_Toc497224218"/>
      <w:bookmarkStart w:id="944" w:name="_Toc337632349"/>
      <w:bookmarkStart w:id="945" w:name="_Toc350438740"/>
      <w:bookmarkStart w:id="946" w:name="_Toc349127617"/>
      <w:bookmarkStart w:id="947" w:name="_Toc336681571"/>
      <w:bookmarkStart w:id="948" w:name="_Toc331512889"/>
      <w:bookmarkStart w:id="949" w:name="_Toc339019880"/>
      <w:bookmarkStart w:id="950" w:name="_Toc333237779"/>
      <w:bookmarkStart w:id="951" w:name="_Toc374454591"/>
      <w:bookmarkStart w:id="952" w:name="_Toc330459976"/>
      <w:bookmarkStart w:id="953" w:name="_Toc339020006"/>
      <w:bookmarkStart w:id="954" w:name="_Toc336681926"/>
      <w:bookmarkStart w:id="955" w:name="_Toc333238624"/>
      <w:bookmarkStart w:id="956" w:name="_Toc339020086"/>
      <w:bookmarkStart w:id="957" w:name="_Toc345513858"/>
      <w:bookmarkStart w:id="958" w:name="_Toc365985170"/>
      <w:bookmarkStart w:id="959" w:name="_Toc340672860"/>
      <w:bookmarkStart w:id="960" w:name="_Toc342296751"/>
      <w:bookmarkStart w:id="961" w:name="_Toc339441078"/>
      <w:bookmarkStart w:id="962" w:name="_Toc331684029"/>
      <w:bookmarkStart w:id="963" w:name="_Toc340677061"/>
      <w:bookmarkStart w:id="964" w:name="_Toc333935678"/>
      <w:bookmarkStart w:id="965" w:name="_Toc350756441"/>
      <w:bookmarkStart w:id="966" w:name="_Toc332270337"/>
      <w:bookmarkStart w:id="967" w:name="_Toc349143580"/>
      <w:bookmarkStart w:id="968" w:name="_Toc340507433"/>
      <w:bookmarkStart w:id="969" w:name="_Toc333237668"/>
      <w:bookmarkStart w:id="970" w:name="_Toc341348329"/>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招标代理机构于投标截止时间前30分钟开始接收投标文件，并于招标文件“第一部分投标邀请函”规定的开标时间、开标地点公开开标。</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2374"/>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招标代理机构将拒绝在投标截止时间后递交的任何投标文件。</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503785421"/>
      <w:bookmarkStart w:id="973" w:name="_Toc497224219"/>
      <w:bookmarkStart w:id="974" w:name="_Toc365985171"/>
      <w:bookmarkStart w:id="975" w:name="_Toc336681927"/>
      <w:bookmarkStart w:id="976" w:name="_Toc339020007"/>
      <w:bookmarkStart w:id="977" w:name="_Toc342296752"/>
      <w:bookmarkStart w:id="978" w:name="_Toc336681572"/>
      <w:bookmarkStart w:id="979" w:name="_Toc340672861"/>
      <w:bookmarkStart w:id="980" w:name="_Toc340677062"/>
      <w:bookmarkStart w:id="981" w:name="_Toc332270338"/>
      <w:bookmarkStart w:id="982" w:name="_Toc333237780"/>
      <w:bookmarkStart w:id="983" w:name="_Toc339441079"/>
      <w:bookmarkStart w:id="984" w:name="_Toc339362292"/>
      <w:bookmarkStart w:id="985" w:name="_Toc342060366"/>
      <w:bookmarkStart w:id="986" w:name="_Toc365967065"/>
      <w:bookmarkStart w:id="987" w:name="_Toc349127618"/>
      <w:bookmarkStart w:id="988" w:name="_Toc331684030"/>
      <w:bookmarkStart w:id="989" w:name="_Toc341348330"/>
      <w:bookmarkStart w:id="990" w:name="_Toc350756442"/>
      <w:bookmarkStart w:id="991" w:name="_Toc331512890"/>
      <w:bookmarkStart w:id="992" w:name="_Toc349143581"/>
      <w:bookmarkStart w:id="993" w:name="_Toc333238625"/>
      <w:bookmarkStart w:id="994" w:name="_Toc333935679"/>
      <w:bookmarkStart w:id="995" w:name="_Toc345513859"/>
      <w:bookmarkStart w:id="996" w:name="_Toc340507434"/>
      <w:bookmarkStart w:id="997" w:name="_Toc333237669"/>
      <w:bookmarkStart w:id="998" w:name="_Toc366072520"/>
      <w:bookmarkStart w:id="999" w:name="_Toc330459977"/>
      <w:bookmarkStart w:id="1000" w:name="_Toc350438741"/>
      <w:bookmarkStart w:id="1001" w:name="_Toc374454592"/>
      <w:bookmarkStart w:id="1002" w:name="_Toc339019881"/>
      <w:bookmarkStart w:id="1003" w:name="_Toc337632350"/>
      <w:bookmarkStart w:id="1004" w:name="_Toc339020087"/>
      <w:bookmarkStart w:id="1005" w:name="_Toc332206700"/>
      <w:bookmarkStart w:id="1006" w:name="_Toc12641"/>
      <w:bookmarkStart w:id="1007" w:name="_Toc333935338"/>
      <w:bookmarkStart w:id="1008" w:name="_Toc339020225"/>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投标人在投标截止时间前，可以修改或撤回其投标文件。但必须在规定的投标截止时间之前以书面通知到招标代理机构，该通知须有投标人法定代表人（负责人）或其授权代表签字。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从投标截止时间至投标文件有效期期满之前，投标人不得撤回其投标文件，否则招标代理机构将按规定不予退还投标保证金。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09" w:name="_Toc336681573"/>
      <w:bookmarkStart w:id="1010" w:name="_Toc339020008"/>
      <w:bookmarkStart w:id="1011" w:name="_Toc341348331"/>
      <w:bookmarkStart w:id="1012" w:name="_Toc340672862"/>
      <w:bookmarkStart w:id="1013" w:name="_Toc340507435"/>
      <w:bookmarkStart w:id="1014" w:name="_Toc350438742"/>
      <w:bookmarkStart w:id="1015" w:name="_Toc331684031"/>
      <w:bookmarkStart w:id="1016" w:name="_Toc330459978"/>
      <w:bookmarkStart w:id="1017" w:name="_Toc339019882"/>
      <w:bookmarkStart w:id="1018" w:name="_Toc333935680"/>
      <w:bookmarkStart w:id="1019" w:name="_Toc333238626"/>
      <w:bookmarkStart w:id="1020" w:name="_Toc333237670"/>
      <w:bookmarkStart w:id="1021" w:name="_Toc342060367"/>
      <w:bookmarkStart w:id="1022" w:name="_Toc366072521"/>
      <w:bookmarkStart w:id="1023" w:name="_Toc336681928"/>
      <w:bookmarkStart w:id="1024" w:name="_Toc331512891"/>
      <w:bookmarkStart w:id="1025" w:name="_Toc332270339"/>
      <w:bookmarkStart w:id="1026" w:name="_Toc349127619"/>
      <w:bookmarkStart w:id="1027" w:name="_Toc333237781"/>
      <w:bookmarkStart w:id="1028" w:name="_Toc332206701"/>
      <w:bookmarkStart w:id="1029" w:name="_Toc333935339"/>
      <w:bookmarkStart w:id="1030" w:name="_Toc374454593"/>
      <w:bookmarkStart w:id="1031" w:name="_Toc365967066"/>
      <w:bookmarkStart w:id="1032" w:name="_Toc350756443"/>
      <w:bookmarkStart w:id="1033" w:name="_Toc497224220"/>
      <w:bookmarkStart w:id="1034" w:name="_Toc345513860"/>
      <w:bookmarkStart w:id="1035" w:name="_Toc342296753"/>
      <w:bookmarkStart w:id="1036" w:name="_Toc503785422"/>
      <w:bookmarkStart w:id="1037" w:name="_Toc365985172"/>
      <w:bookmarkStart w:id="1038" w:name="_Toc339020226"/>
      <w:bookmarkStart w:id="1039" w:name="_Toc339441080"/>
      <w:bookmarkStart w:id="1040" w:name="_Toc337632351"/>
      <w:bookmarkStart w:id="1041" w:name="_Toc340677063"/>
      <w:bookmarkStart w:id="1042" w:name="_Toc349143582"/>
      <w:bookmarkStart w:id="1043" w:name="_Toc339362293"/>
      <w:bookmarkStart w:id="1044" w:name="_Toc339020088"/>
      <w:r>
        <w:rPr>
          <w:color w:val="000000" w:themeColor="text1"/>
          <w:sz w:val="24"/>
          <w:highlight w:val="none"/>
          <w14:textFill>
            <w14:solidFill>
              <w14:schemeClr w14:val="tx1"/>
            </w14:solidFill>
          </w14:textFill>
        </w:rPr>
        <w:br w:type="page"/>
      </w:r>
      <w:bookmarkStart w:id="1045" w:name="_Toc7337"/>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49127620"/>
      <w:bookmarkStart w:id="1047" w:name="_Toc342296754"/>
      <w:bookmarkStart w:id="1048" w:name="_Toc350756444"/>
      <w:bookmarkStart w:id="1049" w:name="_Toc331512892"/>
      <w:bookmarkStart w:id="1050" w:name="_Toc349143583"/>
      <w:bookmarkStart w:id="1051" w:name="_Toc503785423"/>
      <w:bookmarkStart w:id="1052" w:name="_Toc374454594"/>
      <w:bookmarkStart w:id="1053" w:name="_Toc336681929"/>
      <w:bookmarkStart w:id="1054" w:name="_Toc333238627"/>
      <w:bookmarkStart w:id="1055" w:name="_Toc340672863"/>
      <w:bookmarkStart w:id="1056" w:name="_Toc339019883"/>
      <w:bookmarkStart w:id="1057" w:name="_Toc332206702"/>
      <w:bookmarkStart w:id="1058" w:name="_Toc342060368"/>
      <w:bookmarkStart w:id="1059" w:name="_Toc339362294"/>
      <w:bookmarkStart w:id="1060" w:name="_Toc330459979"/>
      <w:bookmarkStart w:id="1061" w:name="_Toc336681574"/>
      <w:bookmarkStart w:id="1062" w:name="_Toc366072522"/>
      <w:bookmarkStart w:id="1063" w:name="_Toc333237782"/>
      <w:bookmarkStart w:id="1064" w:name="_Toc332270340"/>
      <w:bookmarkStart w:id="1065" w:name="_Toc339441081"/>
      <w:bookmarkStart w:id="1066" w:name="_Toc497224221"/>
      <w:bookmarkStart w:id="1067" w:name="_Toc339020089"/>
      <w:bookmarkStart w:id="1068" w:name="_Toc365985173"/>
      <w:bookmarkStart w:id="1069" w:name="_Toc345513861"/>
      <w:bookmarkStart w:id="1070" w:name="_Toc333935340"/>
      <w:bookmarkStart w:id="1071" w:name="_Toc350438743"/>
      <w:bookmarkStart w:id="1072" w:name="_Toc365967067"/>
      <w:bookmarkStart w:id="1073" w:name="_Toc340677064"/>
      <w:bookmarkStart w:id="1074" w:name="_Toc333935681"/>
      <w:bookmarkStart w:id="1075" w:name="_Toc339020227"/>
      <w:bookmarkStart w:id="1076" w:name="_Toc340507436"/>
      <w:bookmarkStart w:id="1077" w:name="_Toc333237671"/>
      <w:bookmarkStart w:id="1078" w:name="_Toc339020009"/>
      <w:bookmarkStart w:id="1079" w:name="_Toc331684032"/>
      <w:bookmarkStart w:id="1080" w:name="_Toc337632352"/>
      <w:bookmarkStart w:id="1081" w:name="_Toc341348332"/>
      <w:bookmarkStart w:id="1082" w:name="_Toc13495"/>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招标代理机构在招标文件中规定的时间和地点公开开标。开标会由招标代理机构主持。投标人代表均需按时参加开标会。参加开标的投标人代表应签名报到以证明其出席。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招标代理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唱标结束后，招标代理机构将做唱标记录，并按规定在唱标记录上签字。</w:t>
      </w:r>
    </w:p>
    <w:p>
      <w:pPr>
        <w:pStyle w:val="5"/>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37632353"/>
      <w:bookmarkStart w:id="1084" w:name="_Toc339020010"/>
      <w:bookmarkStart w:id="1085" w:name="_Toc349127621"/>
      <w:bookmarkStart w:id="1086" w:name="_Toc339441082"/>
      <w:bookmarkStart w:id="1087" w:name="_Toc342296755"/>
      <w:bookmarkStart w:id="1088" w:name="_Toc350756445"/>
      <w:bookmarkStart w:id="1089" w:name="_Toc332206703"/>
      <w:bookmarkStart w:id="1090" w:name="_Toc365967068"/>
      <w:bookmarkStart w:id="1091" w:name="_Toc4306"/>
      <w:bookmarkStart w:id="1092" w:name="_Toc339020090"/>
      <w:bookmarkStart w:id="1093" w:name="_Toc350438744"/>
      <w:bookmarkStart w:id="1094" w:name="_Toc339020228"/>
      <w:bookmarkStart w:id="1095" w:name="_Toc333935682"/>
      <w:bookmarkStart w:id="1096" w:name="_Toc336681575"/>
      <w:bookmarkStart w:id="1097" w:name="_Toc345513862"/>
      <w:bookmarkStart w:id="1098" w:name="_Toc365985174"/>
      <w:bookmarkStart w:id="1099" w:name="_Toc332270341"/>
      <w:bookmarkStart w:id="1100" w:name="_Toc333935341"/>
      <w:bookmarkStart w:id="1101" w:name="_Toc339019884"/>
      <w:bookmarkStart w:id="1102" w:name="_Toc339362295"/>
      <w:bookmarkStart w:id="1103" w:name="_Toc336681930"/>
      <w:bookmarkStart w:id="1104" w:name="_Toc331684033"/>
      <w:bookmarkStart w:id="1105" w:name="_Toc333237672"/>
      <w:bookmarkStart w:id="1106" w:name="_Toc341348333"/>
      <w:bookmarkStart w:id="1107" w:name="_Toc331512893"/>
      <w:bookmarkStart w:id="1108" w:name="_Toc503785424"/>
      <w:bookmarkStart w:id="1109" w:name="_Toc374454595"/>
      <w:bookmarkStart w:id="1110" w:name="_Toc349143584"/>
      <w:bookmarkStart w:id="1111" w:name="_Toc333238628"/>
      <w:bookmarkStart w:id="1112" w:name="_Toc340507437"/>
      <w:bookmarkStart w:id="1113" w:name="_Toc340677065"/>
      <w:bookmarkStart w:id="1114" w:name="_Toc497224222"/>
      <w:bookmarkStart w:id="1115" w:name="_Toc333237783"/>
      <w:bookmarkStart w:id="1116" w:name="_Toc330459980"/>
      <w:bookmarkStart w:id="1117" w:name="_Toc342060369"/>
      <w:bookmarkStart w:id="1118" w:name="_Toc340672864"/>
      <w:bookmarkStart w:id="1119" w:name="_Toc366072523"/>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2"/>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39020091"/>
      <w:bookmarkStart w:id="1121" w:name="_Toc337632354"/>
      <w:bookmarkStart w:id="1122" w:name="_Toc340507438"/>
      <w:bookmarkStart w:id="1123" w:name="_Toc336681576"/>
      <w:bookmarkStart w:id="1124" w:name="_Toc350438745"/>
      <w:bookmarkStart w:id="1125" w:name="_Toc332206704"/>
      <w:bookmarkStart w:id="1126" w:name="_Toc350756446"/>
      <w:bookmarkStart w:id="1127" w:name="_Toc503785425"/>
      <w:bookmarkStart w:id="1128" w:name="_Toc366072524"/>
      <w:bookmarkStart w:id="1129" w:name="_Toc333935683"/>
      <w:bookmarkStart w:id="1130" w:name="_Toc339020229"/>
      <w:bookmarkStart w:id="1131" w:name="_Toc336681931"/>
      <w:bookmarkStart w:id="1132" w:name="_Toc333237673"/>
      <w:bookmarkStart w:id="1133" w:name="_Toc365967069"/>
      <w:bookmarkStart w:id="1134" w:name="_Toc349127622"/>
      <w:bookmarkStart w:id="1135" w:name="_Toc497224223"/>
      <w:bookmarkStart w:id="1136" w:name="_Toc341348334"/>
      <w:bookmarkStart w:id="1137" w:name="_Toc340672865"/>
      <w:bookmarkStart w:id="1138" w:name="_Toc339019885"/>
      <w:bookmarkStart w:id="1139" w:name="_Toc365985175"/>
      <w:bookmarkStart w:id="1140" w:name="_Toc332270342"/>
      <w:bookmarkStart w:id="1141" w:name="_Toc330459981"/>
      <w:bookmarkStart w:id="1142" w:name="_Toc333935342"/>
      <w:bookmarkStart w:id="1143" w:name="_Toc339362296"/>
      <w:bookmarkStart w:id="1144" w:name="_Toc333237784"/>
      <w:bookmarkStart w:id="1145" w:name="_Toc333238629"/>
      <w:bookmarkStart w:id="1146" w:name="_Toc340677066"/>
      <w:bookmarkStart w:id="1147" w:name="_Toc374454596"/>
      <w:bookmarkStart w:id="1148" w:name="_Toc342296756"/>
      <w:bookmarkStart w:id="1149" w:name="_Toc331512894"/>
      <w:bookmarkStart w:id="1150" w:name="_Toc342060370"/>
      <w:bookmarkStart w:id="1151" w:name="_Toc345513863"/>
      <w:bookmarkStart w:id="1152" w:name="_Toc339020011"/>
      <w:bookmarkStart w:id="1153" w:name="_Toc349143585"/>
      <w:bookmarkStart w:id="1154" w:name="_Toc14817"/>
      <w:bookmarkStart w:id="1155" w:name="_Toc331684034"/>
      <w:bookmarkStart w:id="1156" w:name="_Toc339441083"/>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是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投标文件附有招标人或招标代理机构不能接受的条件的；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36681577"/>
      <w:bookmarkStart w:id="1158" w:name="_Toc332206705"/>
      <w:bookmarkStart w:id="1159" w:name="_Toc331512895"/>
      <w:bookmarkStart w:id="1160" w:name="_Toc366072525"/>
      <w:bookmarkStart w:id="1161" w:name="_Toc332270343"/>
      <w:bookmarkStart w:id="1162" w:name="_Toc333935343"/>
      <w:bookmarkStart w:id="1163" w:name="_Toc340677067"/>
      <w:bookmarkStart w:id="1164" w:name="_Toc339441084"/>
      <w:bookmarkStart w:id="1165" w:name="_Toc339020092"/>
      <w:bookmarkStart w:id="1166" w:name="_Toc336681932"/>
      <w:bookmarkStart w:id="1167" w:name="_Toc339020012"/>
      <w:bookmarkStart w:id="1168" w:name="_Toc349127623"/>
      <w:bookmarkStart w:id="1169" w:name="_Toc345513864"/>
      <w:bookmarkStart w:id="1170" w:name="_Toc333935684"/>
      <w:bookmarkStart w:id="1171" w:name="_Toc349143586"/>
      <w:bookmarkStart w:id="1172" w:name="_Toc337632355"/>
      <w:bookmarkStart w:id="1173" w:name="_Toc350756447"/>
      <w:bookmarkStart w:id="1174" w:name="_Toc330459982"/>
      <w:bookmarkStart w:id="1175" w:name="_Toc18430"/>
      <w:bookmarkStart w:id="1176" w:name="_Toc374454597"/>
      <w:bookmarkStart w:id="1177" w:name="_Toc331684035"/>
      <w:bookmarkStart w:id="1178" w:name="_Toc350438746"/>
      <w:bookmarkStart w:id="1179" w:name="_Toc365985176"/>
      <w:bookmarkStart w:id="1180" w:name="_Toc333238630"/>
      <w:bookmarkStart w:id="1181" w:name="_Toc333237785"/>
      <w:bookmarkStart w:id="1182" w:name="_Toc342296757"/>
      <w:bookmarkStart w:id="1183" w:name="_Toc365967070"/>
      <w:bookmarkStart w:id="1184" w:name="_Toc342060371"/>
      <w:bookmarkStart w:id="1185" w:name="_Toc339020230"/>
      <w:bookmarkStart w:id="1186" w:name="_Toc339362297"/>
      <w:bookmarkStart w:id="1187" w:name="_Toc333237674"/>
      <w:bookmarkStart w:id="1188" w:name="_Toc340507439"/>
      <w:bookmarkStart w:id="1189" w:name="_Toc339019886"/>
      <w:bookmarkStart w:id="1190" w:name="_Toc340672866"/>
      <w:bookmarkStart w:id="1191" w:name="_Toc341348335"/>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还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349127624"/>
      <w:bookmarkStart w:id="1193" w:name="_Toc497224224"/>
      <w:bookmarkStart w:id="1194" w:name="_Toc350756448"/>
      <w:bookmarkStart w:id="1195" w:name="_Toc333237786"/>
      <w:bookmarkStart w:id="1196" w:name="_Toc340677068"/>
      <w:bookmarkStart w:id="1197" w:name="_Toc349143587"/>
      <w:bookmarkStart w:id="1198" w:name="_Toc339441085"/>
      <w:bookmarkStart w:id="1199" w:name="_Toc333238631"/>
      <w:bookmarkStart w:id="1200" w:name="_Toc331512896"/>
      <w:bookmarkStart w:id="1201" w:name="_Toc365985177"/>
      <w:bookmarkStart w:id="1202" w:name="_Toc339020093"/>
      <w:bookmarkStart w:id="1203" w:name="_Toc340507440"/>
      <w:bookmarkStart w:id="1204" w:name="_Toc503785426"/>
      <w:bookmarkStart w:id="1205" w:name="_Toc342296758"/>
      <w:bookmarkStart w:id="1206" w:name="_Toc331684036"/>
      <w:bookmarkStart w:id="1207" w:name="_Toc374454598"/>
      <w:bookmarkStart w:id="1208" w:name="_Toc336681578"/>
      <w:bookmarkStart w:id="1209" w:name="_Toc341348336"/>
      <w:bookmarkStart w:id="1210" w:name="_Toc333935685"/>
      <w:bookmarkStart w:id="1211" w:name="_Toc339019887"/>
      <w:bookmarkStart w:id="1212" w:name="_Toc339020231"/>
      <w:bookmarkStart w:id="1213" w:name="_Toc333237675"/>
      <w:bookmarkStart w:id="1214" w:name="_Toc342060372"/>
      <w:bookmarkStart w:id="1215" w:name="_Toc337632356"/>
      <w:bookmarkStart w:id="1216" w:name="_Toc336681933"/>
      <w:bookmarkStart w:id="1217" w:name="_Toc333935344"/>
      <w:bookmarkStart w:id="1218" w:name="_Toc32119"/>
      <w:bookmarkStart w:id="1219" w:name="_Toc330459983"/>
      <w:bookmarkStart w:id="1220" w:name="_Toc332206706"/>
      <w:bookmarkStart w:id="1221" w:name="_Toc365967071"/>
      <w:bookmarkStart w:id="1222" w:name="_Toc366072526"/>
      <w:bookmarkStart w:id="1223" w:name="_Toc345513865"/>
      <w:bookmarkStart w:id="1224" w:name="_Toc332270344"/>
      <w:bookmarkStart w:id="1225" w:name="_Toc350438747"/>
      <w:bookmarkStart w:id="1226" w:name="_Toc340672867"/>
      <w:bookmarkStart w:id="1227" w:name="_Toc339362298"/>
      <w:bookmarkStart w:id="1228" w:name="_Toc339020013"/>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为了有助于对投标文件进行审查、评估和比较，评标委员会有权向投标人质疑，请投标人澄清其投标内容。投标人有责任按照招标代理机构通知的时间、地点指派专人进行答疑和澄清。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招标代理机构和评标委员会以提醒招标代理机构和评标委员会注意，则应以书面形式提交。</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45513866"/>
      <w:bookmarkStart w:id="1230" w:name="_Toc349127625"/>
      <w:bookmarkStart w:id="1231" w:name="_Toc339019888"/>
      <w:bookmarkStart w:id="1232" w:name="_Toc341348337"/>
      <w:bookmarkStart w:id="1233" w:name="_Toc339362299"/>
      <w:bookmarkStart w:id="1234" w:name="_Toc339020014"/>
      <w:bookmarkStart w:id="1235" w:name="_Toc340672868"/>
      <w:bookmarkStart w:id="1236" w:name="_Toc333238632"/>
      <w:bookmarkStart w:id="1237" w:name="_Toc349143588"/>
      <w:bookmarkStart w:id="1238" w:name="_Toc350438748"/>
      <w:bookmarkStart w:id="1239" w:name="_Toc336681934"/>
      <w:bookmarkStart w:id="1240" w:name="_Toc333935345"/>
      <w:bookmarkStart w:id="1241" w:name="_Toc333237787"/>
      <w:bookmarkStart w:id="1242" w:name="_Toc374454599"/>
      <w:bookmarkStart w:id="1243" w:name="_Toc365967072"/>
      <w:bookmarkStart w:id="1244" w:name="_Toc339020094"/>
      <w:bookmarkStart w:id="1245" w:name="_Toc340507441"/>
      <w:bookmarkStart w:id="1246" w:name="_Toc333935686"/>
      <w:bookmarkStart w:id="1247" w:name="_Toc366072527"/>
      <w:bookmarkStart w:id="1248" w:name="_Toc330459984"/>
      <w:bookmarkStart w:id="1249" w:name="_Toc336681579"/>
      <w:bookmarkStart w:id="1250" w:name="_Toc339020232"/>
      <w:bookmarkStart w:id="1251" w:name="_Toc332206707"/>
      <w:bookmarkStart w:id="1252" w:name="_Toc339441086"/>
      <w:bookmarkStart w:id="1253" w:name="_Toc331512897"/>
      <w:bookmarkStart w:id="1254" w:name="_Toc332270345"/>
      <w:bookmarkStart w:id="1255" w:name="_Toc337632357"/>
      <w:bookmarkStart w:id="1256" w:name="_Toc342060373"/>
      <w:bookmarkStart w:id="1257" w:name="_Toc340677069"/>
      <w:bookmarkStart w:id="1258" w:name="_Toc342296759"/>
      <w:bookmarkStart w:id="1259" w:name="_Toc365985178"/>
      <w:bookmarkStart w:id="1260" w:name="_Toc350756449"/>
      <w:bookmarkStart w:id="1261" w:name="_Toc333237676"/>
      <w:bookmarkStart w:id="1262" w:name="_Toc331684037"/>
      <w:bookmarkStart w:id="1263" w:name="_Toc2703"/>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33935346"/>
      <w:bookmarkStart w:id="1265" w:name="_Toc345513867"/>
      <w:bookmarkStart w:id="1266" w:name="_Toc339020015"/>
      <w:bookmarkStart w:id="1267" w:name="_Toc330459985"/>
      <w:bookmarkStart w:id="1268" w:name="_Toc340672869"/>
      <w:bookmarkStart w:id="1269" w:name="_Toc365967073"/>
      <w:bookmarkStart w:id="1270" w:name="_Toc337632358"/>
      <w:bookmarkStart w:id="1271" w:name="_Toc366072528"/>
      <w:bookmarkStart w:id="1272" w:name="_Toc341348338"/>
      <w:bookmarkStart w:id="1273" w:name="_Toc331512898"/>
      <w:bookmarkStart w:id="1274" w:name="_Toc374454600"/>
      <w:bookmarkStart w:id="1275" w:name="_Toc349127626"/>
      <w:bookmarkStart w:id="1276" w:name="_Toc333237677"/>
      <w:bookmarkStart w:id="1277" w:name="_Toc349143589"/>
      <w:bookmarkStart w:id="1278" w:name="_Toc333238633"/>
      <w:bookmarkStart w:id="1279" w:name="_Toc350438749"/>
      <w:bookmarkStart w:id="1280" w:name="_Toc339441087"/>
      <w:bookmarkStart w:id="1281" w:name="_Toc333935687"/>
      <w:bookmarkStart w:id="1282" w:name="_Toc339019889"/>
      <w:bookmarkStart w:id="1283" w:name="_Toc332206708"/>
      <w:bookmarkStart w:id="1284" w:name="_Toc339362300"/>
      <w:bookmarkStart w:id="1285" w:name="_Toc332270346"/>
      <w:bookmarkStart w:id="1286" w:name="_Toc365985179"/>
      <w:bookmarkStart w:id="1287" w:name="_Toc342296760"/>
      <w:bookmarkStart w:id="1288" w:name="_Toc350756450"/>
      <w:bookmarkStart w:id="1289" w:name="_Toc336681580"/>
      <w:bookmarkStart w:id="1290" w:name="_Toc339020233"/>
      <w:bookmarkStart w:id="1291" w:name="_Toc331684038"/>
      <w:bookmarkStart w:id="1292" w:name="_Toc340677070"/>
      <w:bookmarkStart w:id="1293" w:name="_Toc333237788"/>
      <w:bookmarkStart w:id="1294" w:name="_Toc342060374"/>
      <w:bookmarkStart w:id="1295" w:name="_Toc336681935"/>
      <w:bookmarkStart w:id="1296" w:name="_Toc340507442"/>
      <w:bookmarkStart w:id="1297" w:name="_Toc339020095"/>
      <w:bookmarkStart w:id="1298" w:name="_Toc13290"/>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497707712"/>
      <w:bookmarkStart w:id="1300" w:name="_Toc500953375"/>
      <w:bookmarkStart w:id="1301" w:name="_Toc500861023"/>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327368025"/>
      <w:bookmarkStart w:id="1303" w:name="_Toc31329"/>
      <w:bookmarkStart w:id="1304" w:name="_Toc327367761"/>
      <w:bookmarkStart w:id="1305" w:name="_Toc366072529"/>
      <w:bookmarkStart w:id="1306" w:name="_Toc339020234"/>
      <w:bookmarkStart w:id="1307" w:name="_Toc336681936"/>
      <w:bookmarkStart w:id="1308" w:name="_Toc342060375"/>
      <w:bookmarkStart w:id="1309" w:name="_Toc332270347"/>
      <w:bookmarkStart w:id="1310" w:name="_Toc332206709"/>
      <w:bookmarkStart w:id="1311" w:name="_Toc339019890"/>
      <w:bookmarkStart w:id="1312" w:name="_Toc337632359"/>
      <w:bookmarkStart w:id="1313" w:name="_Toc339020096"/>
      <w:bookmarkStart w:id="1314" w:name="_Toc339020016"/>
      <w:bookmarkStart w:id="1315" w:name="_Toc345513902"/>
      <w:bookmarkStart w:id="1316" w:name="_Toc333238634"/>
      <w:bookmarkStart w:id="1317" w:name="_Toc333237789"/>
      <w:bookmarkStart w:id="1318" w:name="_Toc333935347"/>
      <w:bookmarkStart w:id="1319" w:name="_Toc340672870"/>
      <w:bookmarkStart w:id="1320" w:name="_Toc330459986"/>
      <w:bookmarkStart w:id="1321" w:name="_Toc340507443"/>
      <w:bookmarkStart w:id="1322" w:name="_Toc339441088"/>
      <w:bookmarkStart w:id="1323" w:name="_Toc341348339"/>
      <w:bookmarkStart w:id="1324" w:name="_Toc333935688"/>
      <w:bookmarkStart w:id="1325" w:name="_Toc342296761"/>
      <w:bookmarkStart w:id="1326" w:name="_Toc331512899"/>
      <w:bookmarkStart w:id="1327" w:name="_Toc331684039"/>
      <w:bookmarkStart w:id="1328" w:name="_Toc333237678"/>
      <w:bookmarkStart w:id="1329" w:name="_Toc340677071"/>
      <w:bookmarkStart w:id="1330" w:name="_Toc336681581"/>
      <w:bookmarkStart w:id="1331" w:name="_Toc339362301"/>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26066260"/>
      <w:bookmarkStart w:id="1333" w:name="_Toc500861027"/>
      <w:bookmarkStart w:id="1334" w:name="_Toc6727972"/>
      <w:bookmarkStart w:id="1335" w:name="_Toc6397151"/>
      <w:bookmarkStart w:id="1336" w:name="_Toc491658680"/>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49143591"/>
      <w:bookmarkStart w:id="1338" w:name="_Toc333237790"/>
      <w:bookmarkStart w:id="1339" w:name="_Toc331684040"/>
      <w:bookmarkStart w:id="1340" w:name="_Toc339020097"/>
      <w:bookmarkStart w:id="1341" w:name="_Toc333238635"/>
      <w:bookmarkStart w:id="1342" w:name="_Toc336681582"/>
      <w:bookmarkStart w:id="1343" w:name="_Toc339441089"/>
      <w:bookmarkStart w:id="1344" w:name="_Toc332270348"/>
      <w:bookmarkStart w:id="1345" w:name="_Toc337632360"/>
      <w:bookmarkStart w:id="1346" w:name="_Toc333935348"/>
      <w:bookmarkStart w:id="1347" w:name="_Toc333237679"/>
      <w:bookmarkStart w:id="1348" w:name="_Toc345513903"/>
      <w:bookmarkStart w:id="1349" w:name="_Toc330459987"/>
      <w:bookmarkStart w:id="1350" w:name="_Toc530"/>
      <w:bookmarkStart w:id="1351" w:name="_Toc332206710"/>
      <w:bookmarkStart w:id="1352" w:name="_Toc350756452"/>
      <w:bookmarkStart w:id="1353" w:name="_Toc366072530"/>
      <w:bookmarkStart w:id="1354" w:name="_Toc349127628"/>
      <w:bookmarkStart w:id="1355" w:name="_Toc339020235"/>
      <w:bookmarkStart w:id="1356" w:name="_Toc339020017"/>
      <w:bookmarkStart w:id="1357" w:name="_Toc342060376"/>
      <w:bookmarkStart w:id="1358" w:name="_Toc340677072"/>
      <w:bookmarkStart w:id="1359" w:name="_Toc340672871"/>
      <w:bookmarkStart w:id="1360" w:name="_Toc339362302"/>
      <w:bookmarkStart w:id="1361" w:name="_Toc331512900"/>
      <w:bookmarkStart w:id="1362" w:name="_Toc336681937"/>
      <w:bookmarkStart w:id="1363" w:name="_Toc341348340"/>
      <w:bookmarkStart w:id="1364" w:name="_Toc365967074"/>
      <w:bookmarkStart w:id="1365" w:name="_Toc340507444"/>
      <w:bookmarkStart w:id="1366" w:name="_Toc333935689"/>
      <w:bookmarkStart w:id="1367" w:name="_Toc342296762"/>
      <w:bookmarkStart w:id="1368" w:name="_Toc365985180"/>
      <w:bookmarkStart w:id="1369" w:name="_Toc350438751"/>
      <w:bookmarkStart w:id="1370" w:name="_Toc374454602"/>
      <w:bookmarkStart w:id="1371" w:name="_Toc339019891"/>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评标委员会经评审认为所有投标都不符合招标文件要求的，或所有投标报价均超过预算价且招标人无法支付的，有权否决所有投标。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招标代理机构将重新组织招标或采用政府采购管理部门依法批准的其他政府采购方式进行采购。</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366072531"/>
      <w:bookmarkStart w:id="1373" w:name="_Toc12721"/>
      <w:bookmarkStart w:id="1374" w:name="_Toc374454603"/>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招标人或其授权的评标委员会应按照评标报告中推荐的中标候选投标人排名顺序确定中标投标人。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。发布中标结果公告的同时，招标代理机构向中标投标人发出中标通知书。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未中标投标人，招标代理机构不再以其它方式另行通知。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中标通知书发出后，招标人改变中标结果，或者中标投标人放弃中标，应当承担相应的法律责任。</w:t>
      </w:r>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374454604"/>
      <w:bookmarkStart w:id="1377" w:name="_Toc1779"/>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40672874"/>
      <w:bookmarkStart w:id="1379" w:name="_Toc331512903"/>
      <w:bookmarkStart w:id="1380" w:name="_Toc365985183"/>
      <w:bookmarkStart w:id="1381" w:name="_Toc333935351"/>
      <w:bookmarkStart w:id="1382" w:name="_Toc350756455"/>
      <w:bookmarkStart w:id="1383" w:name="_Toc345513906"/>
      <w:bookmarkStart w:id="1384" w:name="_Toc339019894"/>
      <w:bookmarkStart w:id="1385" w:name="_Toc349143594"/>
      <w:bookmarkStart w:id="1386" w:name="_Toc336681585"/>
      <w:bookmarkStart w:id="1387" w:name="_Toc333237682"/>
      <w:bookmarkStart w:id="1388" w:name="_Toc339441092"/>
      <w:bookmarkStart w:id="1389" w:name="_Toc339362305"/>
      <w:bookmarkStart w:id="1390" w:name="_Toc336681940"/>
      <w:bookmarkStart w:id="1391" w:name="_Toc339020238"/>
      <w:bookmarkStart w:id="1392" w:name="_Toc339020100"/>
      <w:bookmarkStart w:id="1393" w:name="_Toc341348343"/>
      <w:bookmarkStart w:id="1394" w:name="_Toc365967077"/>
      <w:bookmarkStart w:id="1395" w:name="_Toc339020020"/>
      <w:bookmarkStart w:id="1396" w:name="_Toc332206713"/>
      <w:bookmarkStart w:id="1397" w:name="_Toc349127631"/>
      <w:bookmarkStart w:id="1398" w:name="_Toc342296765"/>
      <w:bookmarkStart w:id="1399" w:name="_Toc350438754"/>
      <w:bookmarkStart w:id="1400" w:name="_Toc340677075"/>
      <w:bookmarkStart w:id="1401" w:name="_Toc330459990"/>
      <w:bookmarkStart w:id="1402" w:name="_Toc333935692"/>
      <w:bookmarkStart w:id="1403" w:name="_Toc332270351"/>
      <w:bookmarkStart w:id="1404" w:name="_Toc331684043"/>
      <w:bookmarkStart w:id="1405" w:name="_Toc340507447"/>
      <w:bookmarkStart w:id="1406" w:name="_Toc333237793"/>
      <w:bookmarkStart w:id="1407" w:name="_Toc337632363"/>
      <w:bookmarkStart w:id="1408" w:name="_Toc333238638"/>
      <w:bookmarkStart w:id="1409" w:name="_Toc342060379"/>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投标人对中标公告有异议的，应当在中标结果公告发布之日起七个工作日内，以书面形式向招标人或招标代理机构提出质疑。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招标人或招标代理机构应当在收到投标投标人书面质疑后七个工作日内，对质疑内容作出答复。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投标人对招标人或招标代理机构的答复不满意或者招标人、招标代理机构未在规定时间内答复的，可以在答复期满后十五个工作日内按有关规定，向同级人民政府财政部门投诉。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29247"/>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331512904"/>
      <w:bookmarkStart w:id="1414" w:name="_Toc480010727"/>
      <w:bookmarkStart w:id="1415" w:name="_Toc480020276"/>
      <w:bookmarkStart w:id="1416" w:name="_Toc332206714"/>
      <w:bookmarkStart w:id="1417" w:name="_Toc331684044"/>
      <w:bookmarkStart w:id="1418" w:name="_Toc342296766"/>
      <w:bookmarkStart w:id="1419" w:name="_Toc339441093"/>
      <w:bookmarkStart w:id="1420" w:name="_Toc339020101"/>
      <w:bookmarkStart w:id="1421" w:name="_Toc468157555"/>
      <w:bookmarkStart w:id="1422" w:name="_Toc336681586"/>
      <w:bookmarkStart w:id="1423" w:name="_Toc340672875"/>
      <w:bookmarkStart w:id="1424" w:name="_Toc500861016"/>
      <w:bookmarkStart w:id="1425" w:name="_Toc467236759"/>
      <w:bookmarkStart w:id="1426" w:name="_Toc339362306"/>
      <w:bookmarkStart w:id="1427" w:name="_Toc333238639"/>
      <w:bookmarkStart w:id="1428" w:name="_Toc340677076"/>
      <w:bookmarkStart w:id="1429" w:name="_Toc339020239"/>
      <w:bookmarkStart w:id="1430" w:name="_Toc349127632"/>
      <w:bookmarkStart w:id="1431" w:name="_Toc333237683"/>
      <w:bookmarkStart w:id="1432" w:name="_Toc341348344"/>
      <w:bookmarkStart w:id="1433" w:name="_Toc336681941"/>
      <w:bookmarkStart w:id="1434" w:name="_Toc340507448"/>
      <w:bookmarkStart w:id="1435" w:name="_Toc330459991"/>
      <w:bookmarkStart w:id="1436" w:name="_Toc333935352"/>
      <w:bookmarkStart w:id="1437" w:name="_Toc350438755"/>
      <w:bookmarkStart w:id="1438" w:name="_Toc491658670"/>
      <w:bookmarkStart w:id="1439" w:name="_Toc339020021"/>
      <w:bookmarkStart w:id="1440" w:name="_Toc345513907"/>
      <w:bookmarkStart w:id="1441" w:name="_Toc350756456"/>
      <w:bookmarkStart w:id="1442" w:name="_Toc479991601"/>
      <w:bookmarkStart w:id="1443" w:name="_Toc365985184"/>
      <w:bookmarkStart w:id="1444" w:name="_Toc333935693"/>
      <w:bookmarkStart w:id="1445" w:name="_Toc374454606"/>
      <w:bookmarkStart w:id="1446" w:name="_Toc342060380"/>
      <w:bookmarkStart w:id="1447" w:name="_Toc332270352"/>
      <w:bookmarkStart w:id="1448" w:name="_Toc339019895"/>
      <w:bookmarkStart w:id="1449" w:name="_Toc480021072"/>
      <w:bookmarkStart w:id="1450" w:name="_Toc26836"/>
      <w:bookmarkStart w:id="1451" w:name="_Toc366072534"/>
      <w:bookmarkStart w:id="1452" w:name="_Toc349143595"/>
      <w:bookmarkStart w:id="1453" w:name="_Toc365967078"/>
      <w:bookmarkStart w:id="1454" w:name="_Toc468606048"/>
      <w:bookmarkStart w:id="1455" w:name="_Toc467987842"/>
      <w:bookmarkStart w:id="1456" w:name="_Toc333237794"/>
      <w:bookmarkStart w:id="1457" w:name="_Toc337632364"/>
      <w:bookmarkStart w:id="1458" w:name="_Toc454701400"/>
      <w:bookmarkStart w:id="1459" w:name="_Toc458262633"/>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按第30条规定，招标人将把合同授予此次招标的中标投标人。</w:t>
      </w:r>
    </w:p>
    <w:bookmarkEnd w:id="1458"/>
    <w:bookmarkEnd w:id="1459"/>
    <w:p>
      <w:pPr>
        <w:pStyle w:val="5"/>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349127633"/>
      <w:bookmarkStart w:id="1461" w:name="_Toc339020102"/>
      <w:bookmarkStart w:id="1462" w:name="_Toc331512905"/>
      <w:bookmarkStart w:id="1463" w:name="_Toc340672876"/>
      <w:bookmarkStart w:id="1464" w:name="_Toc333237684"/>
      <w:bookmarkStart w:id="1465" w:name="_Toc480021076"/>
      <w:bookmarkStart w:id="1466" w:name="_Toc333935694"/>
      <w:bookmarkStart w:id="1467" w:name="_Toc468157559"/>
      <w:bookmarkStart w:id="1468" w:name="_Toc330459992"/>
      <w:bookmarkStart w:id="1469" w:name="_Toc342060381"/>
      <w:bookmarkStart w:id="1470" w:name="_Toc340507449"/>
      <w:bookmarkStart w:id="1471" w:name="_Toc349143596"/>
      <w:bookmarkStart w:id="1472" w:name="_Toc340677077"/>
      <w:bookmarkStart w:id="1473" w:name="_Toc342296767"/>
      <w:bookmarkStart w:id="1474" w:name="_Toc374454607"/>
      <w:bookmarkStart w:id="1475" w:name="_Toc333935353"/>
      <w:bookmarkStart w:id="1476" w:name="_Toc467987846"/>
      <w:bookmarkStart w:id="1477" w:name="_Toc336681587"/>
      <w:bookmarkStart w:id="1478" w:name="_Toc480020280"/>
      <w:bookmarkStart w:id="1479" w:name="_Toc500861020"/>
      <w:bookmarkStart w:id="1480" w:name="_Toc333237795"/>
      <w:bookmarkStart w:id="1481" w:name="_Toc332206715"/>
      <w:bookmarkStart w:id="1482" w:name="_Toc467236763"/>
      <w:bookmarkStart w:id="1483" w:name="_Toc365985185"/>
      <w:bookmarkStart w:id="1484" w:name="_Toc350438756"/>
      <w:bookmarkStart w:id="1485" w:name="_Toc336681942"/>
      <w:bookmarkStart w:id="1486" w:name="_Toc458262635"/>
      <w:bookmarkStart w:id="1487" w:name="_Toc365967079"/>
      <w:bookmarkStart w:id="1488" w:name="_Toc468606052"/>
      <w:bookmarkStart w:id="1489" w:name="_Toc350756457"/>
      <w:bookmarkStart w:id="1490" w:name="_Toc333238640"/>
      <w:bookmarkStart w:id="1491" w:name="_Toc341348345"/>
      <w:bookmarkStart w:id="1492" w:name="_Toc366072535"/>
      <w:bookmarkStart w:id="1493" w:name="_Toc345513908"/>
      <w:bookmarkStart w:id="1494" w:name="_Toc339020022"/>
      <w:bookmarkStart w:id="1495" w:name="_Toc339019896"/>
      <w:bookmarkStart w:id="1496" w:name="_Toc491658674"/>
      <w:bookmarkStart w:id="1497" w:name="_Toc480010731"/>
      <w:bookmarkStart w:id="1498" w:name="_Toc479991605"/>
      <w:bookmarkStart w:id="1499" w:name="_Toc11931"/>
      <w:bookmarkStart w:id="1500" w:name="_Toc339020240"/>
      <w:bookmarkStart w:id="1501" w:name="_Toc339362307"/>
      <w:bookmarkStart w:id="1502" w:name="_Toc332270353"/>
      <w:bookmarkStart w:id="1503" w:name="_Toc339441094"/>
      <w:bookmarkStart w:id="1504" w:name="_Toc454701402"/>
      <w:bookmarkStart w:id="1505" w:name="_Toc337632365"/>
      <w:bookmarkStart w:id="1506" w:name="_Toc331684045"/>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67095382"/>
      <w:bookmarkStart w:id="1508" w:name="_Toc370983962"/>
      <w:bookmarkStart w:id="1509" w:name="_Toc383069738"/>
      <w:bookmarkStart w:id="1510" w:name="_Toc373401413"/>
      <w:bookmarkStart w:id="1511" w:name="_Toc370309169"/>
      <w:bookmarkStart w:id="1512" w:name="_Toc374093632"/>
      <w:bookmarkStart w:id="1513" w:name="_Toc366681897"/>
      <w:bookmarkStart w:id="1514" w:name="_Toc366072536"/>
      <w:bookmarkStart w:id="1515" w:name="_Toc374454608"/>
      <w:bookmarkStart w:id="1516" w:name="_Toc378261823"/>
      <w:bookmarkStart w:id="1517" w:name="_Toc369700990"/>
      <w:bookmarkStart w:id="1518" w:name="_Toc377129068"/>
      <w:bookmarkStart w:id="1519" w:name="_Toc372209289"/>
      <w:bookmarkStart w:id="1520" w:name="_Toc379896705"/>
      <w:bookmarkStart w:id="1521" w:name="_Toc333237685"/>
      <w:bookmarkStart w:id="1522" w:name="_Toc333935354"/>
      <w:bookmarkStart w:id="1523" w:name="_Toc339019897"/>
      <w:bookmarkStart w:id="1524" w:name="_Toc340677078"/>
      <w:bookmarkStart w:id="1525" w:name="_Toc341348346"/>
      <w:bookmarkStart w:id="1526" w:name="_Toc342060382"/>
      <w:bookmarkStart w:id="1527" w:name="_Toc365967080"/>
      <w:bookmarkStart w:id="1528" w:name="_Toc336681588"/>
      <w:bookmarkStart w:id="1529" w:name="_Toc339020023"/>
      <w:bookmarkStart w:id="1530" w:name="_Toc349127634"/>
      <w:bookmarkStart w:id="1531" w:name="_Toc339362308"/>
      <w:bookmarkStart w:id="1532" w:name="_Toc342296768"/>
      <w:bookmarkStart w:id="1533" w:name="_Toc345513909"/>
      <w:bookmarkStart w:id="1534" w:name="_Toc365985186"/>
      <w:bookmarkStart w:id="1535" w:name="_Toc333238641"/>
      <w:bookmarkStart w:id="1536" w:name="_Toc330459993"/>
      <w:bookmarkStart w:id="1537" w:name="_Toc333935695"/>
      <w:bookmarkStart w:id="1538" w:name="_Toc340507450"/>
      <w:bookmarkStart w:id="1539" w:name="_Toc340672877"/>
      <w:bookmarkStart w:id="1540" w:name="_Toc339441095"/>
      <w:bookmarkStart w:id="1541" w:name="_Toc349143597"/>
      <w:bookmarkStart w:id="1542" w:name="_Toc332206716"/>
      <w:bookmarkStart w:id="1543" w:name="_Toc350438757"/>
      <w:bookmarkStart w:id="1544" w:name="_Toc332270354"/>
      <w:bookmarkStart w:id="1545" w:name="_Toc339020241"/>
      <w:bookmarkStart w:id="1546" w:name="_Toc331512906"/>
      <w:bookmarkStart w:id="1547" w:name="_Toc337632366"/>
      <w:bookmarkStart w:id="1548" w:name="_Toc333237796"/>
      <w:bookmarkStart w:id="1549" w:name="_Toc336681943"/>
      <w:bookmarkStart w:id="1550" w:name="_Toc350756458"/>
      <w:bookmarkStart w:id="1551" w:name="_Toc339020103"/>
      <w:bookmarkStart w:id="1552" w:name="_Toc331684046"/>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招标人应当按照招标文件和中标投标人投标文件的约定，与中标投标人签订书面合同。所签订的合同不得对招标文件和中标投标人投标文件作实质性修改。招标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招标人应当自采购合同签订之日起七个工作日内，按照有关规定将采购合同副本报招标代理机构备案。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hint="eastAsia" w:ascii="宋体" w:hAnsi="宋体"/>
          <w:bCs/>
          <w:color w:val="000000" w:themeColor="text1"/>
          <w:highlight w:val="none"/>
          <w14:textFill>
            <w14:solidFill>
              <w14:schemeClr w14:val="tx1"/>
            </w14:solidFill>
          </w14:textFill>
        </w:rPr>
        <w:t>中标人</w:t>
      </w:r>
      <w:r>
        <w:rPr>
          <w:rFonts w:ascii="宋体" w:hAnsi="宋体"/>
          <w:bCs/>
          <w:color w:val="000000" w:themeColor="text1"/>
          <w:highlight w:val="none"/>
          <w14:textFill>
            <w14:solidFill>
              <w14:schemeClr w14:val="tx1"/>
            </w14:solidFill>
          </w14:textFill>
        </w:rPr>
        <w:t>拒绝与</w:t>
      </w:r>
      <w:r>
        <w:rPr>
          <w:rFonts w:hint="eastAsia" w:ascii="宋体" w:hAnsi="宋体"/>
          <w:bCs/>
          <w:color w:val="000000" w:themeColor="text1"/>
          <w:highlight w:val="none"/>
          <w14:textFill>
            <w14:solidFill>
              <w14:schemeClr w14:val="tx1"/>
            </w14:solidFill>
          </w14:textFill>
        </w:rPr>
        <w:t>招标人</w:t>
      </w:r>
      <w:r>
        <w:rPr>
          <w:rFonts w:ascii="宋体" w:hAnsi="宋体"/>
          <w:bCs/>
          <w:color w:val="000000" w:themeColor="text1"/>
          <w:highlight w:val="none"/>
          <w14:textFill>
            <w14:solidFill>
              <w14:schemeClr w14:val="tx1"/>
            </w14:solidFill>
          </w14:textFill>
        </w:rPr>
        <w:t>签订合同的，</w:t>
      </w:r>
      <w:r>
        <w:rPr>
          <w:rFonts w:hint="eastAsia" w:ascii="宋体" w:hAnsi="宋体"/>
          <w:bCs/>
          <w:color w:val="000000" w:themeColor="text1"/>
          <w:highlight w:val="none"/>
          <w14:textFill>
            <w14:solidFill>
              <w14:schemeClr w14:val="tx1"/>
            </w14:solidFill>
          </w14:textFill>
        </w:rPr>
        <w:t>招标人</w:t>
      </w:r>
      <w:r>
        <w:rPr>
          <w:rFonts w:ascii="宋体" w:hAnsi="宋体"/>
          <w:bCs/>
          <w:color w:val="000000" w:themeColor="text1"/>
          <w:highlight w:val="none"/>
          <w14:textFill>
            <w14:solidFill>
              <w14:schemeClr w14:val="tx1"/>
            </w14:solidFill>
          </w14:textFill>
        </w:rPr>
        <w:t>可以按照评审报告推荐的</w:t>
      </w:r>
      <w:r>
        <w:rPr>
          <w:rFonts w:hint="eastAsia" w:ascii="宋体" w:hAnsi="宋体"/>
          <w:bCs/>
          <w:color w:val="000000" w:themeColor="text1"/>
          <w:highlight w:val="none"/>
          <w14:textFill>
            <w14:solidFill>
              <w14:schemeClr w14:val="tx1"/>
            </w14:solidFill>
          </w14:textFill>
        </w:rPr>
        <w:t>中标人</w:t>
      </w:r>
      <w:r>
        <w:rPr>
          <w:rFonts w:ascii="宋体" w:hAnsi="宋体"/>
          <w:bCs/>
          <w:color w:val="000000" w:themeColor="text1"/>
          <w:highlight w:val="none"/>
          <w14:textFill>
            <w14:solidFill>
              <w14:schemeClr w14:val="tx1"/>
            </w14:solidFill>
          </w14:textFill>
        </w:rPr>
        <w:t>候选人名单排序，确定下一候选人为</w:t>
      </w:r>
      <w:r>
        <w:rPr>
          <w:rFonts w:hint="eastAsia" w:ascii="宋体" w:hAnsi="宋体"/>
          <w:bCs/>
          <w:color w:val="000000" w:themeColor="text1"/>
          <w:highlight w:val="none"/>
          <w14:textFill>
            <w14:solidFill>
              <w14:schemeClr w14:val="tx1"/>
            </w14:solidFill>
          </w14:textFill>
        </w:rPr>
        <w:t>中标人</w:t>
      </w:r>
      <w:r>
        <w:rPr>
          <w:rFonts w:ascii="宋体" w:hAnsi="宋体"/>
          <w:bCs/>
          <w:color w:val="000000" w:themeColor="text1"/>
          <w:highlight w:val="none"/>
          <w14:textFill>
            <w14:solidFill>
              <w14:schemeClr w14:val="tx1"/>
            </w14:solidFill>
          </w14:textFill>
        </w:rPr>
        <w:t>，也可以重新开展采购活动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14:textFill>
            <w14:solidFill>
              <w14:schemeClr w14:val="tx1"/>
            </w14:solidFill>
          </w14:textFill>
        </w:rPr>
      </w:pPr>
      <w:bookmarkStart w:id="1553" w:name="_Toc10207"/>
      <w:bookmarkStart w:id="1554" w:name="_Toc479991608"/>
      <w:bookmarkStart w:id="1555" w:name="_Toc500861024"/>
      <w:bookmarkStart w:id="1556" w:name="_Toc480020283"/>
      <w:bookmarkStart w:id="1557" w:name="_Toc491658677"/>
      <w:bookmarkStart w:id="1558" w:name="_Toc467236766"/>
      <w:bookmarkStart w:id="1559" w:name="_Toc467987849"/>
      <w:bookmarkStart w:id="1560" w:name="_Toc480021079"/>
      <w:bookmarkStart w:id="1561" w:name="_Toc480010734"/>
      <w:bookmarkStart w:id="1562" w:name="_Toc468157562"/>
      <w:bookmarkStart w:id="1563" w:name="_Toc468606055"/>
      <w:r>
        <w:rPr>
          <w:rFonts w:hint="eastAsia"/>
          <w:color w:val="000000" w:themeColor="text1"/>
          <w:sz w:val="24"/>
          <w:highlight w:val="none"/>
          <w14:textFill>
            <w14:solidFill>
              <w14:schemeClr w14:val="tx1"/>
            </w14:solidFill>
          </w14:textFill>
        </w:rPr>
        <w:t>G、评标细则</w:t>
      </w:r>
      <w:bookmarkEnd w:id="1553"/>
    </w:p>
    <w:p>
      <w:pPr>
        <w:pStyle w:val="23"/>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8"/>
        <w:tblW w:w="8874" w:type="dxa"/>
        <w:jc w:val="center"/>
        <w:tblLayout w:type="fixed"/>
        <w:tblCellMar>
          <w:top w:w="0" w:type="dxa"/>
          <w:left w:w="0" w:type="dxa"/>
          <w:bottom w:w="0" w:type="dxa"/>
          <w:right w:w="0" w:type="dxa"/>
        </w:tblCellMar>
      </w:tblPr>
      <w:tblGrid>
        <w:gridCol w:w="2570"/>
        <w:gridCol w:w="2512"/>
        <w:gridCol w:w="1887"/>
        <w:gridCol w:w="1905"/>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评分项目</w:t>
            </w:r>
          </w:p>
        </w:tc>
        <w:tc>
          <w:tcPr>
            <w:tcW w:w="25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技术评分</w:t>
            </w:r>
          </w:p>
        </w:tc>
        <w:tc>
          <w:tcPr>
            <w:tcW w:w="18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商务评分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分值</w:t>
            </w:r>
          </w:p>
        </w:tc>
        <w:tc>
          <w:tcPr>
            <w:tcW w:w="25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40分</w:t>
            </w:r>
          </w:p>
        </w:tc>
        <w:tc>
          <w:tcPr>
            <w:tcW w:w="18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30分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30分</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48"/>
        <w:tblW w:w="9375" w:type="dxa"/>
        <w:jc w:val="center"/>
        <w:shd w:val="clear" w:color="auto" w:fill="FFFFFF"/>
        <w:tblLayout w:type="fixed"/>
        <w:tblCellMar>
          <w:top w:w="0" w:type="dxa"/>
          <w:left w:w="0" w:type="dxa"/>
          <w:bottom w:w="0" w:type="dxa"/>
          <w:right w:w="0" w:type="dxa"/>
        </w:tblCellMar>
      </w:tblPr>
      <w:tblGrid>
        <w:gridCol w:w="833"/>
        <w:gridCol w:w="1358"/>
        <w:gridCol w:w="1059"/>
        <w:gridCol w:w="6125"/>
      </w:tblGrid>
      <w:tr>
        <w:tblPrEx>
          <w:shd w:val="clear" w:color="auto" w:fill="FFFFFF"/>
          <w:tblCellMar>
            <w:top w:w="0" w:type="dxa"/>
            <w:left w:w="0" w:type="dxa"/>
            <w:bottom w:w="0" w:type="dxa"/>
            <w:right w:w="0" w:type="dxa"/>
          </w:tblCellMar>
        </w:tblPrEx>
        <w:trPr>
          <w:cantSplit/>
          <w:trHeight w:val="460" w:hRule="atLeast"/>
          <w:tblHeader/>
          <w:jc w:val="center"/>
        </w:trPr>
        <w:tc>
          <w:tcPr>
            <w:tcW w:w="8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135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评审内容</w:t>
            </w: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分值</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trHeight w:val="2229" w:hRule="atLeast"/>
          <w:jc w:val="center"/>
        </w:trPr>
        <w:tc>
          <w:tcPr>
            <w:tcW w:w="8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35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技术参数</w:t>
            </w:r>
          </w:p>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要求</w:t>
            </w:r>
          </w:p>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25分</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根据招标文件的技术参数要求与投标文件的响应程度进行评审，“▲”条款每一个负偏离或不响应，扣1分；一般条款一个负偏离或不响应,扣0.5分；扣完为止。</w:t>
            </w:r>
          </w:p>
          <w:p>
            <w:pPr>
              <w:pStyle w:val="27"/>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注：要求提供证明材料（如检查报告、截图或其他证明材料等）的，以投标人提供的证明材料为准，未要求提供证明材料的，以投标人承诺为准。投标人需将评审项内容所在证明材料中对应的位置清晰标明，列明所在页码，未按要求填写的，则不计取相应评审点得分。</w:t>
            </w:r>
          </w:p>
        </w:tc>
      </w:tr>
      <w:tr>
        <w:tblPrEx>
          <w:shd w:val="clear" w:color="auto" w:fill="FFFFFF"/>
          <w:tblCellMar>
            <w:top w:w="0" w:type="dxa"/>
            <w:left w:w="0" w:type="dxa"/>
            <w:bottom w:w="0" w:type="dxa"/>
            <w:right w:w="0" w:type="dxa"/>
          </w:tblCellMar>
        </w:tblPrEx>
        <w:trPr>
          <w:cantSplit/>
          <w:trHeight w:val="640" w:hRule="atLeast"/>
          <w:jc w:val="center"/>
        </w:trPr>
        <w:tc>
          <w:tcPr>
            <w:tcW w:w="8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135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整体技术</w:t>
            </w:r>
          </w:p>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方案</w:t>
            </w:r>
          </w:p>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6分</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textAlignment w:val="top"/>
              <w:rPr>
                <w:rFonts w:ascii="宋体" w:hAnsi="宋体" w:cs="宋体"/>
                <w:b/>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整体技术方案包括但不限于项目实施承诺、项目管理计划、进度管理、沟通管理、质量管理、故障处理和应急方案、安全和文明措施等；</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（1）对本项目的理解深入，整体技术方案科学性、合理性、扩展性完整、详尽、可行性高得6分；</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（2）对本项目的理解较深入，整体技术方案科学性、合理性、扩展性较好得3分；</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（3）对本项目的理解不够深入，整体技术方案具有一定的科学性、合理性、扩展性，得1分；</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（4）未提供，得0分。</w:t>
            </w:r>
          </w:p>
        </w:tc>
      </w:tr>
      <w:tr>
        <w:tblPrEx>
          <w:shd w:val="clear" w:color="auto" w:fill="FFFFFF"/>
          <w:tblCellMar>
            <w:top w:w="0" w:type="dxa"/>
            <w:left w:w="0" w:type="dxa"/>
            <w:bottom w:w="0" w:type="dxa"/>
            <w:right w:w="0" w:type="dxa"/>
          </w:tblCellMar>
        </w:tblPrEx>
        <w:trPr>
          <w:cantSplit/>
          <w:trHeight w:val="640" w:hRule="atLeast"/>
          <w:jc w:val="center"/>
        </w:trPr>
        <w:tc>
          <w:tcPr>
            <w:tcW w:w="8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135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售后服务和培训方案</w:t>
            </w: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5分</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售后服务和培训方案包括但不限于服务承诺、响应时间、服务内容、售后服务体系、培训方案等：</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（1）投标人提供的售后服务和培训方案详细、完善，且售后响应时间≤2小时，处理办法合理、可行的，得5分； </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（2）投标人提供的售后服务和培训方案完整，且售后响应时间≤3小时，处理办法可行的，得3分；</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（3）投标人提供的售后服务和培训方案，售后响应时间≤4小时，但方案不够完整，得1分；</w:t>
            </w:r>
          </w:p>
          <w:p>
            <w:pPr>
              <w:widowControl/>
              <w:spacing w:line="340" w:lineRule="exact"/>
              <w:textAlignment w:val="top"/>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（4）未提供，得0分。</w:t>
            </w:r>
          </w:p>
        </w:tc>
      </w:tr>
      <w:tr>
        <w:tblPrEx>
          <w:tblCellMar>
            <w:top w:w="0" w:type="dxa"/>
            <w:left w:w="0" w:type="dxa"/>
            <w:bottom w:w="0" w:type="dxa"/>
            <w:right w:w="0" w:type="dxa"/>
          </w:tblCellMar>
        </w:tblPrEx>
        <w:trPr>
          <w:cantSplit/>
          <w:trHeight w:val="640" w:hRule="atLeast"/>
          <w:jc w:val="center"/>
        </w:trPr>
        <w:tc>
          <w:tcPr>
            <w:tcW w:w="8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135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增值服务</w:t>
            </w: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4分</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关于本次项目提供的优惠或者增值服务内容，每提供一项得2分，不提供不得分。</w:t>
            </w:r>
          </w:p>
        </w:tc>
      </w:tr>
      <w:tr>
        <w:tblPrEx>
          <w:tblCellMar>
            <w:top w:w="0" w:type="dxa"/>
            <w:left w:w="0" w:type="dxa"/>
            <w:bottom w:w="0" w:type="dxa"/>
            <w:right w:w="0" w:type="dxa"/>
          </w:tblCellMar>
        </w:tblPrEx>
        <w:trPr>
          <w:cantSplit/>
          <w:trHeight w:val="501" w:hRule="atLeast"/>
          <w:jc w:val="center"/>
        </w:trPr>
        <w:tc>
          <w:tcPr>
            <w:tcW w:w="219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合计</w:t>
            </w:r>
          </w:p>
        </w:tc>
        <w:tc>
          <w:tcPr>
            <w:tcW w:w="10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40分</w:t>
            </w:r>
          </w:p>
        </w:tc>
        <w:tc>
          <w:tcPr>
            <w:tcW w:w="61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40" w:lineRule="exact"/>
              <w:rPr>
                <w:rFonts w:ascii="宋体" w:hAnsi="宋体" w:cs="宋体"/>
                <w:color w:val="000000" w:themeColor="text1"/>
                <w:szCs w:val="21"/>
                <w:highlight w:val="none"/>
                <w14:textFill>
                  <w14:solidFill>
                    <w14:schemeClr w14:val="tx1"/>
                  </w14:solidFill>
                </w14:textFill>
              </w:rPr>
            </w:pP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p>
    <w:tbl>
      <w:tblPr>
        <w:tblStyle w:val="48"/>
        <w:tblW w:w="9345" w:type="dxa"/>
        <w:tblInd w:w="1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6"/>
        <w:gridCol w:w="1397"/>
        <w:gridCol w:w="1051"/>
        <w:gridCol w:w="6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4" w:hRule="atLeast"/>
        </w:trPr>
        <w:tc>
          <w:tcPr>
            <w:tcW w:w="7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139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评审内容</w:t>
            </w:r>
          </w:p>
        </w:tc>
        <w:tc>
          <w:tcPr>
            <w:tcW w:w="10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分值</w:t>
            </w:r>
          </w:p>
        </w:tc>
        <w:tc>
          <w:tcPr>
            <w:tcW w:w="6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61" w:hRule="atLeast"/>
        </w:trPr>
        <w:tc>
          <w:tcPr>
            <w:tcW w:w="7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39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pStyle w:val="310"/>
              <w:kinsoku w:val="0"/>
              <w:overflowPunct w:val="0"/>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管理体系</w:t>
            </w:r>
          </w:p>
        </w:tc>
        <w:tc>
          <w:tcPr>
            <w:tcW w:w="10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5分</w:t>
            </w:r>
          </w:p>
        </w:tc>
        <w:tc>
          <w:tcPr>
            <w:tcW w:w="6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投标人提供ISO 27001信息安全管理体系认证证书；ISO 9001质量管理体系认证证书；CMMI5证书；信息技术服务管理体系认证证书；信息安全服务（安全集成）二级提供一项得1分，共5分。</w:t>
            </w:r>
          </w:p>
          <w:p>
            <w:pPr>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注：提供上述内容对应的有效证书复印件并加盖公章，不符合的不得分。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64" w:hRule="atLeast"/>
        </w:trPr>
        <w:tc>
          <w:tcPr>
            <w:tcW w:w="7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139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同类项目业绩</w:t>
            </w:r>
          </w:p>
          <w:p>
            <w:pPr>
              <w:widowControl/>
              <w:spacing w:line="340" w:lineRule="exact"/>
              <w:jc w:val="center"/>
              <w:rPr>
                <w:rFonts w:ascii="宋体" w:hAnsi="宋体" w:cs="宋体"/>
                <w:color w:val="000000" w:themeColor="text1"/>
                <w:szCs w:val="21"/>
                <w:highlight w:val="none"/>
                <w14:textFill>
                  <w14:solidFill>
                    <w14:schemeClr w14:val="tx1"/>
                  </w14:solidFill>
                </w14:textFill>
              </w:rPr>
            </w:pPr>
          </w:p>
        </w:tc>
        <w:tc>
          <w:tcPr>
            <w:tcW w:w="10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15分</w:t>
            </w:r>
          </w:p>
        </w:tc>
        <w:tc>
          <w:tcPr>
            <w:tcW w:w="6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自2017年1月起至今（以合同签订日期为准）投标人具有相关云文档管理平台项目业绩： </w:t>
            </w:r>
          </w:p>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合同金额≥20万元，每个得3分，最高15分；</w:t>
            </w:r>
          </w:p>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10万元≤合同金额＜20万元，每个合同得2分，最高10分；</w:t>
            </w:r>
          </w:p>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合同金额＜10万元人民币，每个合同得1分；最高2分。</w:t>
            </w:r>
          </w:p>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本项最高得15分。</w:t>
            </w:r>
          </w:p>
          <w:p>
            <w:pPr>
              <w:widowControl/>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注：须提供合同关键页复印件（包括但不限于合同首页、总金额页、签字盖章页），加盖投标人公章，并提供用户单位联系人及联系电话以备查验。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96" w:hRule="atLeast"/>
        </w:trPr>
        <w:tc>
          <w:tcPr>
            <w:tcW w:w="7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139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团队成员实力</w:t>
            </w:r>
          </w:p>
        </w:tc>
        <w:tc>
          <w:tcPr>
            <w:tcW w:w="10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10分</w:t>
            </w:r>
          </w:p>
        </w:tc>
        <w:tc>
          <w:tcPr>
            <w:tcW w:w="6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1.项目经理具有PMP证书得4分； </w:t>
            </w:r>
          </w:p>
          <w:p>
            <w:pPr>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2.服务团队成员具有网络工程师、计算机安全员证书的，具有1人得2分；同一人员同时具备前述两个或以上证书的，只按1人计算，最多6分。</w:t>
            </w:r>
          </w:p>
          <w:p>
            <w:pPr>
              <w:spacing w:line="3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注：提供证书复印件，未提供不得分。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trPr>
        <w:tc>
          <w:tcPr>
            <w:tcW w:w="217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合计</w:t>
            </w:r>
          </w:p>
        </w:tc>
        <w:tc>
          <w:tcPr>
            <w:tcW w:w="10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30分</w:t>
            </w:r>
          </w:p>
        </w:tc>
        <w:tc>
          <w:tcPr>
            <w:tcW w:w="6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40" w:lineRule="exact"/>
              <w:jc w:val="center"/>
              <w:rPr>
                <w:rFonts w:ascii="宋体" w:hAnsi="宋体" w:cs="宋体"/>
                <w:color w:val="000000" w:themeColor="text1"/>
                <w:szCs w:val="21"/>
                <w:highlight w:val="none"/>
                <w14:textFill>
                  <w14:solidFill>
                    <w14:schemeClr w14:val="tx1"/>
                  </w14:solidFill>
                </w14:textFill>
              </w:rPr>
            </w:pPr>
          </w:p>
        </w:tc>
      </w:tr>
    </w:tbl>
    <w:p>
      <w:pPr>
        <w:rPr>
          <w:rFonts w:asci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注：对照每项评价指标要求，投标文件完全不满足要求的，不得分。</w:t>
      </w:r>
    </w:p>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8" w:right="1230" w:bottom="1418" w:left="1230" w:header="851" w:footer="851" w:gutter="0"/>
          <w:cols w:space="720" w:num="1"/>
          <w:docGrid w:linePitch="312" w:charSpace="0"/>
        </w:sectPr>
      </w:pPr>
    </w:p>
    <w:bookmarkEnd w:id="1554"/>
    <w:bookmarkEnd w:id="1555"/>
    <w:bookmarkEnd w:id="1556"/>
    <w:bookmarkEnd w:id="1557"/>
    <w:bookmarkEnd w:id="1558"/>
    <w:bookmarkEnd w:id="1559"/>
    <w:bookmarkEnd w:id="1560"/>
    <w:bookmarkEnd w:id="1561"/>
    <w:bookmarkEnd w:id="1562"/>
    <w:bookmarkEnd w:id="1563"/>
    <w:p>
      <w:pPr>
        <w:pStyle w:val="3"/>
        <w:numPr>
          <w:ilvl w:val="0"/>
          <w:numId w:val="0"/>
        </w:numPr>
        <w:spacing w:beforeLines="0"/>
        <w:rPr>
          <w:color w:val="000000" w:themeColor="text1"/>
          <w:highlight w:val="none"/>
          <w14:textFill>
            <w14:solidFill>
              <w14:schemeClr w14:val="tx1"/>
            </w14:solidFill>
          </w14:textFill>
        </w:rPr>
      </w:pPr>
      <w:bookmarkStart w:id="1564" w:name="_Hlt21939000"/>
      <w:bookmarkEnd w:id="1564"/>
      <w:bookmarkStart w:id="1565" w:name="_Toc342060383"/>
      <w:bookmarkStart w:id="1566" w:name="_Toc331512907"/>
      <w:bookmarkStart w:id="1567" w:name="_Toc331684047"/>
      <w:bookmarkStart w:id="1568" w:name="_Toc349143598"/>
      <w:bookmarkStart w:id="1569" w:name="_Toc340507451"/>
      <w:bookmarkStart w:id="1570" w:name="_Toc336681589"/>
      <w:bookmarkStart w:id="1571" w:name="_Toc349127635"/>
      <w:bookmarkStart w:id="1572" w:name="_Toc340672878"/>
      <w:bookmarkStart w:id="1573" w:name="_Toc365967081"/>
      <w:bookmarkStart w:id="1574" w:name="_Toc333237686"/>
      <w:bookmarkStart w:id="1575" w:name="_Toc339020104"/>
      <w:bookmarkStart w:id="1576" w:name="_Toc374454610"/>
      <w:bookmarkStart w:id="1577" w:name="_Toc350438758"/>
      <w:bookmarkStart w:id="1578" w:name="_Toc336681944"/>
      <w:bookmarkStart w:id="1579" w:name="_Toc330459994"/>
      <w:bookmarkStart w:id="1580" w:name="_Toc339441096"/>
      <w:bookmarkStart w:id="1581" w:name="_Toc332270355"/>
      <w:bookmarkStart w:id="1582" w:name="_Toc342296769"/>
      <w:bookmarkStart w:id="1583" w:name="_Toc365985187"/>
      <w:bookmarkStart w:id="1584" w:name="_Toc366072538"/>
      <w:bookmarkStart w:id="1585" w:name="_Toc345513910"/>
      <w:bookmarkStart w:id="1586" w:name="_Toc339362309"/>
      <w:bookmarkStart w:id="1587" w:name="_Toc333237797"/>
      <w:bookmarkStart w:id="1588" w:name="_Toc337632367"/>
      <w:bookmarkStart w:id="1589" w:name="_Toc332206717"/>
      <w:bookmarkStart w:id="1590" w:name="_Toc341348347"/>
      <w:bookmarkStart w:id="1591" w:name="_Toc339019898"/>
      <w:bookmarkStart w:id="1592" w:name="_Toc340677079"/>
      <w:bookmarkStart w:id="1593" w:name="_Toc350756459"/>
      <w:bookmarkStart w:id="1594" w:name="_Toc339020242"/>
      <w:bookmarkStart w:id="1595" w:name="_Toc339020024"/>
      <w:bookmarkStart w:id="1596" w:name="_Toc333238642"/>
      <w:bookmarkStart w:id="1597" w:name="_Toc333935355"/>
      <w:bookmarkStart w:id="1598" w:name="_Toc333935696"/>
      <w:bookmarkStart w:id="1599" w:name="_Toc18108"/>
      <w:r>
        <w:rPr>
          <w:rFonts w:hint="eastAsia"/>
          <w:color w:val="000000" w:themeColor="text1"/>
          <w:highlight w:val="none"/>
          <w14:textFill>
            <w14:solidFill>
              <w14:schemeClr w14:val="tx1"/>
            </w14:solidFill>
          </w14:textFill>
        </w:rPr>
        <w:t>第四部分  采购项目合同</w:t>
      </w:r>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Start w:id="1600" w:name="_Hlt97188170"/>
      <w:bookmarkEnd w:id="1600"/>
      <w:r>
        <w:rPr>
          <w:rFonts w:hint="eastAsia"/>
          <w:color w:val="000000" w:themeColor="text1"/>
          <w:highlight w:val="none"/>
          <w14:textFill>
            <w14:solidFill>
              <w14:schemeClr w14:val="tx1"/>
            </w14:solidFill>
          </w14:textFill>
        </w:rPr>
        <w:t>（参考范本）</w:t>
      </w:r>
      <w:bookmarkEnd w:id="1599"/>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ascii="宋体" w:hAnsi="宋体"/>
          <w:b/>
          <w:color w:val="000000" w:themeColor="text1"/>
          <w:sz w:val="30"/>
          <w:szCs w:val="30"/>
          <w:highlight w:val="none"/>
          <w14:textFill>
            <w14:solidFill>
              <w14:schemeClr w14:val="tx1"/>
            </w14:solidFill>
          </w14:textFill>
        </w:rPr>
      </w:pPr>
    </w:p>
    <w:p>
      <w:pPr>
        <w:jc w:val="center"/>
        <w:rPr>
          <w:rFonts w:ascii="宋体" w:hAnsi="宋体"/>
          <w:b/>
          <w:color w:val="000000" w:themeColor="text1"/>
          <w:sz w:val="36"/>
          <w:szCs w:val="36"/>
          <w:highlight w:val="none"/>
          <w14:textFill>
            <w14:solidFill>
              <w14:schemeClr w14:val="tx1"/>
            </w14:solidFill>
          </w14:textFill>
        </w:rPr>
      </w:pPr>
    </w:p>
    <w:p>
      <w:pPr>
        <w:widowControl/>
        <w:spacing w:line="360" w:lineRule="auto"/>
        <w:jc w:val="center"/>
        <w:rPr>
          <w:rFonts w:ascii="宋体" w:hAnsi="宋体" w:cs="宋体"/>
          <w:b/>
          <w:color w:val="000000" w:themeColor="text1"/>
          <w:sz w:val="72"/>
          <w:szCs w:val="72"/>
          <w:highlight w:val="none"/>
          <w14:textFill>
            <w14:solidFill>
              <w14:schemeClr w14:val="tx1"/>
            </w14:solidFill>
          </w14:textFill>
        </w:rPr>
      </w:pPr>
      <w:r>
        <w:rPr>
          <w:rFonts w:hint="eastAsia" w:ascii="宋体" w:hAnsi="宋体" w:cs="宋体"/>
          <w:b/>
          <w:color w:val="000000" w:themeColor="text1"/>
          <w:sz w:val="72"/>
          <w:szCs w:val="72"/>
          <w:highlight w:val="none"/>
          <w14:textFill>
            <w14:solidFill>
              <w14:schemeClr w14:val="tx1"/>
            </w14:solidFill>
          </w14:textFill>
        </w:rPr>
        <w:t>阳江农村商业银行股份有限公司******采购合同</w:t>
      </w:r>
    </w:p>
    <w:p>
      <w:pPr>
        <w:jc w:val="center"/>
        <w:rPr>
          <w:rFonts w:ascii="宋体" w:hAnsi="宋体" w:cs="宋体"/>
          <w:b/>
          <w:color w:val="000000" w:themeColor="text1"/>
          <w:sz w:val="52"/>
          <w:szCs w:val="52"/>
          <w:highlight w:val="none"/>
          <w14:textFill>
            <w14:solidFill>
              <w14:schemeClr w14:val="tx1"/>
            </w14:solidFill>
          </w14:textFill>
        </w:rPr>
      </w:pPr>
    </w:p>
    <w:p>
      <w:pPr>
        <w:pStyle w:val="27"/>
        <w:rPr>
          <w:rFonts w:ascii="宋体" w:hAnsi="宋体" w:cs="宋体"/>
          <w:color w:val="000000" w:themeColor="text1"/>
          <w:highlight w:val="none"/>
          <w14:textFill>
            <w14:solidFill>
              <w14:schemeClr w14:val="tx1"/>
            </w14:solidFill>
          </w14:textFill>
        </w:rPr>
      </w:pPr>
    </w:p>
    <w:p>
      <w:pPr>
        <w:jc w:val="center"/>
        <w:rPr>
          <w:rFonts w:ascii="宋体" w:hAnsi="宋体" w:cs="宋体"/>
          <w:b/>
          <w:color w:val="000000" w:themeColor="text1"/>
          <w:sz w:val="52"/>
          <w:szCs w:val="52"/>
          <w:highlight w:val="none"/>
          <w14:textFill>
            <w14:solidFill>
              <w14:schemeClr w14:val="tx1"/>
            </w14:solidFill>
          </w14:textFill>
        </w:rPr>
      </w:pPr>
    </w:p>
    <w:p>
      <w:pPr>
        <w:pStyle w:val="27"/>
        <w:rPr>
          <w:rFonts w:ascii="宋体" w:hAnsi="宋体" w:cs="宋体"/>
          <w:color w:val="000000" w:themeColor="text1"/>
          <w:highlight w:val="none"/>
          <w14:textFill>
            <w14:solidFill>
              <w14:schemeClr w14:val="tx1"/>
            </w14:solidFill>
          </w14:textFill>
        </w:rPr>
      </w:pPr>
    </w:p>
    <w:p>
      <w:pPr>
        <w:jc w:val="center"/>
        <w:rPr>
          <w:rFonts w:ascii="宋体" w:hAnsi="宋体" w:cs="宋体"/>
          <w:b/>
          <w:color w:val="000000" w:themeColor="text1"/>
          <w:sz w:val="52"/>
          <w:szCs w:val="52"/>
          <w:highlight w:val="none"/>
          <w14:textFill>
            <w14:solidFill>
              <w14:schemeClr w14:val="tx1"/>
            </w14:solidFill>
          </w14:textFill>
        </w:rPr>
      </w:pPr>
    </w:p>
    <w:tbl>
      <w:tblPr>
        <w:tblStyle w:val="49"/>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0"/>
        <w:gridCol w:w="5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0" w:hRule="atLeast"/>
          <w:jc w:val="center"/>
        </w:trPr>
        <w:tc>
          <w:tcPr>
            <w:tcW w:w="2830" w:type="dxa"/>
            <w:vAlign w:val="center"/>
          </w:tcPr>
          <w:p>
            <w:pPr>
              <w:jc w:val="left"/>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委托方（甲 方）：</w:t>
            </w:r>
          </w:p>
        </w:tc>
        <w:tc>
          <w:tcPr>
            <w:tcW w:w="5466" w:type="dxa"/>
            <w:vAlign w:val="center"/>
          </w:tcPr>
          <w:p>
            <w:pPr>
              <w:jc w:val="left"/>
              <w:rPr>
                <w:rFonts w:ascii="宋体" w:hAnsi="宋体" w:cs="宋体"/>
                <w:color w:val="000000" w:themeColor="text1"/>
                <w:sz w:val="32"/>
                <w:szCs w:val="32"/>
                <w:highlight w:val="none"/>
                <w:u w:val="single"/>
                <w14:textFill>
                  <w14:solidFill>
                    <w14:schemeClr w14:val="tx1"/>
                  </w14:solidFill>
                </w14:textFill>
              </w:rPr>
            </w:pPr>
            <w:r>
              <w:rPr>
                <w:rFonts w:hint="eastAsia" w:ascii="宋体" w:hAnsi="宋体" w:cs="宋体"/>
                <w:color w:val="000000" w:themeColor="text1"/>
                <w:sz w:val="32"/>
                <w:szCs w:val="32"/>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1" w:hRule="atLeast"/>
          <w:jc w:val="center"/>
        </w:trPr>
        <w:tc>
          <w:tcPr>
            <w:tcW w:w="2830" w:type="dxa"/>
            <w:vAlign w:val="center"/>
          </w:tcPr>
          <w:p>
            <w:pPr>
              <w:jc w:val="left"/>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受托方（乙 方）：</w:t>
            </w:r>
          </w:p>
        </w:tc>
        <w:tc>
          <w:tcPr>
            <w:tcW w:w="5466" w:type="dxa"/>
            <w:vAlign w:val="center"/>
          </w:tcPr>
          <w:p>
            <w:pPr>
              <w:jc w:val="left"/>
              <w:rPr>
                <w:rFonts w:ascii="宋体" w:hAnsi="宋体" w:cs="宋体"/>
                <w:color w:val="000000" w:themeColor="text1"/>
                <w:sz w:val="32"/>
                <w:szCs w:val="32"/>
                <w:highlight w:val="none"/>
                <w:u w:val="single"/>
                <w14:textFill>
                  <w14:solidFill>
                    <w14:schemeClr w14:val="tx1"/>
                  </w14:solidFill>
                </w14:textFill>
              </w:rPr>
            </w:pPr>
            <w:r>
              <w:rPr>
                <w:rFonts w:hint="eastAsia" w:ascii="宋体" w:hAnsi="宋体" w:cs="宋体"/>
                <w:color w:val="000000" w:themeColor="text1"/>
                <w:sz w:val="32"/>
                <w:szCs w:val="32"/>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jc w:val="center"/>
        </w:trPr>
        <w:tc>
          <w:tcPr>
            <w:tcW w:w="2830" w:type="dxa"/>
            <w:vAlign w:val="center"/>
          </w:tcPr>
          <w:p>
            <w:pPr>
              <w:jc w:val="distribute"/>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签订时间：</w:t>
            </w:r>
          </w:p>
        </w:tc>
        <w:tc>
          <w:tcPr>
            <w:tcW w:w="5466" w:type="dxa"/>
            <w:vAlign w:val="center"/>
          </w:tcPr>
          <w:p>
            <w:pPr>
              <w:jc w:val="left"/>
              <w:rPr>
                <w:rFonts w:ascii="宋体" w:hAnsi="宋体" w:cs="宋体"/>
                <w:color w:val="000000" w:themeColor="text1"/>
                <w:sz w:val="32"/>
                <w:szCs w:val="32"/>
                <w:highlight w:val="none"/>
                <w:u w:val="single"/>
                <w14:textFill>
                  <w14:solidFill>
                    <w14:schemeClr w14:val="tx1"/>
                  </w14:solidFill>
                </w14:textFill>
              </w:rPr>
            </w:pPr>
            <w:r>
              <w:rPr>
                <w:rFonts w:hint="eastAsia" w:ascii="宋体" w:hAnsi="宋体" w:cs="宋体"/>
                <w:color w:val="000000" w:themeColor="text1"/>
                <w:sz w:val="32"/>
                <w:szCs w:val="32"/>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jc w:val="center"/>
        </w:trPr>
        <w:tc>
          <w:tcPr>
            <w:tcW w:w="2830" w:type="dxa"/>
            <w:vAlign w:val="center"/>
          </w:tcPr>
          <w:p>
            <w:pPr>
              <w:jc w:val="distribute"/>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签订地点：</w:t>
            </w:r>
          </w:p>
        </w:tc>
        <w:tc>
          <w:tcPr>
            <w:tcW w:w="5466" w:type="dxa"/>
            <w:vAlign w:val="center"/>
          </w:tcPr>
          <w:p>
            <w:pPr>
              <w:jc w:val="left"/>
              <w:rPr>
                <w:rFonts w:ascii="宋体" w:hAnsi="宋体" w:cs="宋体"/>
                <w:color w:val="000000" w:themeColor="text1"/>
                <w:sz w:val="32"/>
                <w:szCs w:val="32"/>
                <w:highlight w:val="none"/>
                <w:u w:val="single"/>
                <w14:textFill>
                  <w14:solidFill>
                    <w14:schemeClr w14:val="tx1"/>
                  </w14:solidFill>
                </w14:textFill>
              </w:rPr>
            </w:pPr>
            <w:r>
              <w:rPr>
                <w:rFonts w:hint="eastAsia" w:ascii="宋体" w:hAnsi="宋体" w:cs="宋体"/>
                <w:color w:val="000000" w:themeColor="text1"/>
                <w:sz w:val="32"/>
                <w:szCs w:val="32"/>
                <w:highlight w:val="none"/>
                <w:u w:val="single"/>
                <w14:textFill>
                  <w14:solidFill>
                    <w14:schemeClr w14:val="tx1"/>
                  </w14:solidFill>
                </w14:textFill>
              </w:rPr>
              <w:t xml:space="preserve">                                    </w:t>
            </w:r>
          </w:p>
        </w:tc>
      </w:tr>
    </w:tbl>
    <w:p>
      <w:pPr>
        <w:jc w:val="center"/>
        <w:rPr>
          <w:rFonts w:ascii="宋体" w:hAnsi="宋体" w:cs="宋体"/>
          <w:b/>
          <w:color w:val="000000" w:themeColor="text1"/>
          <w:sz w:val="44"/>
          <w:szCs w:val="44"/>
          <w:highlight w:val="none"/>
          <w14:textFill>
            <w14:solidFill>
              <w14:schemeClr w14:val="tx1"/>
            </w14:solidFill>
          </w14:textFill>
        </w:rPr>
      </w:pPr>
    </w:p>
    <w:p>
      <w:pPr>
        <w:rPr>
          <w:rFonts w:ascii="宋体" w:hAnsi="宋体" w:cs="宋体"/>
          <w:b/>
          <w:color w:val="000000" w:themeColor="text1"/>
          <w:sz w:val="44"/>
          <w:szCs w:val="44"/>
          <w:highlight w:val="none"/>
          <w14:textFill>
            <w14:solidFill>
              <w14:schemeClr w14:val="tx1"/>
            </w14:solidFill>
          </w14:textFill>
        </w:rPr>
      </w:pPr>
      <w:r>
        <w:rPr>
          <w:rFonts w:hint="eastAsia" w:ascii="宋体" w:hAnsi="宋体" w:cs="宋体"/>
          <w:b/>
          <w:color w:val="000000" w:themeColor="text1"/>
          <w:sz w:val="44"/>
          <w:szCs w:val="44"/>
          <w:highlight w:val="none"/>
          <w14:textFill>
            <w14:solidFill>
              <w14:schemeClr w14:val="tx1"/>
            </w14:solidFill>
          </w14:textFill>
        </w:rPr>
        <w:br w:type="page"/>
      </w:r>
    </w:p>
    <w:p>
      <w:pPr>
        <w:jc w:val="center"/>
        <w:rPr>
          <w:rFonts w:ascii="宋体" w:hAnsi="宋体" w:cs="宋体"/>
          <w:b/>
          <w:color w:val="000000" w:themeColor="text1"/>
          <w:sz w:val="44"/>
          <w:szCs w:val="44"/>
          <w:highlight w:val="none"/>
          <w14:textFill>
            <w14:solidFill>
              <w14:schemeClr w14:val="tx1"/>
            </w14:solidFill>
          </w14:textFill>
        </w:rPr>
      </w:pPr>
      <w:r>
        <w:rPr>
          <w:rFonts w:hint="eastAsia" w:ascii="宋体" w:hAnsi="宋体" w:cs="宋体"/>
          <w:b/>
          <w:color w:val="000000" w:themeColor="text1"/>
          <w:sz w:val="44"/>
          <w:szCs w:val="44"/>
          <w:highlight w:val="none"/>
          <w14:textFill>
            <w14:solidFill>
              <w14:schemeClr w14:val="tx1"/>
            </w14:solidFill>
          </w14:textFill>
        </w:rPr>
        <w:t>阳江农村商业银行股份有限公司</w:t>
      </w:r>
    </w:p>
    <w:p>
      <w:pPr>
        <w:jc w:val="center"/>
        <w:rPr>
          <w:rFonts w:ascii="宋体" w:hAnsi="宋体" w:cs="宋体"/>
          <w:b/>
          <w:color w:val="000000" w:themeColor="text1"/>
          <w:sz w:val="44"/>
          <w:szCs w:val="44"/>
          <w:highlight w:val="none"/>
          <w14:textFill>
            <w14:solidFill>
              <w14:schemeClr w14:val="tx1"/>
            </w14:solidFill>
          </w14:textFill>
        </w:rPr>
      </w:pPr>
      <w:r>
        <w:rPr>
          <w:rFonts w:hint="eastAsia" w:ascii="宋体" w:hAnsi="宋体" w:cs="宋体"/>
          <w:b/>
          <w:color w:val="000000" w:themeColor="text1"/>
          <w:sz w:val="44"/>
          <w:szCs w:val="44"/>
          <w:highlight w:val="none"/>
          <w14:textFill>
            <w14:solidFill>
              <w14:schemeClr w14:val="tx1"/>
            </w14:solidFill>
          </w14:textFill>
        </w:rPr>
        <w:t>******采购合同</w:t>
      </w:r>
    </w:p>
    <w:p>
      <w:pPr>
        <w:jc w:val="center"/>
        <w:rPr>
          <w:rFonts w:ascii="宋体" w:hAnsi="宋体" w:cs="宋体"/>
          <w:b/>
          <w:color w:val="000000" w:themeColor="text1"/>
          <w:sz w:val="44"/>
          <w:szCs w:val="44"/>
          <w:highlight w:val="none"/>
          <w14:textFill>
            <w14:solidFill>
              <w14:schemeClr w14:val="tx1"/>
            </w14:solidFill>
          </w14:textFill>
        </w:rPr>
      </w:pPr>
    </w:p>
    <w:p>
      <w:pPr>
        <w:jc w:val="center"/>
        <w:rPr>
          <w:rFonts w:ascii="宋体" w:hAnsi="宋体" w:cs="宋体"/>
          <w:b/>
          <w:color w:val="000000" w:themeColor="text1"/>
          <w:sz w:val="44"/>
          <w:szCs w:val="44"/>
          <w:highlight w:val="none"/>
          <w14:textFill>
            <w14:solidFill>
              <w14:schemeClr w14:val="tx1"/>
            </w14:solidFill>
          </w14:textFill>
        </w:rPr>
      </w:pPr>
    </w:p>
    <w:tbl>
      <w:tblPr>
        <w:tblStyle w:val="49"/>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89"/>
        <w:gridCol w:w="5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委托方（甲方）：</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阳江农村商业银行股份有限公司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联系地址：</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阳江市江城区金山路3号美仑广场2幢、3幢1-2层、5幢1-3号铺、5-9号铺、201号铺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法定代表人：</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项目联系人：</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 xml:space="preserve">   电话：</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bl>
    <w:p>
      <w:pPr>
        <w:rPr>
          <w:rFonts w:ascii="宋体" w:hAnsi="宋体" w:cs="宋体"/>
          <w:color w:val="000000" w:themeColor="text1"/>
          <w:sz w:val="32"/>
          <w:szCs w:val="32"/>
          <w:highlight w:val="none"/>
          <w14:textFill>
            <w14:solidFill>
              <w14:schemeClr w14:val="tx1"/>
            </w14:solidFill>
          </w14:textFill>
        </w:rPr>
      </w:pPr>
    </w:p>
    <w:p>
      <w:pPr>
        <w:rPr>
          <w:rFonts w:ascii="宋体" w:hAnsi="宋体" w:cs="宋体"/>
          <w:color w:val="000000" w:themeColor="text1"/>
          <w:sz w:val="32"/>
          <w:szCs w:val="32"/>
          <w:highlight w:val="none"/>
          <w14:textFill>
            <w14:solidFill>
              <w14:schemeClr w14:val="tx1"/>
            </w14:solidFill>
          </w14:textFill>
        </w:rPr>
      </w:pPr>
    </w:p>
    <w:tbl>
      <w:tblPr>
        <w:tblStyle w:val="49"/>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89"/>
        <w:gridCol w:w="5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受托方（乙方）：</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联系地址：</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法定代表人：</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项目联系人：</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14:textFill>
                  <w14:solidFill>
                    <w14:schemeClr w14:val="tx1"/>
                  </w14:solidFill>
                </w14:textFill>
              </w:rPr>
              <w:t xml:space="preserve">   电话：</w:t>
            </w: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89" w:type="dxa"/>
          </w:tcPr>
          <w:p>
            <w:pPr>
              <w:jc w:val="distribute"/>
              <w:rPr>
                <w:rFonts w:ascii="宋体" w:hAnsi="宋体" w:cs="宋体"/>
                <w:color w:val="000000" w:themeColor="text1"/>
                <w:sz w:val="32"/>
                <w:szCs w:val="32"/>
                <w:highlight w:val="none"/>
                <w14:textFill>
                  <w14:solidFill>
                    <w14:schemeClr w14:val="tx1"/>
                  </w14:solidFill>
                </w14:textFill>
              </w:rPr>
            </w:pPr>
          </w:p>
        </w:tc>
        <w:tc>
          <w:tcPr>
            <w:tcW w:w="5607" w:type="dxa"/>
          </w:tcPr>
          <w:p>
            <w:pPr>
              <w:jc w:val="left"/>
              <w:rPr>
                <w:rFonts w:ascii="宋体" w:hAnsi="宋体" w:cs="宋体"/>
                <w:color w:val="000000" w:themeColor="text1"/>
                <w:sz w:val="32"/>
                <w:szCs w:val="32"/>
                <w:highlight w:val="none"/>
                <w14:textFill>
                  <w14:solidFill>
                    <w14:schemeClr w14:val="tx1"/>
                  </w14:solidFill>
                </w14:textFill>
              </w:rPr>
            </w:pPr>
          </w:p>
        </w:tc>
      </w:tr>
    </w:tbl>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27"/>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t>根据</w:t>
      </w:r>
      <w:r>
        <w:rPr>
          <w:rFonts w:ascii="宋体" w:hAnsi="宋体" w:cs="宋体"/>
          <w:color w:val="000000" w:themeColor="text1"/>
          <w:szCs w:val="22"/>
          <w:highlight w:val="none"/>
          <w:u w:val="single"/>
          <w14:textFill>
            <w14:solidFill>
              <w14:schemeClr w14:val="tx1"/>
            </w14:solidFill>
          </w14:textFill>
        </w:rPr>
        <w:t xml:space="preserve">      采购项目（项目编号：   </w:t>
      </w:r>
      <w:r>
        <w:rPr>
          <w:rFonts w:hint="eastAsia" w:ascii="宋体" w:hAnsi="宋体" w:cs="宋体"/>
          <w:color w:val="000000" w:themeColor="text1"/>
          <w:szCs w:val="22"/>
          <w:highlight w:val="none"/>
          <w14:textFill>
            <w14:solidFill>
              <w14:schemeClr w14:val="tx1"/>
            </w14:solidFill>
          </w14:textFill>
        </w:rPr>
        <w:t>）的招标结果，</w:t>
      </w:r>
      <w:r>
        <w:rPr>
          <w:rFonts w:hint="eastAsia" w:cstheme="minorBidi"/>
          <w:color w:val="000000" w:themeColor="text1"/>
          <w:szCs w:val="22"/>
          <w:highlight w:val="none"/>
          <w14:textFill>
            <w14:solidFill>
              <w14:schemeClr w14:val="tx1"/>
            </w14:solidFill>
          </w14:textFill>
        </w:rPr>
        <w:t>依据《中华人民共和国民法典》的规定，</w:t>
      </w:r>
      <w:r>
        <w:rPr>
          <w:rFonts w:hint="eastAsia"/>
          <w:color w:val="000000" w:themeColor="text1"/>
          <w:highlight w:val="none"/>
          <w14:textFill>
            <w14:solidFill>
              <w14:schemeClr w14:val="tx1"/>
            </w14:solidFill>
          </w14:textFill>
        </w:rPr>
        <w:t>经过友好协商，甲乙双方在自愿、平等、互利、诚信基础下，就甲方向乙方购买*******采购合同相关事宜，达成以下条款。为明确双方的权利和义务，特此订立本合同，以资共同遵守。</w:t>
      </w:r>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一、</w:t>
      </w:r>
      <w:r>
        <w:rPr>
          <w:rFonts w:hint="eastAsia" w:ascii="宋体" w:hAnsi="宋体" w:cs="宋体"/>
          <w:b/>
          <w:bCs/>
          <w:color w:val="000000" w:themeColor="text1"/>
          <w:szCs w:val="21"/>
          <w:highlight w:val="none"/>
          <w14:textFill>
            <w14:solidFill>
              <w14:schemeClr w14:val="tx1"/>
            </w14:solidFill>
          </w14:textFill>
        </w:rPr>
        <w:tab/>
      </w:r>
      <w:r>
        <w:rPr>
          <w:rFonts w:hint="eastAsia" w:ascii="宋体" w:hAnsi="宋体" w:cs="宋体"/>
          <w:b/>
          <w:bCs/>
          <w:color w:val="000000" w:themeColor="text1"/>
          <w:szCs w:val="21"/>
          <w:highlight w:val="none"/>
          <w14:textFill>
            <w14:solidFill>
              <w14:schemeClr w14:val="tx1"/>
            </w14:solidFill>
          </w14:textFill>
        </w:rPr>
        <w:t>合同金额</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合同金额为人民币（大写              ）（￥         </w:t>
      </w:r>
      <w:r>
        <w:rPr>
          <w:rFonts w:hint="eastAsia" w:ascii="宋体" w:hAnsi="宋体" w:cs="宋体"/>
          <w:color w:val="000000" w:themeColor="text1"/>
          <w:szCs w:val="21"/>
          <w:highlight w:val="none"/>
          <w14:textFill>
            <w14:solidFill>
              <w14:schemeClr w14:val="tx1"/>
            </w14:solidFill>
          </w14:textFill>
        </w:rPr>
        <w:tab/>
      </w:r>
      <w:r>
        <w:rPr>
          <w:rFonts w:hint="eastAsia" w:ascii="宋体" w:hAnsi="宋体" w:cs="宋体"/>
          <w:color w:val="000000" w:themeColor="text1"/>
          <w:szCs w:val="21"/>
          <w:highlight w:val="none"/>
          <w14:textFill>
            <w14:solidFill>
              <w14:schemeClr w14:val="tx1"/>
            </w14:solidFill>
          </w14:textFill>
        </w:rPr>
        <w:t>元）。</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w:t>
      </w:r>
      <w:r>
        <w:rPr>
          <w:rFonts w:hint="eastAsia" w:ascii="宋体" w:hAnsi="宋体" w:cs="宋体"/>
          <w:b/>
          <w:bCs/>
          <w:color w:val="000000" w:themeColor="text1"/>
          <w:szCs w:val="21"/>
          <w:highlight w:val="none"/>
          <w14:textFill>
            <w14:solidFill>
              <w14:schemeClr w14:val="tx1"/>
            </w14:solidFill>
          </w14:textFill>
        </w:rPr>
        <w:tab/>
      </w:r>
      <w:r>
        <w:rPr>
          <w:rFonts w:hint="eastAsia" w:ascii="宋体" w:hAnsi="宋体" w:cs="宋体"/>
          <w:b/>
          <w:bCs/>
          <w:color w:val="000000" w:themeColor="text1"/>
          <w:szCs w:val="21"/>
          <w:highlight w:val="none"/>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乙方应在合同签署之日起30个日历日内完工。</w:t>
      </w:r>
    </w:p>
    <w:p>
      <w:pPr>
        <w:widowControl/>
        <w:tabs>
          <w:tab w:val="left" w:pos="735"/>
        </w:tabs>
        <w:adjustRightInd w:val="0"/>
        <w:snapToGrid w:val="0"/>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三、交货要求：</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(1)本项目所采购的硬件设备是符合招标采购流程的全新的原厂设备。在甲方签发《验收合格证明》之前，如出现设备硬件故障，乙方负责免费提供原厂全新设备进行更换并提供相关原厂证明。</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14:textFill>
            <w14:solidFill>
              <w14:schemeClr w14:val="tx1"/>
            </w14:solidFill>
          </w14:textFill>
        </w:rPr>
        <w:t>乙方</w:t>
      </w:r>
      <w:r>
        <w:rPr>
          <w:rFonts w:hint="eastAsia" w:ascii="宋体" w:hAnsi="宋体" w:eastAsia="宋体" w:cs="宋体"/>
          <w:bCs/>
          <w:color w:val="000000" w:themeColor="text1"/>
          <w:sz w:val="21"/>
          <w:szCs w:val="21"/>
          <w:highlight w:val="none"/>
          <w14:textFill>
            <w14:solidFill>
              <w14:schemeClr w14:val="tx1"/>
            </w14:solidFill>
          </w14:textFill>
        </w:rPr>
        <w:t>供货时须向甲方提交原厂供货证明原件。若不能提供原厂供货证明原件，甲方有权单方解除合同，造成的损失由</w:t>
      </w:r>
      <w:r>
        <w:rPr>
          <w:rFonts w:hint="eastAsia" w:ascii="宋体" w:hAnsi="宋体" w:cs="宋体"/>
          <w:color w:val="000000" w:themeColor="text1"/>
          <w:sz w:val="21"/>
          <w:szCs w:val="21"/>
          <w:highlight w:val="none"/>
          <w14:textFill>
            <w14:solidFill>
              <w14:schemeClr w14:val="tx1"/>
            </w14:solidFill>
          </w14:textFill>
        </w:rPr>
        <w:t>乙方</w:t>
      </w:r>
      <w:r>
        <w:rPr>
          <w:rFonts w:hint="eastAsia" w:ascii="宋体" w:hAnsi="宋体" w:eastAsia="宋体" w:cs="宋体"/>
          <w:bCs/>
          <w:color w:val="000000" w:themeColor="text1"/>
          <w:sz w:val="21"/>
          <w:szCs w:val="21"/>
          <w:highlight w:val="none"/>
          <w14:textFill>
            <w14:solidFill>
              <w14:schemeClr w14:val="tx1"/>
            </w14:solidFill>
          </w14:textFill>
        </w:rPr>
        <w:t>承担。</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四、完工地点：</w:t>
      </w:r>
      <w:r>
        <w:rPr>
          <w:rFonts w:hint="eastAsia" w:ascii="宋体" w:hAnsi="宋体" w:eastAsia="宋体" w:cs="宋体"/>
          <w:color w:val="000000" w:themeColor="text1"/>
          <w:sz w:val="21"/>
          <w:szCs w:val="21"/>
          <w:highlight w:val="none"/>
          <w14:textFill>
            <w14:solidFill>
              <w14:schemeClr w14:val="tx1"/>
            </w14:solidFill>
          </w14:textFill>
        </w:rPr>
        <w:t>甲方机房，按照项目要求按需分批次送到甲方指定地点。</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五、包装要求：</w:t>
      </w:r>
      <w:r>
        <w:rPr>
          <w:rFonts w:hint="eastAsia" w:ascii="宋体" w:hAnsi="宋体" w:eastAsia="宋体" w:cs="宋体"/>
          <w:color w:val="000000" w:themeColor="text1"/>
          <w:sz w:val="21"/>
          <w:szCs w:val="21"/>
          <w:highlight w:val="none"/>
          <w14:textFill>
            <w14:solidFill>
              <w14:schemeClr w14:val="tx1"/>
            </w14:solidFill>
          </w14:textFill>
        </w:rPr>
        <w:t>设备应按合同条款的要求进行包装。</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w:t>
      </w:r>
      <w:r>
        <w:rPr>
          <w:rFonts w:hint="eastAsia" w:ascii="宋体" w:hAnsi="宋体" w:eastAsia="宋体" w:cs="宋体"/>
          <w:b/>
          <w:color w:val="000000" w:themeColor="text1"/>
          <w:sz w:val="21"/>
          <w:szCs w:val="21"/>
          <w:highlight w:val="none"/>
          <w14:textFill>
            <w14:solidFill>
              <w14:schemeClr w14:val="tx1"/>
            </w14:solidFill>
          </w14:textFill>
        </w:rPr>
        <w:t>技术资料：</w:t>
      </w:r>
      <w:r>
        <w:rPr>
          <w:rFonts w:hint="eastAsia" w:ascii="宋体" w:hAnsi="宋体" w:eastAsia="宋体" w:cs="宋体"/>
          <w:color w:val="000000" w:themeColor="text1"/>
          <w:sz w:val="21"/>
          <w:szCs w:val="21"/>
          <w:highlight w:val="none"/>
          <w14:textFill>
            <w14:solidFill>
              <w14:schemeClr w14:val="tx1"/>
            </w14:solidFill>
          </w14:textFill>
        </w:rPr>
        <w:t>乙方供货时提供包括但不限于满足货物使用和维护的全部技术文件。乙方交货时须提供原出厂产品合格证、产品说明书、原产地证明。</w:t>
      </w:r>
    </w:p>
    <w:p>
      <w:pPr>
        <w:widowControl/>
        <w:tabs>
          <w:tab w:val="left" w:pos="735"/>
        </w:tabs>
        <w:adjustRightInd w:val="0"/>
        <w:snapToGrid w:val="0"/>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七、检验与验收：</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(1)货物验收由甲方、乙方共同负责。</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货物的安装及由此产生的费用由乙方负责，乙方必须向甲方提供合同货物安装所需的材料及技术资料以及组装/维修所需工具。派出的安装人员应具备相关的专业知识、技术水平、相应资质和能力，熟悉提供货物的规格、技术指标及安装工艺，有足够能力安装、调试所提供货物并使之达到本招标文件的要求。</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(3)乙方在接到甲方要求开始安装的通知后2天内必须派合适的人员到现场进行安装和调试。</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(4)验收：乙方为验收提供必需的一切条件及相关费用。在货物安装使用正常后15个工作日内，甲方将按照国际、国家及厂家标准对货物进行质量验收。</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验收标准依次序对照适用标准为：①符合中华人民共和国国家安全质量标准、环保标准或行业技术规范标准等；②符合招标文件和响应承诺中甲方认可的合理最佳配置、参数及各项要求；③货物来源国官方标准。上述标准必须是有关官方机构发布的最新版本的标准。</w:t>
      </w:r>
    </w:p>
    <w:p>
      <w:pPr>
        <w:widowControl/>
        <w:tabs>
          <w:tab w:val="left" w:pos="735"/>
        </w:tabs>
        <w:adjustRightInd w:val="0"/>
        <w:snapToGrid w:val="0"/>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八、质量保证：</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货物质量指标达到相应的生产国标准，行业标准及投标人、投标产品原厂家在投标文件中提交并确定遵照的有关标准及技术要求。货物须获得中国政府批准在中国境内销售，并在中国有关监督管理部门办理注册登记。货物须适合中国国家标准，或通用国际标准。</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(2)质量保证要求：乙方所供货物必须是全新的，表面无划伤，无碰撞，其技术规格、标准必须符合用户需求书要求和国家计量检测标准。</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(3)质量保证期：质量保证期(质保期)：所供货物经验收合格之日起计，连续正常使用累计满3年。质保期内，由乙方联同原厂家共同负责相关售后服务工作，在非人为因素情况下，一切维修换件保养费用和备品备件均由乙方免费提供。如所供货物因故障停用时间累计超过30天则质保期重新计算。</w:t>
      </w:r>
    </w:p>
    <w:p>
      <w:pPr>
        <w:widowControl/>
        <w:tabs>
          <w:tab w:val="left" w:pos="735"/>
        </w:tabs>
        <w:adjustRightInd w:val="0"/>
        <w:snapToGrid w:val="0"/>
        <w:spacing w:line="360" w:lineRule="auto"/>
        <w:rPr>
          <w:rFonts w:ascii="宋体" w:hAnsi="宋体" w:cs="宋体"/>
          <w:b/>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九、</w:t>
      </w:r>
      <w:r>
        <w:rPr>
          <w:rFonts w:hint="eastAsia" w:ascii="宋体" w:hAnsi="宋体" w:cs="宋体"/>
          <w:b/>
          <w:color w:val="000000" w:themeColor="text1"/>
          <w:szCs w:val="21"/>
          <w:highlight w:val="none"/>
          <w14:textFill>
            <w14:solidFill>
              <w14:schemeClr w14:val="tx1"/>
            </w14:solidFill>
          </w14:textFill>
        </w:rPr>
        <w:t>售后保障服务：</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(1)备件服务要求。在技术服务期限内，提供三年免费维保服务和不低于原厂7*24小时同型号备件服务，即要求每周7天工作日，每天24小时响应，原厂同型号备件第二个自然日到达甲方设备安装现场。</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如果备件不能按时到达甲方现场，视为乙方违约，每延迟一天（不足一天的按一天计）,乙方向甲方支付合同总金额5%的违约金，甲方有权在后续支付款项中扣除该违约金，甲方为此有权另行聘请第三方进行故障修复处理，所产生的费用全部由乙方承担。</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原厂维保服务起始时间自用户通过安装调试验收合格之日起开始计算。</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关键时段现场保障服务。在合同期内，乙方须按甲方要求提供关键时段现场技术保障，关键时段包括但不限于国家重大活动期间、年终决算日、切换演练（包括网络、系统和机房的演练）、重要系统投产上线、重大网络变更等。</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巡检服务。乙方提供每年肆次现场巡检服务。巡检须派经验丰富的专业工程师到设备安装现场进行预防性检查维护，对配置进行检查，分析系统告警信息并提出整改方案，乙方按甲方要求出具巡检报告、整改方案等文档并负责整改实施。</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(5)升级服务。升级服务是指乙方针对所投产品缺陷或根据</w:t>
      </w:r>
      <w:r>
        <w:rPr>
          <w:rFonts w:hint="eastAsia" w:ascii="宋体" w:hAnsi="宋体" w:cs="宋体"/>
          <w:color w:val="000000" w:themeColor="text1"/>
          <w:szCs w:val="21"/>
          <w:highlight w:val="none"/>
          <w:lang w:val="en-US" w:eastAsia="zh-CN"/>
          <w14:textFill>
            <w14:solidFill>
              <w14:schemeClr w14:val="tx1"/>
            </w14:solidFill>
          </w14:textFill>
        </w:rPr>
        <w:t>甲方</w:t>
      </w:r>
      <w:r>
        <w:rPr>
          <w:rFonts w:hint="eastAsia" w:ascii="宋体" w:hAnsi="宋体" w:cs="宋体"/>
          <w:color w:val="000000" w:themeColor="text1"/>
          <w:szCs w:val="21"/>
          <w:highlight w:val="none"/>
          <w14:textFill>
            <w14:solidFill>
              <w14:schemeClr w14:val="tx1"/>
            </w14:solidFill>
          </w14:textFill>
        </w:rPr>
        <w:t>要求在合同生效期间内为软件免费升级和补丁更新，保证用户能够及时获得相关服务和技术文档的更新，专业工程师每季度在巡检报告中提出是否需要进行升级服务的建议。技术文档包括了操作手册、产品说明、系统架构、应急处理、规章制度等。</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所投产品出现重大缺陷时，乙方和原厂须主动告知</w:t>
      </w:r>
      <w:r>
        <w:rPr>
          <w:rFonts w:hint="eastAsia" w:ascii="宋体" w:hAnsi="宋体" w:cs="宋体"/>
          <w:color w:val="000000" w:themeColor="text1"/>
          <w:szCs w:val="21"/>
          <w:highlight w:val="none"/>
          <w:lang w:val="en-US" w:eastAsia="zh-CN"/>
          <w14:textFill>
            <w14:solidFill>
              <w14:schemeClr w14:val="tx1"/>
            </w14:solidFill>
          </w14:textFill>
        </w:rPr>
        <w:t>甲方</w:t>
      </w:r>
      <w:r>
        <w:rPr>
          <w:rFonts w:hint="eastAsia" w:ascii="宋体" w:hAnsi="宋体" w:cs="宋体"/>
          <w:color w:val="000000" w:themeColor="text1"/>
          <w:szCs w:val="21"/>
          <w:highlight w:val="none"/>
          <w14:textFill>
            <w14:solidFill>
              <w14:schemeClr w14:val="tx1"/>
            </w14:solidFill>
          </w14:textFill>
        </w:rPr>
        <w:t>升级或应对措施。</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(6)咨询服务。甲方可随时向乙方和设备原厂进行技术咨询，乙方和设备原厂工程师有义务向甲方人团队提供咨询服务。</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(7)应急服务。乙方负责向</w:t>
      </w:r>
      <w:r>
        <w:rPr>
          <w:rFonts w:hint="eastAsia" w:ascii="宋体" w:hAnsi="宋体" w:cs="宋体"/>
          <w:color w:val="000000" w:themeColor="text1"/>
          <w:szCs w:val="21"/>
          <w:highlight w:val="none"/>
          <w:lang w:val="en-US" w:eastAsia="zh-CN"/>
          <w14:textFill>
            <w14:solidFill>
              <w14:schemeClr w14:val="tx1"/>
            </w14:solidFill>
          </w14:textFill>
        </w:rPr>
        <w:t>甲方</w:t>
      </w:r>
      <w:r>
        <w:rPr>
          <w:rFonts w:hint="eastAsia" w:ascii="宋体" w:hAnsi="宋体" w:cs="宋体"/>
          <w:color w:val="000000" w:themeColor="text1"/>
          <w:szCs w:val="21"/>
          <w:highlight w:val="none"/>
          <w14:textFill>
            <w14:solidFill>
              <w14:schemeClr w14:val="tx1"/>
            </w14:solidFill>
          </w14:textFill>
        </w:rPr>
        <w:t>提供每周7×24小时专人应急服务电话。</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现场响应时间规定如下：乙方接到甲方应急报障后，保证在4小时内到达甲方阳江现场。</w:t>
      </w:r>
    </w:p>
    <w:p>
      <w:pPr>
        <w:widowControl/>
        <w:tabs>
          <w:tab w:val="left" w:pos="735"/>
        </w:tabs>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到达现场后1小时内使业务恢复正常运行；一周内排除故障。故障排除后3个工作日内，向甲方提交《故障应急处理报告》。如不能根据甲方要求排除故障，甲方有权要求设备原厂无条件提供同等备机或另行聘请第三方进行处理，涉及第三方时所产生费用全部由乙方承担。</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培训服务。乙方承诺对甲方进行现场培训服务，并在系统日常使用及维护时，不定期地免费提供操作员培训。合同签订后，乙方将对甲方工程师进行至少3次现场技术培训，培训方式主要采取授课、实机演示、操作、答疑和研讨交流等形式进行。具体时间和地点，由双方协商确定。为保证培训的质量，培训可安排在甲方培训中心进行，因培训所产生费用由乙方承担。</w:t>
      </w:r>
    </w:p>
    <w:p>
      <w:pPr>
        <w:pStyle w:val="56"/>
        <w:spacing w:line="360" w:lineRule="auto"/>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十、付款方式：</w:t>
      </w:r>
    </w:p>
    <w:p>
      <w:pPr>
        <w:pStyle w:val="56"/>
        <w:spacing w:line="360" w:lineRule="auto"/>
        <w:ind w:firstLine="420" w:firstLineChars="200"/>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备到货并检验产品合格后15个工作日内支付合同价的30%，项目完工并验收合格通过后15个工作日内支付合同价的65%，合同价的5%作为质量保证金，质保期满后15个工作日内支付。</w:t>
      </w:r>
    </w:p>
    <w:p>
      <w:pPr>
        <w:pStyle w:val="194"/>
        <w:spacing w:line="360" w:lineRule="auto"/>
        <w:ind w:left="420" w:leftChars="200"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乙方指定的收款账户：</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开户银行： </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开 户 名： </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帐    号：</w:t>
      </w:r>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十一、项目服务要求：</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(1)技术服务期限：完成项目实施后，从甲方通过安装调试验收合格之日起计算，提供三年原厂备件服务。在设备保修服务开始之前，乙方按照售后服务保障要求规格提供服务。</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(2)技术服务方式：提供原厂专业工程师现场实施及保障服务。</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乙方出具产品的原厂供货、服务证明相关材料必须原厂便签纸打印并由原厂家盖公章及其工作人员签字后送甲方的本项目的项目经理。</w:t>
      </w:r>
    </w:p>
    <w:p>
      <w:pPr>
        <w:pStyle w:val="2"/>
        <w:spacing w:line="360" w:lineRule="auto"/>
        <w:ind w:firstLine="0"/>
        <w:rPr>
          <w:b/>
          <w:bCs/>
          <w:color w:val="000000" w:themeColor="text1"/>
          <w:highlight w:val="none"/>
          <w14:textFill>
            <w14:solidFill>
              <w14:schemeClr w14:val="tx1"/>
            </w14:solidFill>
          </w14:textFill>
        </w:rPr>
      </w:pPr>
      <w:r>
        <w:rPr>
          <w:rFonts w:hint="eastAsia" w:hAnsi="宋体" w:cs="宋体"/>
          <w:b/>
          <w:bCs/>
          <w:color w:val="000000" w:themeColor="text1"/>
          <w:sz w:val="21"/>
          <w:szCs w:val="21"/>
          <w:highlight w:val="none"/>
          <w14:textFill>
            <w14:solidFill>
              <w14:schemeClr w14:val="tx1"/>
            </w14:solidFill>
          </w14:textFill>
        </w:rPr>
        <w:t>十二、权利和义务</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由于乙方的责任而造成甲方或第三人经济损失或人员受伤害，乙方负责赔偿全部损失。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因乙方提供的设备或软件给甲方或第三方造成人身或财产损害的，乙方应负全部赔偿责任。</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因乙方提供的设备或软件存在安全防护方面的缺陷、漏洞，因此给甲方或客户造成损失的，乙方应负责赔偿。</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因乙方提供的设备或软件出现重大故障（注：重大故障为造成甲方业务系统不能正常对外提供服务的故障），乙方应承担由此对甲方及任何第三方造成的损失，因乙方上述原因导致甲方被追诉承担法律责任的，乙方须承担甲方应承担法律责任。</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乙方在供货时须同时提供原厂供货证明原件，否则视作违约，甲方有权单方解除合同，并要求乙方赔偿因此给甲方造成的所有损失。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乙方逾期交货的，每逾期一日，应向甲方支付合同总价款的0.5%的违约金。逾期（30）日以上的，甲方有权单方解除合同，并要求乙方赔偿因此给甲方造成的所有损失。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甲方有权要求乙方提供原厂商出具的原厂商售后服务承诺书，由原厂商承诺按本合同约定承担售后服务。乙方未按约定提供的，甲方有权要求乙方承担违约责任并拒付任一期合同款项和没收履约保证金。原厂商未按约定提供售后服务的，视为乙方违约。乙方应对原厂商售后服务人员履行本合同项下义务的行为负责。</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乙方不能按技术服务要求中的要求向甲方提供项目实施服务，或项目无法通过甲方验收，视为乙方违约，甲方有权单方解除本合同并要求乙方退还全部合同款项，并对甲方因此所遭受的损失承担赔偿责任。</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乙方不能按技术服务要求向甲方提供售后保障服务，视为乙方违约，并承担违约责任。甲方为此有权另行聘请第三方进行售后保障服务，所产生的费用全部由乙方承担。</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不履行或者不按时履行本合同规定的义务，视为乙方违约，甲方有权要求乙方按合同总金额的日0.5%支付违约金（其他条款对违约金标准另有约定的，按其他条款约定执行），如因新大楼工程进度原因导致工期延迟，双方则不需承担工期延期责任，工期相应顺延。如果乙方提供的货物和/或服务不能达到本合同约定及/或甲方的要求，甲方有权单方解除本合同并要求乙方退还全部合同款项，并对甲方因此所遭受的损失承担赔偿责任。</w:t>
      </w:r>
    </w:p>
    <w:p>
      <w:pPr>
        <w:pStyle w:val="194"/>
        <w:numPr>
          <w:ilvl w:val="0"/>
          <w:numId w:val="31"/>
        </w:numPr>
        <w:spacing w:line="360" w:lineRule="auto"/>
        <w:ind w:left="0" w:firstLine="48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乙方应当建立业务连续性计划，确保产品安装调试、售后服务能够持续有效进行，乙方服务连续性管理目标应当满足甲方业务连续性目标要求。乙方同意在售后服务期内配合甲方开展年度业务连续性计划演练。</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乙方保证其所提供的产品及服务不侵犯第三人的知识产权和其他权利，保证提供的配件以及电子和机械模块为甲方认可的产品。否则，由此给甲方造成的一切损失由乙方承担。</w:t>
      </w:r>
    </w:p>
    <w:p>
      <w:pPr>
        <w:pStyle w:val="194"/>
        <w:numPr>
          <w:ilvl w:val="0"/>
          <w:numId w:val="31"/>
        </w:numPr>
        <w:spacing w:line="360" w:lineRule="auto"/>
        <w:ind w:left="0"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按本合同规定应该偿付的违约金、赔偿金、维护保修费和各种经济损失，甲方有权在应付乙方合同款项或履约保证金中扣除。若合同款项或履约保证金不足扣除，乙方应当在明确责任后的十个工作日内付清。</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九）如果设备原厂工程师不能按时（X小时内）到达现场处理问题或不能在规定的时间内（到达现场处理故障时间不能超过X小时）完成故障的修复，视为乙方违约，每延迟一天（不足一天的按一天计）,乙方向甲方支付合同总金额1%的违约金，甲方有权在后续支付款项中扣除该违约金，甲方为此有权另行聘请第三方进行故障修复处理，所产生的费用全部由乙方承担。</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十）如果备件第X自然日不能到达甲方现场，视为乙方违约，每延迟一天（不足一天的按一天计）,乙方向甲方支付合同总金额5%的违约金，甲方有权在后续支付款项中扣除该违约金，甲方为此有权另行聘请第三方进行故障修复处理，所产生的费用全部由乙方承担。</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十一）乙方提供的现场保障服务工程师在服务期间无法满足工作要求的，甲方有权要求乙方给予更换。乙方无法在甲方指定的期限内更换的，甲方有权取消该项服务，乙方应向甲方支付合同总价款10%的违约金。造成甲方其他损失的，乙方还应赔偿。如因现场服务工程师原因导致业务中断，乙方需负责赔偿全部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（十二）因乙方原因造成甲方受到人民银行、银监局等相关部门通报批评或处罚，乙方支付给甲方20000元/次的违约金。如果该违约金不足以弥补甲方损失，乙方应补足甲方的损失。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（十三）当一项违约行为存在符合多条违约处罚条款，应并用处罚条款；如果无法并用多条违约处罚条款时，按照违约赔偿责任最高的处罚条款执行。</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同意，甲方可以指定内部人员或委派外部人员（包括但不限于外部审计服务、顾问）对乙方所提供的服务进行审查或日常检查。经甲方同意，乙方可以双方均认可的内部审计或第三方独立审计服务替代本审查，并将审查报告提供给甲方，此类审查包括甲方自行要求发起的或甲方根据对其依法履行监管职能的监管机构要求开展的。对于审查及审计发生的涉及乙方的问题，乙方承诺本着尽职勤勉的原则进行整改。</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甲方有权对乙方履行合同情况及项目安全情况进行检查，并获取乙方自评估或第三方评估报告。甲方检查发现乙方存在违反信息安全的行为或其他异常情况，有权要求乙方采取纠正措施，并有权约谈乙方高管并限期乙方整改。</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乙方应通过向甲方提供相关安全审查报告等形式及时向甲方报告合同履行过程中所发现及发生的安全漏洞及安全事件。</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乙方应接受甲方对其履行合同行为进行的监督检查，乙方有义务配合甲方接受银行业监管机构、内外部审计机构进行的监督检查。</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应建立针对突发情况的应急预案及与甲方的事件通报机制，确保在发生突发情况（包括但不限于发生银监会规定的信息科技突发事件，或发生可能引发系统性、区域性银行业信息科技风险类突发事件等）15分钟内由乙方项目经办人向甲方项目经办人及甲方信息科技风险部总经理通报，并报告该事件的影响以及处置和纠正措施。</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乙方承诺，乙方及其任何人员（含原厂商人员）的任何作为或不作为均不会给甲方的计算机设备或系统带来任何信息安全风险。如果因乙方及其任何人员的任何作为或不作为给甲方的设备或系统带来信息安全风险，使甲方遭受损失或损害的，乙方应向甲方赔偿全部该等损失或损害。</w:t>
      </w:r>
    </w:p>
    <w:p>
      <w:pPr>
        <w:numPr>
          <w:ilvl w:val="0"/>
          <w:numId w:val="32"/>
        </w:num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未经甲方书面许可，乙方不得在其任何广告材料上使用甲方的名称、标识、商标等甲方资源。乙方及其任何人员（含原厂商人员）均不得以任何方式采取或做出可能会对甲方（包括其声誉）造成任何损害的行为或表述。</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十三、知识产权</w:t>
      </w:r>
    </w:p>
    <w:p>
      <w:pPr>
        <w:pStyle w:val="27"/>
        <w:spacing w:line="360" w:lineRule="auto"/>
        <w:ind w:firstLine="371" w:firstLineChars="17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（一）本合同项下乙方提供的产品所配置的软件，甲方及其他产品使用者有权永久使用，无需另行付费。</w:t>
      </w:r>
    </w:p>
    <w:p>
      <w:pPr>
        <w:pStyle w:val="27"/>
        <w:spacing w:line="360" w:lineRule="auto"/>
        <w:ind w:firstLine="371" w:firstLineChars="17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乙方保证其所提供的产品及服务不侵犯第三方的知识产权或其他权利，否则，由此给甲方造成的一切损失由乙方承担。对于因甲方使用或占有乙方提供的产品而引起的被诉称或指称侵犯任何第三人知识产权或其他权益的诉讼或索赔，乙方应为甲方辩护，并应赔偿甲方遭受的因诉讼或索赔导致的、或与该等诉讼或索赔有关而引起、或因此而对甲方判决的任何损失、损害、费用（包括全部法律费用）及支出。</w:t>
      </w:r>
    </w:p>
    <w:p>
      <w:pPr>
        <w:pStyle w:val="27"/>
        <w:spacing w:line="360" w:lineRule="auto"/>
        <w:ind w:firstLine="371" w:firstLineChars="17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如果甲方合理认为乙方提供的产品可能成为知识产权索赔的对象，或针对乙方或甲方已提起的知识产权索赔妨碍了甲方对乙方提供的产品的使用，乙方应自行承担费用，确保甲方能够无须修改而继续使用乙方提供的产品，或在不影响其性能的前提下，对乙方提供的产品进行修改，使甲方对乙方提供的产品的使用不会引起侵权。</w:t>
      </w:r>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十四、 保 密</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1.合同双方在订立及履行合同过程中知悉的对方商业秘密等资料，无论合同是否成立，不得泄密或不正当使用。未经甲方事先书面同意，乙方不得以任何形式公开本合同及合同涉及相关内容。</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本合同所涉及的甲方保密资料包括但不限于以下由甲方向乙方通过口头、书面、电子或其他方式提供的或乙方在履行本合同过程中知悉的（无论是怎样获得或从哪里获得的，无论是否与甲方的业务有关）关于技术和系统安全及其他方面的一切数据、报告、信息、翻译资料、预测和记录等内容。</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3.甲方的保密资料及在本合同执行过程中产生的成果只可在本合同所规定的服务活动中使用，未经甲方书面授权不得用于其它活动。本合同执行完毕后，乙方应及时将甲方的保密资料返还甲方。</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4.保密责任不因合同履行完毕而解除，不因项目的结束而终止。</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乙方应负责对可能接触到甲方保密资料的乙方员工（含原厂商人员）的相关保密管理工作，并对其承担担保责任，对其行为负全责。乙方员工有意或无意泄露甲方秘密，无论乙方是否有过错，乙方应首先承担全部赔偿责任并负责消除泄密造成的不良影响。若这些员工离开乙方，乙方应及时书面通知甲方，同时要求其员工继续履行保密义务，乙方仍需对离职员工泄密行为负全责。</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6.乙方承担因违反保密责任给甲方及第三方造成的经济损失，以被侵害而受到的实际损失作为赔偿额，且乙方应当承担甲方及第三方因调查及处理侵害行为所支出的合理费用。</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十五、不可抗力</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1.不可抗力系指甲、乙双方在缔结合同时所不能预见的，并且它的发生及其后果是无法避免和无法克服的，如地震、火灾、兵变、洪水等。</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甲乙双方的任何一方由于不可抗力的原因不能履行合同时，应及时向对方通报不能履行或不能完全履行的理由，发生不可抗力的一方应当在壹个月内提供权威部门出具的有效证明，作为发生不可抗力情况的证明。在取得有关机构证明以后，允许延期履行、部分履行或者不履行合同，双方对此互不提出赔偿要求。</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3.在发生不可抗力的情况下，乙方仍然有责任采取必要的措施加速供货，双方应通过友好协商尽快解决本合同的执行问题。</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十六、合同变更</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在本合同履行过程中，双方经协商一致达成书面协议后可以变更本合同。</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十七、合同的终止</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除本合同另有约定外，任何一方不得擅自终止本合同。</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十八、法律适用及争议解决</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1.本合同适用中华人民共和国法律。</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2.甲、乙双方在履行本合同过程中若发生争议，首先应协商解决；协商不成的，双方同意向甲方住所地法院通过诉讼方式解决。</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3.双方确认：甲方有权直接或授权任何机构取代甲方处理因执行本合同所产生的纠纷。</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一方变更本合同记载的通讯地址或者联系方式的，应在变更后3日内将变更后的通讯地址或者联系方式通知另一方，否则本合同首部双方约定的住所地、联系人、联系方式等为法定送达信息，相关资料、司法文书按该送达信息进行送达的视为已送达。</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十九、合同生效</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本合同自合同双方有权签字人签字并加盖公章或合同专用章之日起生效。</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二十、合同使用文字、效力</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本合同除经双方另行商定外，所有文件、规格说明书、手册、书信、电传、通知及双方其他书面文件信函，均应以中文为准。</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二十一、反商业贿赂条款</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1.合同各方都清楚并愿意一致严格遵守反商业贿赂的法律规定，各方都清楚任何形式贪渎和贿赂的行为都将触犯法律，任何一方违反规定都将受到法律的严惩。</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甲方主要负责人、经办人或其他相关人员违反法律和甲方制度向乙方索要（且乙方同意给予）或接受协议约定外的包括但不限于回扣、好处费、现金、有价证券、购物卡、礼品、旅游等形式的不正当利益，应视为乙方违约。</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3.如乙方或乙方人员给予甲方主要负责人、经办人或其他相关人员本条第二款所列示的不正当利益，一经发现，则按以下规定执行；</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4.乙方必须支付合同总金额20%的违约金，并赔偿给甲方造成的全部损失；</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5.甲方还有权单方解除合同，并要求乙方承担违约责任。</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6.本条所称“其他相关人员”是指甲方主要负责人、经办人以外的与合同有直接或间接利益关系的人员，包括但不仅限于合同主要负责人、经办人的亲友。</w:t>
      </w:r>
    </w:p>
    <w:p>
      <w:pPr>
        <w:pStyle w:val="194"/>
        <w:spacing w:line="360" w:lineRule="auto"/>
        <w:ind w:firstLine="0" w:firstLineChars="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二十二、其他</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除双方在合同中约定的条款外，其他未尽事宜均以合同附件或其他形式另行约定，并构成本合同不可分割之组成部分。本合同的内容及其有关的附件是甲乙双方关于此次合作所最终确定的全部内容，双方均承认其已审阅、理解本合同及相关附件的内容。</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2.本合同附件作为本合同不可分割部分，与本合同具有同等法律效力。</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如本合同项下产品通过招标采购的，甲方发出的招标文件，以及乙方相应的投标文件，是本合同不可分割的部分，乙方在投标文件中所有承诺的（包括本合同未提出的）事项，将视为本合同中乙方对甲方的承诺。</w:t>
      </w:r>
    </w:p>
    <w:p>
      <w:pPr>
        <w:pStyle w:val="194"/>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4.本合同一式四份，甲方执二份，乙方执二份，具有同等法律效力。</w:t>
      </w:r>
    </w:p>
    <w:p>
      <w:pPr>
        <w:spacing w:line="360" w:lineRule="auto"/>
        <w:ind w:left="480"/>
        <w:rPr>
          <w:rFonts w:ascii="宋体" w:hAnsi="宋体" w:cs="宋体"/>
          <w:color w:val="000000" w:themeColor="text1"/>
          <w:szCs w:val="21"/>
          <w:highlight w:val="none"/>
          <w14:textFill>
            <w14:solidFill>
              <w14:schemeClr w14:val="tx1"/>
            </w14:solidFill>
          </w14:textFill>
        </w:rPr>
      </w:pPr>
    </w:p>
    <w:p>
      <w:pPr>
        <w:spacing w:line="360" w:lineRule="auto"/>
        <w:ind w:left="48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附件：1.服务清单</w:t>
      </w:r>
    </w:p>
    <w:p>
      <w:pPr>
        <w:pStyle w:val="27"/>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w:t>
      </w:r>
    </w:p>
    <w:p>
      <w:pPr>
        <w:spacing w:line="360" w:lineRule="auto"/>
        <w:rPr>
          <w:rFonts w:ascii="宋体" w:hAnsi="宋体" w:cs="宋体"/>
          <w:color w:val="000000" w:themeColor="text1"/>
          <w:szCs w:val="21"/>
          <w:highlight w:val="none"/>
          <w14:textFill>
            <w14:solidFill>
              <w14:schemeClr w14:val="tx1"/>
            </w14:solidFill>
          </w14:textFill>
        </w:rPr>
      </w:pPr>
    </w:p>
    <w:p>
      <w:pPr>
        <w:pStyle w:val="56"/>
        <w:spacing w:line="360" w:lineRule="auto"/>
        <w:rPr>
          <w:rFonts w:ascii="宋体" w:hAnsi="宋体" w:eastAsia="宋体" w:cs="宋体"/>
          <w:color w:val="000000" w:themeColor="text1"/>
          <w:sz w:val="21"/>
          <w:szCs w:val="21"/>
          <w:highlight w:val="none"/>
          <w14:textFill>
            <w14:solidFill>
              <w14:schemeClr w14:val="tx1"/>
            </w14:solidFill>
          </w14:textFill>
        </w:rPr>
      </w:pPr>
    </w:p>
    <w:p>
      <w:pPr>
        <w:spacing w:line="360" w:lineRule="auto"/>
        <w:rPr>
          <w:rFonts w:ascii="宋体" w:hAnsi="宋体" w:cs="宋体"/>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甲方（盖章）：                         乙方（盖章）：</w:t>
      </w:r>
    </w:p>
    <w:p>
      <w:pPr>
        <w:spacing w:line="360" w:lineRule="auto"/>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 xml:space="preserve">有权人（签字）：                              有权人（签字）： </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签定地点：</w:t>
      </w:r>
    </w:p>
    <w:p>
      <w:pPr>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签定日期：   年   月  日               签定日期：    年   月   日    </w:t>
      </w:r>
    </w:p>
    <w:p>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p>
    <w:p>
      <w:pPr>
        <w:pStyle w:val="2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附件：服务清单</w:t>
      </w:r>
    </w:p>
    <w:tbl>
      <w:tblPr>
        <w:tblStyle w:val="48"/>
        <w:tblW w:w="8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660"/>
        <w:gridCol w:w="398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1249"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1660"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w:t>
            </w:r>
          </w:p>
        </w:tc>
        <w:tc>
          <w:tcPr>
            <w:tcW w:w="3982" w:type="dxa"/>
            <w:shd w:val="clear" w:color="auto" w:fill="auto"/>
            <w:vAlign w:val="center"/>
          </w:tcPr>
          <w:p>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服务内容</w:t>
            </w:r>
          </w:p>
        </w:tc>
        <w:tc>
          <w:tcPr>
            <w:tcW w:w="1304"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49"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c>
          <w:tcPr>
            <w:tcW w:w="1660"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c>
          <w:tcPr>
            <w:tcW w:w="3982" w:type="dxa"/>
            <w:shd w:val="clear" w:color="auto" w:fill="auto"/>
            <w:vAlign w:val="center"/>
          </w:tcPr>
          <w:p>
            <w:pPr>
              <w:pStyle w:val="194"/>
              <w:ind w:firstLine="0" w:firstLineChars="0"/>
              <w:rPr>
                <w:rFonts w:ascii="宋体" w:hAnsi="宋体" w:cs="宋体"/>
                <w:color w:val="000000" w:themeColor="text1"/>
                <w:szCs w:val="21"/>
                <w:highlight w:val="none"/>
                <w14:textFill>
                  <w14:solidFill>
                    <w14:schemeClr w14:val="tx1"/>
                  </w14:solidFill>
                </w14:textFill>
              </w:rPr>
            </w:pPr>
          </w:p>
        </w:tc>
        <w:tc>
          <w:tcPr>
            <w:tcW w:w="1304"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49"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c>
          <w:tcPr>
            <w:tcW w:w="1660"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c>
          <w:tcPr>
            <w:tcW w:w="3982" w:type="dxa"/>
            <w:shd w:val="clear" w:color="auto" w:fill="auto"/>
            <w:vAlign w:val="center"/>
          </w:tcPr>
          <w:p>
            <w:pPr>
              <w:rPr>
                <w:rFonts w:ascii="宋体" w:hAnsi="宋体" w:cs="宋体"/>
                <w:color w:val="000000" w:themeColor="text1"/>
                <w:szCs w:val="21"/>
                <w:highlight w:val="none"/>
                <w14:textFill>
                  <w14:solidFill>
                    <w14:schemeClr w14:val="tx1"/>
                  </w14:solidFill>
                </w14:textFill>
              </w:rPr>
            </w:pPr>
          </w:p>
        </w:tc>
        <w:tc>
          <w:tcPr>
            <w:tcW w:w="1304" w:type="dxa"/>
            <w:shd w:val="clear" w:color="auto" w:fill="auto"/>
            <w:noWrap/>
            <w:vAlign w:val="center"/>
          </w:tcPr>
          <w:p>
            <w:pPr>
              <w:jc w:val="center"/>
              <w:rPr>
                <w:rFonts w:ascii="宋体" w:hAnsi="宋体" w:cs="宋体"/>
                <w:color w:val="000000" w:themeColor="text1"/>
                <w:szCs w:val="21"/>
                <w:highlight w:val="none"/>
                <w14:textFill>
                  <w14:solidFill>
                    <w14:schemeClr w14:val="tx1"/>
                  </w14:solidFill>
                </w14:textFill>
              </w:rPr>
            </w:pPr>
          </w:p>
        </w:tc>
      </w:tr>
    </w:tbl>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01" w:name="_Toc339020243"/>
      <w:bookmarkStart w:id="1602" w:name="_Toc349143599"/>
      <w:bookmarkStart w:id="1603" w:name="_Toc500861025"/>
      <w:bookmarkStart w:id="1604" w:name="_Toc341348348"/>
      <w:bookmarkStart w:id="1605" w:name="_Toc333935697"/>
      <w:bookmarkStart w:id="1606" w:name="_Toc333238643"/>
      <w:bookmarkStart w:id="1607" w:name="_Toc345513911"/>
      <w:bookmarkStart w:id="1608" w:name="_Toc331684048"/>
      <w:bookmarkStart w:id="1609" w:name="_Toc332206718"/>
      <w:bookmarkStart w:id="1610" w:name="_Toc349127636"/>
      <w:bookmarkStart w:id="1611" w:name="_Toc332270356"/>
      <w:bookmarkStart w:id="1612" w:name="_Toc333237687"/>
      <w:bookmarkStart w:id="1613" w:name="_Toc340507452"/>
      <w:bookmarkStart w:id="1614" w:name="_Toc366072539"/>
      <w:bookmarkStart w:id="1615" w:name="_Toc342296770"/>
      <w:bookmarkStart w:id="1616" w:name="_Toc340677080"/>
      <w:bookmarkStart w:id="1617" w:name="_Toc339020025"/>
      <w:bookmarkStart w:id="1618" w:name="_Toc331512908"/>
      <w:bookmarkStart w:id="1619" w:name="_Toc365985188"/>
      <w:bookmarkStart w:id="1620" w:name="_Toc333935356"/>
      <w:bookmarkStart w:id="1621" w:name="_Toc336681590"/>
      <w:bookmarkStart w:id="1622" w:name="_Toc19164"/>
      <w:bookmarkStart w:id="1623" w:name="_Toc350438759"/>
      <w:bookmarkStart w:id="1624" w:name="_Toc330459995"/>
      <w:bookmarkStart w:id="1625" w:name="_Toc339019899"/>
      <w:bookmarkStart w:id="1626" w:name="_Toc337632368"/>
      <w:bookmarkStart w:id="1627" w:name="_Toc336681945"/>
      <w:bookmarkStart w:id="1628" w:name="_Toc491658678"/>
      <w:bookmarkStart w:id="1629" w:name="_Toc350756460"/>
      <w:bookmarkStart w:id="1630" w:name="_Toc340672879"/>
      <w:bookmarkStart w:id="1631" w:name="_Toc365967082"/>
      <w:bookmarkStart w:id="1632" w:name="_Toc339020105"/>
      <w:bookmarkStart w:id="1633" w:name="_Toc339362310"/>
      <w:bookmarkStart w:id="1634" w:name="_Toc333237798"/>
      <w:bookmarkStart w:id="1635" w:name="_Toc342060384"/>
      <w:bookmarkStart w:id="1636" w:name="_Toc339441097"/>
      <w:r>
        <w:rPr>
          <w:rFonts w:hint="eastAsia"/>
          <w:color w:val="000000" w:themeColor="text1"/>
          <w:highlight w:val="none"/>
          <w14:textFill>
            <w14:solidFill>
              <w14:schemeClr w14:val="tx1"/>
            </w14:solidFill>
          </w14:textFill>
        </w:rPr>
        <w:t>第五部分</w:t>
      </w:r>
      <w:bookmarkStart w:id="1637" w:name="_Hlt97188172"/>
      <w:bookmarkEnd w:id="1637"/>
      <w:r>
        <w:rPr>
          <w:rFonts w:hint="eastAsia"/>
          <w:color w:val="000000" w:themeColor="text1"/>
          <w:highlight w:val="none"/>
          <w14:textFill>
            <w14:solidFill>
              <w14:schemeClr w14:val="tx1"/>
            </w14:solidFill>
          </w14:textFill>
        </w:rPr>
        <w:t>投标文件格式</w:t>
      </w:r>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Start w:id="1638" w:name="_Hlt21938933"/>
      <w:bookmarkEnd w:id="1638"/>
    </w:p>
    <w:p>
      <w:pPr>
        <w:pStyle w:val="4"/>
        <w:numPr>
          <w:ilvl w:val="0"/>
          <w:numId w:val="0"/>
        </w:numPr>
        <w:rPr>
          <w:color w:val="000000" w:themeColor="text1"/>
          <w:sz w:val="24"/>
          <w:highlight w:val="none"/>
          <w14:textFill>
            <w14:solidFill>
              <w14:schemeClr w14:val="tx1"/>
            </w14:solidFill>
          </w14:textFill>
        </w:rPr>
      </w:pPr>
      <w:bookmarkStart w:id="1639" w:name="_Toc23111"/>
      <w:bookmarkStart w:id="1640" w:name="_Toc18699"/>
      <w:r>
        <w:rPr>
          <w:rFonts w:hint="eastAsia"/>
          <w:color w:val="000000" w:themeColor="text1"/>
          <w:sz w:val="24"/>
          <w:highlight w:val="none"/>
          <w14:textFill>
            <w14:solidFill>
              <w14:schemeClr w14:val="tx1"/>
            </w14:solidFill>
          </w14:textFill>
        </w:rPr>
        <w:t>资格审查封面格式</w:t>
      </w:r>
      <w:bookmarkEnd w:id="1639"/>
      <w:bookmarkEnd w:id="1640"/>
    </w:p>
    <w:p>
      <w:pPr>
        <w:pStyle w:val="2"/>
        <w:rPr>
          <w:rFonts w:hAnsi="宋体"/>
          <w:bCs/>
          <w:color w:val="000000" w:themeColor="text1"/>
          <w:sz w:val="21"/>
          <w:highlight w:val="none"/>
          <w14:textFill>
            <w14:solidFill>
              <w14:schemeClr w14:val="tx1"/>
            </w14:solidFill>
          </w14:textFill>
        </w:rPr>
      </w:pP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2"/>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2"/>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41" w:name="_Toc24273"/>
      <w:bookmarkStart w:id="1642" w:name="_Toc31809"/>
      <w:r>
        <w:rPr>
          <w:rFonts w:hint="eastAsia"/>
          <w:color w:val="000000" w:themeColor="text1"/>
          <w:sz w:val="24"/>
          <w:highlight w:val="none"/>
          <w14:textFill>
            <w14:solidFill>
              <w14:schemeClr w14:val="tx1"/>
            </w14:solidFill>
          </w14:textFill>
        </w:rPr>
        <w:t>自查表</w:t>
      </w:r>
      <w:bookmarkEnd w:id="1641"/>
      <w:bookmarkEnd w:id="1642"/>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43" w:name="_Toc15898"/>
      <w:r>
        <w:rPr>
          <w:rFonts w:hint="eastAsia" w:ascii="宋体"/>
          <w:b/>
          <w:bCs w:val="0"/>
          <w:color w:val="000000" w:themeColor="text1"/>
          <w:szCs w:val="21"/>
          <w:highlight w:val="none"/>
          <w14:textFill>
            <w14:solidFill>
              <w14:schemeClr w14:val="tx1"/>
            </w14:solidFill>
          </w14:textFill>
        </w:rPr>
        <w:t xml:space="preserve"> </w:t>
      </w:r>
      <w:bookmarkStart w:id="1644" w:name="_Toc26175"/>
      <w:r>
        <w:rPr>
          <w:rFonts w:hint="eastAsia" w:ascii="宋体"/>
          <w:b/>
          <w:bCs w:val="0"/>
          <w:color w:val="000000" w:themeColor="text1"/>
          <w:szCs w:val="21"/>
          <w:highlight w:val="none"/>
          <w14:textFill>
            <w14:solidFill>
              <w14:schemeClr w14:val="tx1"/>
            </w14:solidFill>
          </w14:textFill>
        </w:rPr>
        <w:t>资格性自查表</w:t>
      </w:r>
      <w:bookmarkEnd w:id="1643"/>
      <w:bookmarkEnd w:id="1644"/>
    </w:p>
    <w:p>
      <w:pPr>
        <w:jc w:val="center"/>
        <w:rPr>
          <w:rFonts w:ascii="宋体" w:hAnsi="宋体"/>
          <w:b/>
          <w:bCs/>
          <w:color w:val="000000" w:themeColor="text1"/>
          <w:szCs w:val="21"/>
          <w:highlight w:val="none"/>
          <w14:textFill>
            <w14:solidFill>
              <w14:schemeClr w14:val="tx1"/>
            </w14:solidFill>
          </w14:textFill>
        </w:rPr>
      </w:pPr>
    </w:p>
    <w:tbl>
      <w:tblPr>
        <w:tblStyle w:val="48"/>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900"/>
        <w:gridCol w:w="2880"/>
        <w:gridCol w:w="1857"/>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7"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80"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857"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1337" w:type="dxa"/>
            <w:vMerge w:val="restart"/>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资格性检查</w:t>
            </w:r>
          </w:p>
        </w:tc>
        <w:tc>
          <w:tcPr>
            <w:tcW w:w="900" w:type="dxa"/>
            <w:vMerge w:val="restart"/>
            <w:vAlign w:val="center"/>
          </w:tcPr>
          <w:p>
            <w:pPr>
              <w:tabs>
                <w:tab w:val="left" w:pos="146"/>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投标人资格要求</w:t>
            </w:r>
          </w:p>
        </w:tc>
        <w:tc>
          <w:tcPr>
            <w:tcW w:w="288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857"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337"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900"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880" w:type="dxa"/>
            <w:vAlign w:val="center"/>
          </w:tcPr>
          <w:p>
            <w:pPr>
              <w:widowControl/>
              <w:tabs>
                <w:tab w:val="left" w:pos="735"/>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为采购项目提供整体设计、规范编制或者项目管理、监理、检测等服务的供应商，不得再参加该采购项目的其他采购活动。（提供《投标函》承诺）</w:t>
            </w:r>
          </w:p>
        </w:tc>
        <w:tc>
          <w:tcPr>
            <w:tcW w:w="1857"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337"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900"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880" w:type="dxa"/>
            <w:vAlign w:val="center"/>
          </w:tcPr>
          <w:p>
            <w:pPr>
              <w:widowControl/>
              <w:tabs>
                <w:tab w:val="left" w:pos="735"/>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单位负责人为同一人或者存在直接控股、管理关系的不同供应商，不得参加同一合同项下的政府采购活动。（提供《投标函》承诺）</w:t>
            </w:r>
          </w:p>
        </w:tc>
        <w:tc>
          <w:tcPr>
            <w:tcW w:w="1857"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337"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900" w:type="dxa"/>
            <w:vAlign w:val="center"/>
          </w:tcPr>
          <w:p>
            <w:pPr>
              <w:tabs>
                <w:tab w:val="left" w:pos="146"/>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2880" w:type="dxa"/>
            <w:vAlign w:val="center"/>
          </w:tcPr>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857"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color w:val="000000" w:themeColor="text1"/>
          <w:sz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45" w:name="_Toc21470"/>
      <w:bookmarkStart w:id="1646" w:name="_Toc18567"/>
      <w:r>
        <w:rPr>
          <w:rFonts w:hint="eastAsia"/>
          <w:color w:val="000000" w:themeColor="text1"/>
          <w:highlight w:val="none"/>
          <w14:textFill>
            <w14:solidFill>
              <w14:schemeClr w14:val="tx1"/>
            </w14:solidFill>
          </w14:textFill>
        </w:rPr>
        <w:t>（一）资格审查文件要求提交的有效证明文件</w:t>
      </w:r>
      <w:bookmarkEnd w:id="1645"/>
      <w:bookmarkEnd w:id="1646"/>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2"/>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2"/>
        <w:rPr>
          <w:rFonts w:hAnsi="宋体"/>
          <w:bCs/>
          <w:color w:val="000000" w:themeColor="text1"/>
          <w:sz w:val="21"/>
          <w:szCs w:val="21"/>
          <w:highlight w:val="none"/>
          <w14:textFill>
            <w14:solidFill>
              <w14:schemeClr w14:val="tx1"/>
            </w14:solidFill>
          </w14:textFill>
        </w:rPr>
      </w:pPr>
    </w:p>
    <w:p>
      <w:pPr>
        <w:pStyle w:val="2"/>
        <w:rPr>
          <w:rFonts w:hAnsi="宋体"/>
          <w:bCs/>
          <w:color w:val="000000" w:themeColor="text1"/>
          <w:sz w:val="21"/>
          <w:szCs w:val="21"/>
          <w:highlight w:val="none"/>
          <w14:textFill>
            <w14:solidFill>
              <w14:schemeClr w14:val="tx1"/>
            </w14:solidFill>
          </w14:textFill>
        </w:rPr>
      </w:pPr>
    </w:p>
    <w:p>
      <w:pPr>
        <w:pStyle w:val="2"/>
        <w:rPr>
          <w:rFonts w:hAnsi="宋体"/>
          <w:bCs/>
          <w:color w:val="000000" w:themeColor="text1"/>
          <w:sz w:val="21"/>
          <w:szCs w:val="21"/>
          <w:highlight w:val="none"/>
          <w14:textFill>
            <w14:solidFill>
              <w14:schemeClr w14:val="tx1"/>
            </w14:solidFill>
          </w14:textFill>
        </w:rPr>
      </w:pPr>
    </w:p>
    <w:p>
      <w:pPr>
        <w:pStyle w:val="2"/>
        <w:rPr>
          <w:rFonts w:hAnsi="宋体"/>
          <w:bCs/>
          <w:color w:val="000000" w:themeColor="text1"/>
          <w:sz w:val="21"/>
          <w:szCs w:val="21"/>
          <w:highlight w:val="none"/>
          <w14:textFill>
            <w14:solidFill>
              <w14:schemeClr w14:val="tx1"/>
            </w14:solidFill>
          </w14:textFill>
        </w:rPr>
      </w:pPr>
    </w:p>
    <w:p>
      <w:pPr>
        <w:pStyle w:val="2"/>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2"/>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647" w:name="_Toc20713"/>
      <w:bookmarkStart w:id="1648" w:name="_Toc26194"/>
      <w:r>
        <w:rPr>
          <w:rFonts w:hint="eastAsia" w:hAnsi="黑体"/>
          <w:color w:val="000000" w:themeColor="text1"/>
          <w:szCs w:val="21"/>
          <w:highlight w:val="none"/>
          <w14:textFill>
            <w14:solidFill>
              <w14:schemeClr w14:val="tx1"/>
            </w14:solidFill>
          </w14:textFill>
        </w:rPr>
        <w:t>（二）无重大违法记录声明函</w:t>
      </w:r>
      <w:bookmarkEnd w:id="1647"/>
      <w:bookmarkEnd w:id="1648"/>
    </w:p>
    <w:p>
      <w:pPr>
        <w:pStyle w:val="2"/>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致广东业信采购招标有限公司：</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left="420" w:firstLine="0"/>
        <w:rPr>
          <w:color w:val="000000" w:themeColor="text1"/>
          <w:highlight w:val="none"/>
          <w14:textFill>
            <w14:solidFill>
              <w14:schemeClr w14:val="tx1"/>
            </w14:solidFill>
          </w14:textFill>
        </w:rPr>
      </w:pPr>
    </w:p>
    <w:p>
      <w:pPr>
        <w:pStyle w:val="2"/>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649" w:name="_Toc8001"/>
      <w:bookmarkStart w:id="1650" w:name="_Toc5256"/>
      <w:r>
        <w:rPr>
          <w:rFonts w:hint="eastAsia"/>
          <w:color w:val="000000" w:themeColor="text1"/>
          <w:highlight w:val="none"/>
          <w14:textFill>
            <w14:solidFill>
              <w14:schemeClr w14:val="tx1"/>
            </w14:solidFill>
          </w14:textFill>
        </w:rPr>
        <w:t>投标文件商务及技术部分</w:t>
      </w:r>
      <w:bookmarkEnd w:id="1649"/>
      <w:bookmarkEnd w:id="1650"/>
    </w:p>
    <w:p>
      <w:pPr>
        <w:pStyle w:val="4"/>
        <w:numPr>
          <w:ilvl w:val="0"/>
          <w:numId w:val="0"/>
        </w:numPr>
        <w:rPr>
          <w:color w:val="000000" w:themeColor="text1"/>
          <w:sz w:val="24"/>
          <w:highlight w:val="none"/>
          <w14:textFill>
            <w14:solidFill>
              <w14:schemeClr w14:val="tx1"/>
            </w14:solidFill>
          </w14:textFill>
        </w:rPr>
      </w:pPr>
      <w:bookmarkStart w:id="1651" w:name="_Toc24112"/>
      <w:r>
        <w:rPr>
          <w:rFonts w:hint="eastAsia"/>
          <w:color w:val="000000" w:themeColor="text1"/>
          <w:sz w:val="24"/>
          <w:highlight w:val="none"/>
          <w14:textFill>
            <w14:solidFill>
              <w14:schemeClr w14:val="tx1"/>
            </w14:solidFill>
          </w14:textFill>
        </w:rPr>
        <w:t>商务及技术封面格式</w:t>
      </w:r>
      <w:bookmarkEnd w:id="1651"/>
    </w:p>
    <w:p>
      <w:pPr>
        <w:pStyle w:val="2"/>
        <w:rPr>
          <w:rFonts w:hAnsi="宋体"/>
          <w:bCs/>
          <w:color w:val="000000" w:themeColor="text1"/>
          <w:sz w:val="21"/>
          <w:highlight w:val="none"/>
          <w14:textFill>
            <w14:solidFill>
              <w14:schemeClr w14:val="tx1"/>
            </w14:solidFill>
          </w14:textFill>
        </w:rPr>
      </w:pPr>
    </w:p>
    <w:p>
      <w:pPr>
        <w:pStyle w:val="2"/>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2"/>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ind w:firstLine="0"/>
        <w:jc w:val="both"/>
        <w:rPr>
          <w:rFonts w:hAnsi="宋体"/>
          <w:bCs/>
          <w:color w:val="000000" w:themeColor="text1"/>
          <w:sz w:val="21"/>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2"/>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360" w:lineRule="auto"/>
        <w:jc w:val="center"/>
        <w:rPr>
          <w:rFonts w:hAnsi="宋体"/>
          <w:bCs/>
          <w:color w:val="000000" w:themeColor="text1"/>
          <w:sz w:val="52"/>
          <w:szCs w:val="52"/>
          <w:highlight w:val="none"/>
          <w14:textFill>
            <w14:solidFill>
              <w14:schemeClr w14:val="tx1"/>
            </w14:solidFill>
          </w14:textFill>
        </w:rPr>
      </w:pPr>
    </w:p>
    <w:p>
      <w:pPr>
        <w:pStyle w:val="2"/>
        <w:spacing w:line="440" w:lineRule="exact"/>
        <w:jc w:val="center"/>
        <w:rPr>
          <w:rFonts w:hAnsi="宋体"/>
          <w:bCs/>
          <w:color w:val="000000" w:themeColor="text1"/>
          <w:sz w:val="21"/>
          <w:highlight w:val="none"/>
          <w14:textFill>
            <w14:solidFill>
              <w14:schemeClr w14:val="tx1"/>
            </w14:solidFill>
          </w14:textFill>
        </w:rPr>
      </w:pPr>
    </w:p>
    <w:p>
      <w:pPr>
        <w:pStyle w:val="2"/>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2"/>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ind w:firstLine="0"/>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2" w:name="_Toc16940"/>
      <w:r>
        <w:rPr>
          <w:rFonts w:hint="eastAsia" w:ascii="宋体"/>
          <w:b/>
          <w:bCs w:val="0"/>
          <w:color w:val="000000" w:themeColor="text1"/>
          <w:szCs w:val="21"/>
          <w:highlight w:val="none"/>
          <w14:textFill>
            <w14:solidFill>
              <w14:schemeClr w14:val="tx1"/>
            </w14:solidFill>
          </w14:textFill>
        </w:rPr>
        <w:t>符合性自查表</w:t>
      </w:r>
      <w:bookmarkEnd w:id="1652"/>
    </w:p>
    <w:p>
      <w:pPr>
        <w:jc w:val="center"/>
        <w:rPr>
          <w:rFonts w:ascii="宋体" w:hAnsi="宋体"/>
          <w:b/>
          <w:bCs/>
          <w:color w:val="000000" w:themeColor="text1"/>
          <w:szCs w:val="21"/>
          <w:highlight w:val="none"/>
          <w14:textFill>
            <w14:solidFill>
              <w14:schemeClr w14:val="tx1"/>
            </w14:solidFill>
          </w14:textFill>
        </w:rPr>
      </w:pPr>
    </w:p>
    <w:tbl>
      <w:tblPr>
        <w:tblStyle w:val="48"/>
        <w:tblW w:w="9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986"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须满足带“★”号要求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continue"/>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完工期须满足要求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8"/>
              <w:rPr>
                <w:rFonts w:ascii="宋体" w:hAnsi="宋体"/>
                <w:bCs/>
                <w:color w:val="000000" w:themeColor="text1"/>
                <w:szCs w:val="2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bookmarkStart w:id="1653" w:name="_Toc26704"/>
      <w:r>
        <w:rPr>
          <w:rFonts w:hint="eastAsia" w:ascii="宋体"/>
          <w:b/>
          <w:color w:val="000000" w:themeColor="text1"/>
          <w:szCs w:val="21"/>
          <w:highlight w:val="none"/>
          <w14:textFill>
            <w14:solidFill>
              <w14:schemeClr w14:val="tx1"/>
            </w14:solidFill>
          </w14:textFill>
        </w:rPr>
        <w:t xml:space="preserve"> </w:t>
      </w:r>
      <w:bookmarkStart w:id="1654" w:name="_Toc6095"/>
      <w:r>
        <w:rPr>
          <w:rFonts w:hint="eastAsia" w:ascii="宋体"/>
          <w:b/>
          <w:color w:val="000000" w:themeColor="text1"/>
          <w:szCs w:val="21"/>
          <w:highlight w:val="none"/>
          <w14:textFill>
            <w14:solidFill>
              <w14:schemeClr w14:val="tx1"/>
            </w14:solidFill>
          </w14:textFill>
        </w:rPr>
        <w:t>评审项目投标资料表</w:t>
      </w:r>
      <w:bookmarkEnd w:id="1653"/>
      <w:bookmarkEnd w:id="1654"/>
    </w:p>
    <w:p>
      <w:pPr>
        <w:jc w:val="center"/>
        <w:rPr>
          <w:rFonts w:ascii="宋体" w:hAnsi="宋体" w:eastAsia="黑体"/>
          <w:b/>
          <w:color w:val="000000" w:themeColor="text1"/>
          <w:kern w:val="44"/>
          <w:szCs w:val="21"/>
          <w:highlight w:val="none"/>
          <w14:textFill>
            <w14:solidFill>
              <w14:schemeClr w14:val="tx1"/>
            </w14:solidFill>
          </w14:textFill>
        </w:rPr>
      </w:pPr>
    </w:p>
    <w:tbl>
      <w:tblPr>
        <w:tblStyle w:val="48"/>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2"/>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bookmarkEnd w:id="1332"/>
    <w:bookmarkEnd w:id="1333"/>
    <w:bookmarkEnd w:id="1334"/>
    <w:bookmarkEnd w:id="1335"/>
    <w:bookmarkEnd w:id="1336"/>
    <w:p>
      <w:pPr>
        <w:tabs>
          <w:tab w:val="center" w:pos="4483"/>
        </w:tabs>
        <w:rPr>
          <w:rFonts w:ascii="宋体" w:hAnsi="宋体"/>
          <w:bCs/>
          <w:color w:val="000000" w:themeColor="text1"/>
          <w:szCs w:val="21"/>
          <w:highlight w:val="none"/>
          <w14:textFill>
            <w14:solidFill>
              <w14:schemeClr w14:val="tx1"/>
            </w14:solidFill>
          </w14:textFill>
        </w:rPr>
      </w:pPr>
      <w:bookmarkStart w:id="1655" w:name="_Toc468606057"/>
      <w:bookmarkStart w:id="1656" w:name="_Toc480021081"/>
      <w:bookmarkStart w:id="1657" w:name="_Toc480010736"/>
      <w:bookmarkStart w:id="1658" w:name="_Toc491658679"/>
      <w:bookmarkStart w:id="1659" w:name="_Toc500861026"/>
      <w:bookmarkStart w:id="1660" w:name="_Toc480020285"/>
      <w:bookmarkStart w:id="1661" w:name="_Toc467987851"/>
      <w:bookmarkStart w:id="1662" w:name="_Toc479991610"/>
      <w:bookmarkStart w:id="1663" w:name="_Toc468157564"/>
      <w:bookmarkStart w:id="1664" w:name="_Toc467236768"/>
      <w:bookmarkStart w:id="1665" w:name="_Toc6397150"/>
      <w:bookmarkStart w:id="1666" w:name="_Toc458262638"/>
      <w:bookmarkStart w:id="1667" w:name="_Toc454701405"/>
      <w:bookmarkStart w:id="1668" w:name="_Toc6727971"/>
    </w:p>
    <w:p>
      <w:pPr>
        <w:pStyle w:val="4"/>
        <w:numPr>
          <w:ilvl w:val="0"/>
          <w:numId w:val="0"/>
        </w:numPr>
        <w:rPr>
          <w:color w:val="000000" w:themeColor="text1"/>
          <w:highlight w:val="none"/>
          <w14:textFill>
            <w14:solidFill>
              <w14:schemeClr w14:val="tx1"/>
            </w14:solidFill>
          </w14:textFill>
        </w:rPr>
      </w:pPr>
      <w:bookmarkStart w:id="1669" w:name="_Toc9808"/>
      <w:bookmarkStart w:id="1670" w:name="_Toc13455"/>
      <w:r>
        <w:rPr>
          <w:rFonts w:hint="eastAsia"/>
          <w:color w:val="000000" w:themeColor="text1"/>
          <w:highlight w:val="none"/>
          <w14:textFill>
            <w14:solidFill>
              <w14:schemeClr w14:val="tx1"/>
            </w14:solidFill>
          </w14:textFill>
        </w:rPr>
        <w:t>（一）法定代表人（负责人）证明书</w:t>
      </w:r>
      <w:bookmarkEnd w:id="1669"/>
      <w:bookmarkEnd w:id="1670"/>
    </w:p>
    <w:p>
      <w:pPr>
        <w:pStyle w:val="2"/>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2"/>
        <w:rPr>
          <w:rFonts w:hAnsi="宋体"/>
          <w:color w:val="000000" w:themeColor="text1"/>
          <w:sz w:val="21"/>
          <w:highlight w:val="none"/>
          <w14:textFill>
            <w14:solidFill>
              <w14:schemeClr w14:val="tx1"/>
            </w14:solidFill>
          </w14:textFill>
        </w:rPr>
      </w:pPr>
    </w:p>
    <w:p>
      <w:pPr>
        <w:pStyle w:val="2"/>
        <w:rPr>
          <w:color w:val="000000" w:themeColor="text1"/>
          <w:highlight w:val="none"/>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0" t="0" r="12065" b="10795"/>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highlight w:val="none"/>
          <w14:textFill>
            <w14:solidFill>
              <w14:schemeClr w14:val="tx1"/>
            </w14:solidFill>
          </w14:textFill>
        </w:rPr>
      </w:pPr>
      <w:bookmarkStart w:id="1671" w:name="_Toc20480"/>
      <w:bookmarkStart w:id="1672" w:name="_Toc27194"/>
      <w:r>
        <w:rPr>
          <w:rFonts w:hint="eastAsia"/>
          <w:color w:val="000000" w:themeColor="text1"/>
          <w:highlight w:val="none"/>
          <w14:textFill>
            <w14:solidFill>
              <w14:schemeClr w14:val="tx1"/>
            </w14:solidFill>
          </w14:textFill>
        </w:rPr>
        <w:t>（二）法定代表人（负责人）授权书</w:t>
      </w:r>
      <w:bookmarkEnd w:id="1671"/>
      <w:bookmarkEnd w:id="1672"/>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为我公司代理人，以本公司的名义参加广东业信采购招标有限公司组织的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0" t="0" r="21590" b="23495"/>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73" w:name="_Toc337632379"/>
      <w:bookmarkStart w:id="1674" w:name="_Toc342398151"/>
      <w:bookmarkStart w:id="1675" w:name="_Toc345312618"/>
      <w:bookmarkStart w:id="1676" w:name="_Toc340507463"/>
      <w:bookmarkStart w:id="1677" w:name="_Toc339362321"/>
      <w:bookmarkStart w:id="1678" w:name="_Toc341348361"/>
      <w:bookmarkStart w:id="1679" w:name="_Toc343612941"/>
      <w:bookmarkStart w:id="1680" w:name="_Toc365985199"/>
      <w:bookmarkStart w:id="1681" w:name="_Toc339020254"/>
      <w:bookmarkStart w:id="1682" w:name="_Toc366072550"/>
      <w:bookmarkStart w:id="1683" w:name="_Toc331684063"/>
      <w:bookmarkStart w:id="1684" w:name="_Toc331512922"/>
      <w:bookmarkStart w:id="1685" w:name="_Toc342060396"/>
      <w:bookmarkStart w:id="1686" w:name="_Toc333237810"/>
      <w:bookmarkStart w:id="1687" w:name="_Toc343248439"/>
      <w:bookmarkStart w:id="1688" w:name="_Toc339020116"/>
      <w:bookmarkStart w:id="1689" w:name="_Toc332206730"/>
      <w:bookmarkStart w:id="1690" w:name="_Toc339019910"/>
      <w:bookmarkStart w:id="1691" w:name="_Toc330460007"/>
      <w:bookmarkStart w:id="1692" w:name="_Toc365967093"/>
      <w:bookmarkStart w:id="1693" w:name="_Toc336681601"/>
      <w:bookmarkStart w:id="1694" w:name="_Toc350756471"/>
      <w:bookmarkStart w:id="1695" w:name="_Toc339441108"/>
      <w:bookmarkStart w:id="1696" w:name="_Toc340672890"/>
      <w:bookmarkStart w:id="1697" w:name="_Toc350438770"/>
      <w:bookmarkStart w:id="1698" w:name="_Toc339020036"/>
      <w:bookmarkStart w:id="1699" w:name="_Toc333237699"/>
      <w:bookmarkStart w:id="1700" w:name="_Toc333238655"/>
      <w:bookmarkStart w:id="1701" w:name="_Toc342312464"/>
      <w:bookmarkStart w:id="1702" w:name="_Toc2314"/>
      <w:bookmarkStart w:id="1703" w:name="_Toc333935367"/>
      <w:bookmarkStart w:id="1704" w:name="_Toc342296782"/>
      <w:bookmarkStart w:id="1705" w:name="_Toc340677091"/>
      <w:bookmarkStart w:id="1706" w:name="_Toc336681956"/>
      <w:bookmarkStart w:id="1707" w:name="_Toc343247121"/>
      <w:bookmarkStart w:id="1708" w:name="_Toc333935708"/>
      <w:bookmarkStart w:id="1709" w:name="_Toc332270368"/>
      <w:r>
        <w:rPr>
          <w:rFonts w:hint="eastAsia"/>
          <w:color w:val="000000" w:themeColor="text1"/>
          <w:highlight w:val="none"/>
          <w14:textFill>
            <w14:solidFill>
              <w14:schemeClr w14:val="tx1"/>
            </w14:solidFill>
          </w14:textFill>
        </w:rPr>
        <w:t>附件一：投标</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r>
        <w:rPr>
          <w:rFonts w:hint="eastAsia"/>
          <w:color w:val="000000" w:themeColor="text1"/>
          <w:highlight w:val="none"/>
          <w14:textFill>
            <w14:solidFill>
              <w14:schemeClr w14:val="tx1"/>
            </w14:solidFill>
          </w14:textFill>
        </w:rPr>
        <w:t>函</w:t>
      </w:r>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w:t>
      </w:r>
      <w:r>
        <w:rPr>
          <w:rFonts w:hint="eastAsia" w:ascii="宋体" w:hAnsi="宋体"/>
          <w:b/>
          <w:bCs/>
          <w:color w:val="000000" w:themeColor="text1"/>
          <w:highlight w:val="none"/>
          <w:u w:val="single"/>
          <w14:textFill>
            <w14:solidFill>
              <w14:schemeClr w14:val="tx1"/>
            </w14:solidFill>
          </w14:textFill>
        </w:rPr>
        <w:t>招标人名称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3"/>
        </w:numPr>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所附投标价格表中规定的应提交和交付的投标总价为人民币：</w:t>
      </w:r>
      <w:r>
        <w:rPr>
          <w:rFonts w:hint="eastAsia" w:ascii="宋体" w:hAnsi="宋体"/>
          <w:color w:val="000000" w:themeColor="text1"/>
          <w:highlight w:val="none"/>
          <w:u w:val="single"/>
          <w14:textFill>
            <w14:solidFill>
              <w14:schemeClr w14:val="tx1"/>
            </w14:solidFill>
          </w14:textFill>
        </w:rPr>
        <w:t xml:space="preserve"> （用文字和数字表示的投标总价）  </w:t>
      </w:r>
      <w:r>
        <w:rPr>
          <w:rFonts w:hint="eastAsia" w:ascii="宋体" w:hAnsi="宋体"/>
          <w:color w:val="000000" w:themeColor="text1"/>
          <w:highlight w:val="none"/>
          <w14:textFill>
            <w14:solidFill>
              <w14:schemeClr w14:val="tx1"/>
            </w14:solidFill>
          </w14:textFill>
        </w:rPr>
        <w:t>。</w:t>
      </w:r>
    </w:p>
    <w:p>
      <w:pPr>
        <w:pStyle w:val="242"/>
        <w:numPr>
          <w:ilvl w:val="0"/>
          <w:numId w:val="0"/>
        </w:numPr>
        <w:tabs>
          <w:tab w:val="left" w:pos="640"/>
        </w:tabs>
        <w:spacing w:line="360" w:lineRule="auto"/>
        <w:ind w:left="428" w:leftChars="200" w:hanging="8"/>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2、为采购项目提供整体设计、规范编制或者项目管理、监理、检测等服务的供应商，不得再参加该采购项目的其他采购活动。</w:t>
      </w:r>
    </w:p>
    <w:p>
      <w:pPr>
        <w:pStyle w:val="242"/>
        <w:numPr>
          <w:ilvl w:val="0"/>
          <w:numId w:val="0"/>
        </w:numPr>
        <w:tabs>
          <w:tab w:val="left" w:pos="640"/>
        </w:tabs>
        <w:spacing w:line="360" w:lineRule="auto"/>
        <w:ind w:left="428" w:leftChars="200" w:hanging="8"/>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3、单位负责人为同一人或者存在直接控股、管理关系的不同供应商，不得参加同一合同项下的政府采购活动。</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4、本次投标所报内容完全按照招标文件要求填报，所有内容都是真实、准确的。</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5、投标人将按招标文件的规定履行全部合同责任和义务。</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6、投标人已详细审查全部招标文件，包括修改文件（如有的话）以及全部参考资料和有关附件。我们完全理解并同意放弃对这方面有不明及误解的权利。</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7、本次投标自开标日起有效期为90天。</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8、如果在规定的开标时间后，投标人在投标有效期内撤回投标文件，投标保证金将被贵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9、投标人同意提供按照贵方可能要求与其投标有关的一切数据或资料，完全理解贵方不一定接受最低价的投标或收到的任何投标。</w:t>
      </w:r>
    </w:p>
    <w:p>
      <w:pPr>
        <w:widowControl/>
        <w:tabs>
          <w:tab w:val="left" w:pos="640"/>
        </w:tabs>
        <w:adjustRightInd w:val="0"/>
        <w:snapToGrid w:val="0"/>
        <w:spacing w:line="360" w:lineRule="auto"/>
        <w:ind w:left="428" w:leftChars="200" w:hanging="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10、与本投标有关的一切正式往来通讯请寄至投标文件封面指定地址、联系方式。</w:t>
      </w:r>
    </w:p>
    <w:p>
      <w:pPr>
        <w:adjustRightInd w:val="0"/>
        <w:snapToGrid w:val="0"/>
        <w:spacing w:line="400" w:lineRule="exact"/>
        <w:ind w:left="428" w:leftChars="200" w:hanging="8"/>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3"/>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10" w:name="_Hlt16935467"/>
      <w:bookmarkEnd w:id="1710"/>
      <w:bookmarkStart w:id="1711" w:name="_Toc340672891"/>
      <w:bookmarkStart w:id="1712" w:name="_Toc330460008"/>
      <w:bookmarkStart w:id="1713" w:name="_Toc365985200"/>
      <w:bookmarkStart w:id="1714" w:name="_Toc336681957"/>
      <w:bookmarkStart w:id="1715" w:name="_Toc333935368"/>
      <w:bookmarkStart w:id="1716" w:name="_Toc331512923"/>
      <w:bookmarkStart w:id="1717" w:name="_Toc332206731"/>
      <w:bookmarkStart w:id="1718" w:name="_Toc332270369"/>
      <w:bookmarkStart w:id="1719" w:name="_Toc350438771"/>
      <w:bookmarkStart w:id="1720" w:name="_Toc341348362"/>
      <w:bookmarkStart w:id="1721" w:name="_Toc23180"/>
      <w:bookmarkStart w:id="1722" w:name="_Toc336681602"/>
      <w:bookmarkStart w:id="1723" w:name="_Toc333237811"/>
      <w:bookmarkStart w:id="1724" w:name="_Toc331684064"/>
      <w:bookmarkStart w:id="1725" w:name="_Toc366072551"/>
      <w:bookmarkStart w:id="1726" w:name="_Toc333238656"/>
      <w:bookmarkStart w:id="1727" w:name="_Toc333935709"/>
      <w:bookmarkStart w:id="1728" w:name="_Toc342398152"/>
      <w:bookmarkStart w:id="1729" w:name="_Toc339020255"/>
      <w:bookmarkStart w:id="1730" w:name="_Toc339441109"/>
      <w:bookmarkStart w:id="1731" w:name="_Toc339362322"/>
      <w:bookmarkStart w:id="1732" w:name="_Toc340507464"/>
      <w:bookmarkStart w:id="1733" w:name="_Toc333237700"/>
      <w:bookmarkStart w:id="1734" w:name="_Toc78816017"/>
      <w:bookmarkStart w:id="1735" w:name="_Toc337632380"/>
      <w:bookmarkStart w:id="1736" w:name="_Toc345312619"/>
      <w:bookmarkStart w:id="1737" w:name="_Toc343612942"/>
      <w:bookmarkStart w:id="1738" w:name="_Toc339020117"/>
      <w:bookmarkStart w:id="1739" w:name="_Toc343247122"/>
      <w:bookmarkStart w:id="1740" w:name="_Toc350756472"/>
      <w:bookmarkStart w:id="1741" w:name="_Toc339020037"/>
      <w:bookmarkStart w:id="1742" w:name="_Toc343248440"/>
      <w:bookmarkStart w:id="1743" w:name="_Toc342296783"/>
      <w:bookmarkStart w:id="1744" w:name="_Toc339019911"/>
      <w:bookmarkStart w:id="1745" w:name="_Toc342060397"/>
      <w:bookmarkStart w:id="1746" w:name="_Toc340677092"/>
      <w:bookmarkStart w:id="1747" w:name="_Toc365967094"/>
      <w:bookmarkStart w:id="1748" w:name="_Toc342312465"/>
      <w:r>
        <w:rPr>
          <w:rFonts w:hint="eastAsia"/>
          <w:color w:val="000000" w:themeColor="text1"/>
          <w:highlight w:val="none"/>
          <w14:textFill>
            <w14:solidFill>
              <w14:schemeClr w14:val="tx1"/>
            </w14:solidFill>
          </w14:textFill>
        </w:rPr>
        <w:t>附件二：开标一览表</w:t>
      </w:r>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287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719"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投标总价</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完工期</w:t>
            </w:r>
          </w:p>
        </w:tc>
        <w:tc>
          <w:tcPr>
            <w:tcW w:w="68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7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719"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689"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49" w:name="_Toc366072552"/>
      <w:bookmarkStart w:id="1750" w:name="_Toc339362323"/>
      <w:bookmarkStart w:id="1751" w:name="_Toc333238657"/>
      <w:bookmarkStart w:id="1752" w:name="_Toc343612943"/>
      <w:bookmarkStart w:id="1753" w:name="_Toc333237812"/>
      <w:bookmarkStart w:id="1754" w:name="_Toc339020256"/>
      <w:bookmarkStart w:id="1755" w:name="_Toc345312620"/>
      <w:bookmarkStart w:id="1756" w:name="_Toc330460009"/>
      <w:bookmarkStart w:id="1757" w:name="_Toc343247123"/>
      <w:bookmarkStart w:id="1758" w:name="_Toc341348363"/>
      <w:bookmarkStart w:id="1759" w:name="_Toc342312466"/>
      <w:bookmarkStart w:id="1760" w:name="_Toc340672892"/>
      <w:bookmarkStart w:id="1761" w:name="_Toc332206732"/>
      <w:bookmarkStart w:id="1762" w:name="_Toc339019912"/>
      <w:bookmarkStart w:id="1763" w:name="_Toc365967095"/>
      <w:bookmarkStart w:id="1764" w:name="_Toc340677093"/>
      <w:bookmarkStart w:id="1765" w:name="_Toc339441110"/>
      <w:bookmarkStart w:id="1766" w:name="_Toc365985201"/>
      <w:bookmarkStart w:id="1767" w:name="_Toc339020118"/>
      <w:bookmarkStart w:id="1768" w:name="_Toc336681958"/>
      <w:bookmarkStart w:id="1769" w:name="_Toc331512924"/>
      <w:bookmarkStart w:id="1770" w:name="_Toc336681603"/>
      <w:bookmarkStart w:id="1771" w:name="_Toc332270370"/>
      <w:bookmarkStart w:id="1772" w:name="_Toc21336"/>
      <w:bookmarkStart w:id="1773" w:name="_Toc342296784"/>
      <w:bookmarkStart w:id="1774" w:name="_Toc333935710"/>
      <w:bookmarkStart w:id="1775" w:name="_Toc339020038"/>
      <w:bookmarkStart w:id="1776" w:name="_Toc343248441"/>
      <w:bookmarkStart w:id="1777" w:name="_Toc337632381"/>
      <w:bookmarkStart w:id="1778" w:name="_Toc350756473"/>
      <w:bookmarkStart w:id="1779" w:name="_Toc342060398"/>
      <w:bookmarkStart w:id="1780" w:name="_Toc333935369"/>
      <w:bookmarkStart w:id="1781" w:name="_Toc342398153"/>
      <w:bookmarkStart w:id="1782" w:name="_Toc340507465"/>
      <w:bookmarkStart w:id="1783" w:name="_Toc350438772"/>
      <w:bookmarkStart w:id="1784" w:name="_Toc333237701"/>
      <w:bookmarkStart w:id="1785" w:name="_Toc331684065"/>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p>
      <w:pPr>
        <w:adjustRightInd w:val="0"/>
        <w:snapToGrid w:val="0"/>
        <w:spacing w:line="360" w:lineRule="auto"/>
        <w:ind w:left="1050" w:leftChars="500" w:firstLine="6195" w:firstLineChars="2950"/>
        <w:jc w:val="left"/>
        <w:rPr>
          <w:color w:val="000000" w:themeColor="text1"/>
          <w:szCs w:val="18"/>
          <w:highlight w:val="none"/>
          <w14:textFill>
            <w14:solidFill>
              <w14:schemeClr w14:val="tx1"/>
            </w14:solidFill>
          </w14:textFill>
        </w:rPr>
      </w:pPr>
      <w:r>
        <w:rPr>
          <w:rFonts w:hint="eastAsia"/>
          <w:color w:val="000000" w:themeColor="text1"/>
          <w:szCs w:val="18"/>
          <w:highlight w:val="none"/>
          <w14:textFill>
            <w14:solidFill>
              <w14:schemeClr w14:val="tx1"/>
            </w14:solidFill>
          </w14:textFill>
        </w:rPr>
        <w:t>（单位：元）</w:t>
      </w:r>
    </w:p>
    <w:tbl>
      <w:tblPr>
        <w:tblStyle w:val="48"/>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序号</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2</w:t>
            </w: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3</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4</w:t>
            </w:r>
          </w:p>
        </w:tc>
        <w:tc>
          <w:tcPr>
            <w:tcW w:w="1287"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项目内容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2</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时间</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3</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单价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4</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总价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5</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保险费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6</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税金</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7</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技术服务费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8</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培训费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9</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质量保证期内的服务费用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10</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其他费用</w:t>
            </w:r>
          </w:p>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（该表中无体现的费用但本项目有产生的其他费用）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11</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投标总价</w:t>
            </w:r>
          </w:p>
        </w:tc>
        <w:tc>
          <w:tcPr>
            <w:tcW w:w="3208" w:type="dxa"/>
            <w:gridSpan w:val="3"/>
            <w:tcBorders>
              <w:top w:val="single" w:color="auto" w:sz="4" w:space="0"/>
              <w:left w:val="single" w:color="auto" w:sz="4" w:space="0"/>
              <w:bottom w:val="single" w:color="auto" w:sz="4" w:space="0"/>
              <w:right w:val="single" w:color="auto" w:sz="4" w:space="0"/>
            </w:tcBorders>
            <w:vAlign w:val="center"/>
          </w:tcPr>
          <w:p>
            <w:pPr>
              <w:pStyle w:val="2"/>
              <w:snapToGrid w:val="0"/>
              <w:ind w:firstLine="0"/>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（大写）人民币</w:t>
            </w:r>
          </w:p>
        </w:tc>
        <w:tc>
          <w:tcPr>
            <w:tcW w:w="3204" w:type="dxa"/>
            <w:gridSpan w:val="3"/>
            <w:tcBorders>
              <w:top w:val="single" w:color="auto" w:sz="4" w:space="0"/>
              <w:left w:val="single" w:color="auto" w:sz="4" w:space="0"/>
              <w:bottom w:val="single" w:color="auto" w:sz="4" w:space="0"/>
              <w:right w:val="single" w:color="auto" w:sz="4" w:space="0"/>
            </w:tcBorders>
            <w:vAlign w:val="center"/>
          </w:tcPr>
          <w:p>
            <w:pPr>
              <w:pStyle w:val="2"/>
              <w:snapToGrid w:val="0"/>
              <w:ind w:firstLine="0"/>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12</w:t>
            </w:r>
          </w:p>
        </w:tc>
        <w:tc>
          <w:tcPr>
            <w:tcW w:w="1842" w:type="dxa"/>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备注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2"/>
              <w:snapToGrid w:val="0"/>
              <w:ind w:firstLine="0"/>
              <w:jc w:val="center"/>
              <w:rPr>
                <w:rFonts w:hAnsi="宋体" w:cs="宋体"/>
                <w:bCs/>
                <w:color w:val="000000" w:themeColor="text1"/>
                <w:sz w:val="21"/>
                <w:szCs w:val="2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注：如本表格式内容不能满足需要，投标人可自行划表填写。</w:t>
      </w:r>
    </w:p>
    <w:p>
      <w:pPr>
        <w:spacing w:line="360" w:lineRule="auto"/>
        <w:rPr>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86" w:name="_Toc331684066"/>
      <w:bookmarkStart w:id="1787" w:name="_Toc331512925"/>
      <w:bookmarkStart w:id="1788" w:name="_Toc14186"/>
      <w:bookmarkStart w:id="1789" w:name="_Toc333935370"/>
      <w:bookmarkStart w:id="1790" w:name="_Toc342398154"/>
      <w:bookmarkStart w:id="1791" w:name="_Toc333237813"/>
      <w:bookmarkStart w:id="1792" w:name="_Toc340672893"/>
      <w:bookmarkStart w:id="1793" w:name="_Toc339362324"/>
      <w:bookmarkStart w:id="1794" w:name="_Toc343248442"/>
      <w:bookmarkStart w:id="1795" w:name="_Toc339019913"/>
      <w:bookmarkStart w:id="1796" w:name="_Toc339441111"/>
      <w:bookmarkStart w:id="1797" w:name="_Toc340507466"/>
      <w:bookmarkStart w:id="1798" w:name="_Toc365967096"/>
      <w:bookmarkStart w:id="1799" w:name="_Toc336681959"/>
      <w:bookmarkStart w:id="1800" w:name="_Toc342296785"/>
      <w:bookmarkStart w:id="1801" w:name="_Toc333935711"/>
      <w:bookmarkStart w:id="1802" w:name="_Toc339020039"/>
      <w:bookmarkStart w:id="1803" w:name="_Toc365985202"/>
      <w:bookmarkStart w:id="1804" w:name="_Toc333238658"/>
      <w:bookmarkStart w:id="1805" w:name="_Toc330460010"/>
      <w:bookmarkStart w:id="1806" w:name="_Toc345312621"/>
      <w:bookmarkStart w:id="1807" w:name="_Toc343612944"/>
      <w:bookmarkStart w:id="1808" w:name="_Toc343247124"/>
      <w:bookmarkStart w:id="1809" w:name="_Toc336681604"/>
      <w:bookmarkStart w:id="1810" w:name="_Toc332206733"/>
      <w:bookmarkStart w:id="1811" w:name="_Toc342312467"/>
      <w:bookmarkStart w:id="1812" w:name="_Toc339020119"/>
      <w:bookmarkStart w:id="1813" w:name="_Toc333237702"/>
      <w:bookmarkStart w:id="1814" w:name="_Toc332270371"/>
      <w:bookmarkStart w:id="1815" w:name="_Toc341348364"/>
      <w:bookmarkStart w:id="1816" w:name="_Toc342060399"/>
      <w:bookmarkStart w:id="1817" w:name="_Toc340677094"/>
      <w:bookmarkStart w:id="1818" w:name="_Toc337632382"/>
      <w:bookmarkStart w:id="1819" w:name="_Toc350438773"/>
      <w:bookmarkStart w:id="1820" w:name="_Toc350756474"/>
      <w:bookmarkStart w:id="1821" w:name="_Toc366072553"/>
      <w:bookmarkStart w:id="1822" w:name="_Toc339020257"/>
      <w:r>
        <w:rPr>
          <w:rFonts w:hint="eastAsia"/>
          <w:color w:val="000000" w:themeColor="text1"/>
          <w:highlight w:val="none"/>
          <w14:textFill>
            <w14:solidFill>
              <w14:schemeClr w14:val="tx1"/>
            </w14:solidFill>
          </w14:textFill>
        </w:rPr>
        <w:t>附件四：商务条款偏离一览表</w:t>
      </w:r>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8"/>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5"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823" w:name="_Toc7294"/>
      <w:bookmarkStart w:id="1824" w:name="_Toc350756475"/>
      <w:bookmarkStart w:id="1825" w:name="_Toc339019914"/>
      <w:bookmarkStart w:id="1826" w:name="_Toc331512926"/>
      <w:bookmarkStart w:id="1827" w:name="_Toc332270372"/>
      <w:bookmarkStart w:id="1828" w:name="_Toc339020258"/>
      <w:bookmarkStart w:id="1829" w:name="_Toc333238659"/>
      <w:bookmarkStart w:id="1830" w:name="_Toc333935371"/>
      <w:bookmarkStart w:id="1831" w:name="_Toc343247125"/>
      <w:bookmarkStart w:id="1832" w:name="_Toc337632383"/>
      <w:bookmarkStart w:id="1833" w:name="_Toc339020120"/>
      <w:bookmarkStart w:id="1834" w:name="_Toc339441112"/>
      <w:bookmarkStart w:id="1835" w:name="_Toc365967097"/>
      <w:bookmarkStart w:id="1836" w:name="_Toc342296786"/>
      <w:bookmarkStart w:id="1837" w:name="_Toc336681605"/>
      <w:bookmarkStart w:id="1838" w:name="_Toc366072554"/>
      <w:bookmarkStart w:id="1839" w:name="_Toc336681960"/>
      <w:bookmarkStart w:id="1840" w:name="_Toc341348365"/>
      <w:bookmarkStart w:id="1841" w:name="_Toc330460011"/>
      <w:bookmarkStart w:id="1842" w:name="_Toc331684067"/>
      <w:bookmarkStart w:id="1843" w:name="_Toc333935712"/>
      <w:bookmarkStart w:id="1844" w:name="_Toc342060400"/>
      <w:bookmarkStart w:id="1845" w:name="_Toc350438774"/>
      <w:bookmarkStart w:id="1846" w:name="_Toc340672894"/>
      <w:bookmarkStart w:id="1847" w:name="_Toc332206734"/>
      <w:bookmarkStart w:id="1848" w:name="_Toc345312622"/>
      <w:bookmarkStart w:id="1849" w:name="_Toc342312468"/>
      <w:bookmarkStart w:id="1850" w:name="_Toc343248443"/>
      <w:bookmarkStart w:id="1851" w:name="_Toc339020040"/>
      <w:bookmarkStart w:id="1852" w:name="_Toc365985203"/>
      <w:bookmarkStart w:id="1853" w:name="_Toc340677095"/>
      <w:bookmarkStart w:id="1854" w:name="_Toc343612945"/>
      <w:bookmarkStart w:id="1855" w:name="_Toc333237703"/>
      <w:bookmarkStart w:id="1856" w:name="_Toc342398155"/>
      <w:bookmarkStart w:id="1857" w:name="_Toc340507467"/>
      <w:bookmarkStart w:id="1858" w:name="_Toc339362325"/>
      <w:bookmarkStart w:id="1859" w:name="_Toc333237814"/>
      <w:r>
        <w:rPr>
          <w:rFonts w:hint="eastAsia"/>
          <w:color w:val="000000" w:themeColor="text1"/>
          <w:highlight w:val="none"/>
          <w14:textFill>
            <w14:solidFill>
              <w14:schemeClr w14:val="tx1"/>
            </w14:solidFill>
          </w14:textFill>
        </w:rPr>
        <w:t>附件五：技术条款偏离一览表</w:t>
      </w:r>
      <w:bookmarkEnd w:id="1823"/>
    </w:p>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p>
      <w:pPr>
        <w:numPr>
          <w:ilvl w:val="0"/>
          <w:numId w:val="34"/>
        </w:numPr>
        <w:spacing w:line="360" w:lineRule="auto"/>
        <w:jc w:val="center"/>
        <w:rPr>
          <w:color w:val="000000" w:themeColor="text1"/>
          <w:highlight w:val="none"/>
          <w14:textFill>
            <w14:solidFill>
              <w14:schemeClr w14:val="tx1"/>
            </w14:solidFill>
          </w14:textFill>
        </w:rPr>
      </w:pPr>
      <w:bookmarkStart w:id="1860" w:name="_Toc350438778"/>
      <w:bookmarkStart w:id="1861" w:name="_Toc333935375"/>
      <w:bookmarkStart w:id="1862" w:name="_Toc336681609"/>
      <w:bookmarkStart w:id="1863" w:name="_Toc365967104"/>
      <w:bookmarkStart w:id="1864" w:name="_Toc332270376"/>
      <w:bookmarkStart w:id="1865" w:name="_Toc342312472"/>
      <w:bookmarkStart w:id="1866" w:name="_Toc332206738"/>
      <w:bookmarkStart w:id="1867" w:name="_Toc342398159"/>
      <w:bookmarkStart w:id="1868" w:name="_Toc333237707"/>
      <w:bookmarkStart w:id="1869" w:name="_Toc339020262"/>
      <w:bookmarkStart w:id="1870" w:name="_Toc343247129"/>
      <w:bookmarkStart w:id="1871" w:name="_Toc345312626"/>
      <w:bookmarkStart w:id="1872" w:name="_Toc341348369"/>
      <w:bookmarkStart w:id="1873" w:name="_Toc340677099"/>
      <w:bookmarkStart w:id="1874" w:name="_Toc432695228"/>
      <w:bookmarkStart w:id="1875" w:name="_Toc365985210"/>
      <w:bookmarkStart w:id="1876" w:name="_Toc333237818"/>
      <w:bookmarkStart w:id="1877" w:name="_Toc339020044"/>
      <w:bookmarkStart w:id="1878" w:name="_Toc339441116"/>
      <w:bookmarkStart w:id="1879" w:name="_Toc342296790"/>
      <w:bookmarkStart w:id="1880" w:name="_Toc342060404"/>
      <w:bookmarkStart w:id="1881" w:name="_Toc336681964"/>
      <w:bookmarkStart w:id="1882" w:name="_Toc331512930"/>
      <w:bookmarkStart w:id="1883" w:name="_Toc337632387"/>
      <w:bookmarkStart w:id="1884" w:name="_Toc350756479"/>
      <w:bookmarkStart w:id="1885" w:name="_Toc333935716"/>
      <w:bookmarkStart w:id="1886" w:name="_Toc366072561"/>
      <w:bookmarkStart w:id="1887" w:name="_Toc331684071"/>
      <w:bookmarkStart w:id="1888" w:name="_Toc343612949"/>
      <w:bookmarkStart w:id="1889" w:name="_Toc343248447"/>
      <w:bookmarkStart w:id="1890" w:name="_Toc339362329"/>
      <w:bookmarkStart w:id="1891" w:name="_Toc339020124"/>
      <w:bookmarkStart w:id="1892" w:name="_Toc339019918"/>
      <w:bookmarkStart w:id="1893" w:name="_Toc340507471"/>
      <w:bookmarkStart w:id="1894" w:name="_Toc330460015"/>
      <w:bookmarkStart w:id="1895" w:name="_Toc340672898"/>
      <w:bookmarkStart w:id="1896" w:name="_Toc333238663"/>
      <w:r>
        <w:rPr>
          <w:rFonts w:hint="eastAsia"/>
          <w:color w:val="000000" w:themeColor="text1"/>
          <w:highlight w:val="none"/>
          <w14:textFill>
            <w14:solidFill>
              <w14:schemeClr w14:val="tx1"/>
            </w14:solidFill>
          </w14:textFill>
        </w:rPr>
        <w:t>实质性条款响应一览表</w:t>
      </w:r>
    </w:p>
    <w:p>
      <w:pPr>
        <w:spacing w:line="400" w:lineRule="exact"/>
        <w:ind w:left="945" w:leftChars="100" w:hanging="735" w:hangingChars="35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说明：投标人必须对应招标文件</w:t>
      </w:r>
      <w:r>
        <w:rPr>
          <w:color w:val="000000" w:themeColor="text1"/>
          <w:szCs w:val="21"/>
          <w:highlight w:val="none"/>
          <w14:textFill>
            <w14:solidFill>
              <w14:schemeClr w14:val="tx1"/>
            </w14:solidFill>
          </w14:textFill>
        </w:rPr>
        <w:t>带“</w:t>
      </w:r>
      <w:r>
        <w:rPr>
          <w:rFonts w:ascii="宋体"/>
          <w:b/>
          <w:bCs/>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”的</w:t>
      </w:r>
      <w:r>
        <w:rPr>
          <w:rFonts w:ascii="宋体" w:hAnsi="宋体"/>
          <w:color w:val="000000" w:themeColor="text1"/>
          <w:szCs w:val="21"/>
          <w:highlight w:val="none"/>
          <w14:textFill>
            <w14:solidFill>
              <w14:schemeClr w14:val="tx1"/>
            </w14:solidFill>
          </w14:textFill>
        </w:rPr>
        <w:t>实质性条款逐条应答并按要求填写下表。</w:t>
      </w:r>
    </w:p>
    <w:p>
      <w:pPr>
        <w:spacing w:line="400" w:lineRule="exact"/>
        <w:ind w:firstLine="210" w:firstLineChars="1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 xml:space="preserve">项目名称：                            </w:t>
      </w:r>
    </w:p>
    <w:tbl>
      <w:tblPr>
        <w:tblStyle w:val="48"/>
        <w:tblW w:w="94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173"/>
        <w:gridCol w:w="2200"/>
        <w:gridCol w:w="2829"/>
        <w:gridCol w:w="15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41"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序号</w:t>
            </w:r>
          </w:p>
        </w:tc>
        <w:tc>
          <w:tcPr>
            <w:tcW w:w="2173"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原条款描述</w:t>
            </w:r>
          </w:p>
        </w:tc>
        <w:tc>
          <w:tcPr>
            <w:tcW w:w="2200"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投标人响应描述</w:t>
            </w:r>
          </w:p>
        </w:tc>
        <w:tc>
          <w:tcPr>
            <w:tcW w:w="2829"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偏离情况说明</w:t>
            </w:r>
          </w:p>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正偏离/完全响应/负偏离</w:t>
            </w:r>
            <w:r>
              <w:rPr>
                <w:rFonts w:ascii="宋体" w:hAnsi="宋体"/>
                <w:color w:val="000000" w:themeColor="text1"/>
                <w:szCs w:val="21"/>
                <w:highlight w:val="none"/>
                <w14:textFill>
                  <w14:solidFill>
                    <w14:schemeClr w14:val="tx1"/>
                  </w14:solidFill>
                </w14:textFill>
              </w:rPr>
              <w:t>）</w:t>
            </w:r>
          </w:p>
        </w:tc>
        <w:tc>
          <w:tcPr>
            <w:tcW w:w="1500"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tcBorders>
              <w:top w:val="double" w:color="auto" w:sz="4"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w:t>
            </w:r>
          </w:p>
        </w:tc>
        <w:tc>
          <w:tcPr>
            <w:tcW w:w="2173" w:type="dxa"/>
            <w:tcBorders>
              <w:top w:val="double" w:color="auto" w:sz="4" w:space="0"/>
            </w:tcBorders>
            <w:vAlign w:val="center"/>
          </w:tcPr>
          <w:p>
            <w:pPr>
              <w:rPr>
                <w:rFonts w:ascii="宋体" w:hAnsi="宋体"/>
                <w:color w:val="000000" w:themeColor="text1"/>
                <w:szCs w:val="21"/>
                <w:highlight w:val="none"/>
                <w14:textFill>
                  <w14:solidFill>
                    <w14:schemeClr w14:val="tx1"/>
                  </w14:solidFill>
                </w14:textFill>
              </w:rPr>
            </w:pPr>
          </w:p>
        </w:tc>
        <w:tc>
          <w:tcPr>
            <w:tcW w:w="2200" w:type="dxa"/>
            <w:tcBorders>
              <w:top w:val="double" w:color="auto" w:sz="4"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top w:val="double" w:color="auto" w:sz="4" w:space="0"/>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top w:val="double" w:color="auto" w:sz="4" w:space="0"/>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pStyle w:val="5"/>
              <w:numPr>
                <w:ilvl w:val="2"/>
                <w:numId w:val="0"/>
              </w:numPr>
              <w:tabs>
                <w:tab w:val="clear" w:pos="432"/>
              </w:tabs>
              <w:kinsoku w:val="0"/>
              <w:overflowPunct w:val="0"/>
              <w:spacing w:line="443" w:lineRule="exact"/>
              <w:ind w:left="88" w:right="17"/>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3</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4</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5</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6</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w:t>
            </w:r>
          </w:p>
        </w:tc>
        <w:tc>
          <w:tcPr>
            <w:tcW w:w="2173" w:type="dxa"/>
            <w:vAlign w:val="center"/>
          </w:tcPr>
          <w:p>
            <w:pPr>
              <w:rPr>
                <w:rFonts w:ascii="宋体" w:hAnsi="宋体"/>
                <w:color w:val="000000" w:themeColor="text1"/>
                <w:szCs w:val="21"/>
                <w:highlight w:val="none"/>
                <w14:textFill>
                  <w14:solidFill>
                    <w14:schemeClr w14:val="tx1"/>
                  </w14:solidFill>
                </w14:textFill>
              </w:rPr>
            </w:pPr>
          </w:p>
        </w:tc>
        <w:tc>
          <w:tcPr>
            <w:tcW w:w="2200" w:type="dxa"/>
            <w:vAlign w:val="center"/>
          </w:tcPr>
          <w:p>
            <w:pPr>
              <w:jc w:val="center"/>
              <w:rPr>
                <w:rFonts w:ascii="宋体" w:hAnsi="宋体"/>
                <w:color w:val="000000" w:themeColor="text1"/>
                <w:szCs w:val="21"/>
                <w:highlight w:val="none"/>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00" w:type="dxa"/>
            <w:tcBorders>
              <w:left w:val="single" w:color="auto" w:sz="2" w:space="0"/>
            </w:tcBorders>
            <w:vAlign w:val="center"/>
          </w:tcPr>
          <w:p>
            <w:pPr>
              <w:jc w:val="center"/>
              <w:rPr>
                <w:rFonts w:ascii="宋体" w:hAnsi="宋体" w:cs="宋体"/>
                <w:color w:val="000000" w:themeColor="text1"/>
                <w:szCs w:val="21"/>
                <w:highlight w:val="none"/>
                <w14:textFill>
                  <w14:solidFill>
                    <w14:schemeClr w14:val="tx1"/>
                  </w14:solidFill>
                </w14:textFill>
              </w:rPr>
            </w:pPr>
          </w:p>
        </w:tc>
      </w:tr>
    </w:tbl>
    <w:p>
      <w:pPr>
        <w:spacing w:line="400" w:lineRule="exact"/>
        <w:ind w:firstLine="105" w:firstLineChars="50"/>
        <w:rPr>
          <w:rFonts w:ascii="宋体" w:hAnsi="宋体"/>
          <w:color w:val="000000" w:themeColor="text1"/>
          <w:highlight w:val="none"/>
          <w14:textFill>
            <w14:solidFill>
              <w14:schemeClr w14:val="tx1"/>
            </w14:solidFill>
          </w14:textFill>
        </w:rPr>
      </w:pPr>
    </w:p>
    <w:p>
      <w:pPr>
        <w:snapToGrid w:val="0"/>
        <w:spacing w:line="46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备注：</w:t>
      </w:r>
    </w:p>
    <w:p>
      <w:pPr>
        <w:numPr>
          <w:ilvl w:val="0"/>
          <w:numId w:val="35"/>
        </w:numPr>
        <w:spacing w:line="400" w:lineRule="exact"/>
        <w:jc w:val="lef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投标人必须对应招标文件</w:t>
      </w:r>
      <w:r>
        <w:rPr>
          <w:color w:val="000000" w:themeColor="text1"/>
          <w:szCs w:val="21"/>
          <w:highlight w:val="none"/>
          <w14:textFill>
            <w14:solidFill>
              <w14:schemeClr w14:val="tx1"/>
            </w14:solidFill>
          </w14:textFill>
        </w:rPr>
        <w:t>带“</w:t>
      </w:r>
      <w:r>
        <w:rPr>
          <w:rFonts w:ascii="宋体"/>
          <w:b/>
          <w:bCs/>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”的</w:t>
      </w:r>
      <w:r>
        <w:rPr>
          <w:rFonts w:ascii="宋体" w:hAnsi="宋体"/>
          <w:color w:val="000000" w:themeColor="text1"/>
          <w:szCs w:val="21"/>
          <w:highlight w:val="none"/>
          <w14:textFill>
            <w14:solidFill>
              <w14:schemeClr w14:val="tx1"/>
            </w14:solidFill>
          </w14:textFill>
        </w:rPr>
        <w:t>实质性条款逐条应答并按要求填写上表。</w:t>
      </w:r>
    </w:p>
    <w:p>
      <w:pPr>
        <w:numPr>
          <w:ilvl w:val="0"/>
          <w:numId w:val="35"/>
        </w:numPr>
        <w:spacing w:line="400" w:lineRule="exact"/>
        <w:jc w:val="lef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本表中“招标文件条款描述”的条款与技术服务要求中的条款描述不一致的以技术服务要求中规定的为准。</w:t>
      </w:r>
    </w:p>
    <w:p>
      <w:pPr>
        <w:spacing w:line="500" w:lineRule="exact"/>
        <w:ind w:firstLine="436" w:firstLineChars="200"/>
        <w:rPr>
          <w:color w:val="000000" w:themeColor="text1"/>
          <w:spacing w:val="4"/>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color w:val="000000" w:themeColor="text1"/>
          <w:spacing w:val="4"/>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17"/>
        <w:kinsoku w:val="0"/>
        <w:overflowPunct w:val="0"/>
        <w:spacing w:before="15"/>
        <w:rPr>
          <w:rFonts w:ascii="Microsoft JhengHei" w:eastAsia="Microsoft JhengHei"/>
          <w:b/>
          <w:color w:val="000000" w:themeColor="text1"/>
          <w:highlight w:val="none"/>
          <w14:textFill>
            <w14:solidFill>
              <w14:schemeClr w14:val="tx1"/>
            </w14:solidFill>
          </w14:textFill>
        </w:rPr>
      </w:pPr>
      <w:r>
        <w:rPr>
          <w:rFonts w:ascii="Microsoft JhengHei" w:eastAsia="Microsoft JhengHei"/>
          <w:b/>
          <w:color w:val="000000" w:themeColor="text1"/>
          <w:highlight w:val="none"/>
          <w14:textFill>
            <w14:solidFill>
              <w14:schemeClr w14:val="tx1"/>
            </w14:solidFill>
          </w14:textFill>
        </w:rPr>
        <w:br w:type="page"/>
      </w:r>
    </w:p>
    <w:p>
      <w:pPr>
        <w:numPr>
          <w:ilvl w:val="0"/>
          <w:numId w:val="34"/>
        </w:num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重要条款响应一览表</w:t>
      </w:r>
    </w:p>
    <w:p>
      <w:pPr>
        <w:spacing w:line="400" w:lineRule="exact"/>
        <w:ind w:left="945" w:leftChars="100" w:hanging="735" w:hangingChars="35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说明：投标人必须对应招标文件</w:t>
      </w:r>
      <w:r>
        <w:rPr>
          <w:color w:val="000000" w:themeColor="text1"/>
          <w:szCs w:val="21"/>
          <w:highlight w:val="none"/>
          <w14:textFill>
            <w14:solidFill>
              <w14:schemeClr w14:val="tx1"/>
            </w14:solidFill>
          </w14:textFill>
        </w:rPr>
        <w:t>带“</w:t>
      </w:r>
      <w:r>
        <w:rPr>
          <w:rFonts w:hAnsi="宋体"/>
          <w:b/>
          <w:bCs/>
          <w:color w:val="000000" w:themeColor="text1"/>
          <w:szCs w:val="21"/>
          <w:highlight w:val="none"/>
          <w:lang w:val="it-IT"/>
          <w14:textFill>
            <w14:solidFill>
              <w14:schemeClr w14:val="tx1"/>
            </w14:solidFill>
          </w14:textFill>
        </w:rPr>
        <w:t>▲</w:t>
      </w:r>
      <w:r>
        <w:rPr>
          <w:color w:val="000000" w:themeColor="text1"/>
          <w:szCs w:val="21"/>
          <w:highlight w:val="none"/>
          <w14:textFill>
            <w14:solidFill>
              <w14:schemeClr w14:val="tx1"/>
            </w14:solidFill>
          </w14:textFill>
        </w:rPr>
        <w:t>”的</w:t>
      </w:r>
      <w:r>
        <w:rPr>
          <w:rFonts w:ascii="宋体" w:hAnsi="宋体"/>
          <w:color w:val="000000" w:themeColor="text1"/>
          <w:szCs w:val="21"/>
          <w:highlight w:val="none"/>
          <w14:textFill>
            <w14:solidFill>
              <w14:schemeClr w14:val="tx1"/>
            </w14:solidFill>
          </w14:textFill>
        </w:rPr>
        <w:t>实质性条款逐条应答并按要求填写下表。</w:t>
      </w:r>
    </w:p>
    <w:p>
      <w:pPr>
        <w:spacing w:line="400" w:lineRule="exact"/>
        <w:ind w:firstLine="210" w:firstLineChars="1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 xml:space="preserve">项目名称：                            </w:t>
      </w:r>
    </w:p>
    <w:tbl>
      <w:tblPr>
        <w:tblStyle w:val="48"/>
        <w:tblW w:w="95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302"/>
        <w:gridCol w:w="2157"/>
        <w:gridCol w:w="2800"/>
        <w:gridCol w:w="15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69"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序号</w:t>
            </w:r>
          </w:p>
        </w:tc>
        <w:tc>
          <w:tcPr>
            <w:tcW w:w="2302"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原条款描述</w:t>
            </w:r>
          </w:p>
        </w:tc>
        <w:tc>
          <w:tcPr>
            <w:tcW w:w="2157"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投标人响应描述</w:t>
            </w:r>
          </w:p>
        </w:tc>
        <w:tc>
          <w:tcPr>
            <w:tcW w:w="2800"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偏离情况说明</w:t>
            </w:r>
          </w:p>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正偏离/完全响应/负偏离</w:t>
            </w:r>
            <w:r>
              <w:rPr>
                <w:rFonts w:ascii="宋体" w:hAnsi="宋体"/>
                <w:color w:val="000000" w:themeColor="text1"/>
                <w:szCs w:val="21"/>
                <w:highlight w:val="none"/>
                <w14:textFill>
                  <w14:solidFill>
                    <w14:schemeClr w14:val="tx1"/>
                  </w14:solidFill>
                </w14:textFill>
              </w:rPr>
              <w:t>）</w:t>
            </w:r>
          </w:p>
        </w:tc>
        <w:tc>
          <w:tcPr>
            <w:tcW w:w="1514"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tcBorders>
              <w:top w:val="double" w:color="auto" w:sz="4"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w:t>
            </w:r>
          </w:p>
        </w:tc>
        <w:tc>
          <w:tcPr>
            <w:tcW w:w="2302" w:type="dxa"/>
            <w:tcBorders>
              <w:top w:val="double" w:color="auto" w:sz="4" w:space="0"/>
            </w:tcBorders>
            <w:vAlign w:val="center"/>
          </w:tcPr>
          <w:p>
            <w:pPr>
              <w:rPr>
                <w:rFonts w:ascii="宋体" w:hAnsi="宋体"/>
                <w:color w:val="000000" w:themeColor="text1"/>
                <w:szCs w:val="21"/>
                <w:highlight w:val="none"/>
                <w14:textFill>
                  <w14:solidFill>
                    <w14:schemeClr w14:val="tx1"/>
                  </w14:solidFill>
                </w14:textFill>
              </w:rPr>
            </w:pPr>
          </w:p>
        </w:tc>
        <w:tc>
          <w:tcPr>
            <w:tcW w:w="2157" w:type="dxa"/>
            <w:tcBorders>
              <w:top w:val="double" w:color="auto" w:sz="4"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top w:val="double" w:color="auto" w:sz="4" w:space="0"/>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top w:val="double" w:color="auto" w:sz="4" w:space="0"/>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pStyle w:val="5"/>
              <w:numPr>
                <w:ilvl w:val="2"/>
                <w:numId w:val="0"/>
              </w:numPr>
              <w:tabs>
                <w:tab w:val="clear" w:pos="432"/>
              </w:tabs>
              <w:kinsoku w:val="0"/>
              <w:overflowPunct w:val="0"/>
              <w:spacing w:line="443" w:lineRule="exact"/>
              <w:ind w:left="88" w:right="17"/>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3</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4</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5</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6</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见《投标文件》第</w:t>
            </w:r>
            <w:r>
              <w:rPr>
                <w:rFonts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w:t>
            </w:r>
          </w:p>
        </w:tc>
        <w:tc>
          <w:tcPr>
            <w:tcW w:w="2302" w:type="dxa"/>
            <w:vAlign w:val="center"/>
          </w:tcPr>
          <w:p>
            <w:pPr>
              <w:rPr>
                <w:rFonts w:ascii="宋体" w:hAnsi="宋体"/>
                <w:color w:val="000000" w:themeColor="text1"/>
                <w:szCs w:val="21"/>
                <w:highlight w:val="none"/>
                <w14:textFill>
                  <w14:solidFill>
                    <w14:schemeClr w14:val="tx1"/>
                  </w14:solidFill>
                </w14:textFill>
              </w:rPr>
            </w:pPr>
          </w:p>
        </w:tc>
        <w:tc>
          <w:tcPr>
            <w:tcW w:w="2157" w:type="dxa"/>
            <w:vAlign w:val="center"/>
          </w:tcPr>
          <w:p>
            <w:pPr>
              <w:jc w:val="center"/>
              <w:rPr>
                <w:rFonts w:ascii="宋体" w:hAnsi="宋体"/>
                <w:color w:val="000000" w:themeColor="text1"/>
                <w:szCs w:val="21"/>
                <w:highlight w:val="none"/>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highlight w:val="none"/>
                <w14:textFill>
                  <w14:solidFill>
                    <w14:schemeClr w14:val="tx1"/>
                  </w14:solidFill>
                </w14:textFill>
              </w:rPr>
            </w:pPr>
          </w:p>
        </w:tc>
        <w:tc>
          <w:tcPr>
            <w:tcW w:w="1514" w:type="dxa"/>
            <w:tcBorders>
              <w:left w:val="single" w:color="auto" w:sz="2" w:space="0"/>
            </w:tcBorders>
            <w:vAlign w:val="center"/>
          </w:tcPr>
          <w:p>
            <w:pPr>
              <w:jc w:val="center"/>
              <w:rPr>
                <w:rFonts w:ascii="宋体" w:hAnsi="宋体" w:cs="宋体"/>
                <w:color w:val="000000" w:themeColor="text1"/>
                <w:szCs w:val="21"/>
                <w:highlight w:val="none"/>
                <w14:textFill>
                  <w14:solidFill>
                    <w14:schemeClr w14:val="tx1"/>
                  </w14:solidFill>
                </w14:textFill>
              </w:rPr>
            </w:pPr>
          </w:p>
        </w:tc>
      </w:tr>
    </w:tbl>
    <w:p>
      <w:pPr>
        <w:spacing w:line="400" w:lineRule="exact"/>
        <w:ind w:firstLine="105" w:firstLineChars="50"/>
        <w:rPr>
          <w:rFonts w:ascii="宋体" w:hAnsi="宋体"/>
          <w:color w:val="000000" w:themeColor="text1"/>
          <w:highlight w:val="none"/>
          <w14:textFill>
            <w14:solidFill>
              <w14:schemeClr w14:val="tx1"/>
            </w14:solidFill>
          </w14:textFill>
        </w:rPr>
      </w:pPr>
    </w:p>
    <w:p>
      <w:pPr>
        <w:snapToGrid w:val="0"/>
        <w:spacing w:line="46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备注：</w:t>
      </w:r>
    </w:p>
    <w:p>
      <w:pPr>
        <w:numPr>
          <w:ilvl w:val="0"/>
          <w:numId w:val="36"/>
        </w:numPr>
        <w:spacing w:line="400" w:lineRule="exact"/>
        <w:jc w:val="lef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投标人必须对应招标文件</w:t>
      </w:r>
      <w:r>
        <w:rPr>
          <w:color w:val="000000" w:themeColor="text1"/>
          <w:szCs w:val="21"/>
          <w:highlight w:val="none"/>
          <w14:textFill>
            <w14:solidFill>
              <w14:schemeClr w14:val="tx1"/>
            </w14:solidFill>
          </w14:textFill>
        </w:rPr>
        <w:t>带“</w:t>
      </w:r>
      <w:r>
        <w:rPr>
          <w:rFonts w:hAnsi="宋体"/>
          <w:b/>
          <w:bCs/>
          <w:color w:val="000000" w:themeColor="text1"/>
          <w:szCs w:val="21"/>
          <w:highlight w:val="none"/>
          <w:lang w:val="it-IT"/>
          <w14:textFill>
            <w14:solidFill>
              <w14:schemeClr w14:val="tx1"/>
            </w14:solidFill>
          </w14:textFill>
        </w:rPr>
        <w:t>▲</w:t>
      </w:r>
      <w:r>
        <w:rPr>
          <w:color w:val="000000" w:themeColor="text1"/>
          <w:szCs w:val="21"/>
          <w:highlight w:val="none"/>
          <w14:textFill>
            <w14:solidFill>
              <w14:schemeClr w14:val="tx1"/>
            </w14:solidFill>
          </w14:textFill>
        </w:rPr>
        <w:t>”的</w:t>
      </w:r>
      <w:r>
        <w:rPr>
          <w:rFonts w:ascii="宋体" w:hAnsi="宋体"/>
          <w:color w:val="000000" w:themeColor="text1"/>
          <w:szCs w:val="21"/>
          <w:highlight w:val="none"/>
          <w14:textFill>
            <w14:solidFill>
              <w14:schemeClr w14:val="tx1"/>
            </w14:solidFill>
          </w14:textFill>
        </w:rPr>
        <w:t>实质性条款逐条应答并按要求填写上表。</w:t>
      </w:r>
    </w:p>
    <w:p>
      <w:pPr>
        <w:numPr>
          <w:ilvl w:val="0"/>
          <w:numId w:val="36"/>
        </w:numPr>
        <w:spacing w:line="400" w:lineRule="exact"/>
        <w:jc w:val="lef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本表中“招标文件条款描述”的条款与技术服务要求中的条款描述不一致的以技术服务要求中规定的为准。</w:t>
      </w:r>
    </w:p>
    <w:p>
      <w:pPr>
        <w:numPr>
          <w:ilvl w:val="0"/>
          <w:numId w:val="36"/>
        </w:numPr>
        <w:spacing w:line="400" w:lineRule="exact"/>
        <w:jc w:val="lef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投标人需根据第五章 要求提供相关的证明材料，并将评审项内容在证明材料中所对应的位置清晰标明，列明所在页码，以便评委评审。</w:t>
      </w:r>
    </w:p>
    <w:p>
      <w:pPr>
        <w:pStyle w:val="17"/>
        <w:kinsoku w:val="0"/>
        <w:overflowPunct w:val="0"/>
        <w:spacing w:before="12"/>
        <w:rPr>
          <w:rFonts w:ascii="Microsoft JhengHei" w:eastAsia="Microsoft JhengHei"/>
          <w:b/>
          <w:color w:val="000000" w:themeColor="text1"/>
          <w:sz w:val="12"/>
          <w:highlight w:val="none"/>
          <w14:textFill>
            <w14:solidFill>
              <w14:schemeClr w14:val="tx1"/>
            </w14:solidFill>
          </w14:textFill>
        </w:rPr>
      </w:pPr>
    </w:p>
    <w:p>
      <w:pPr>
        <w:pStyle w:val="17"/>
        <w:kinsoku w:val="0"/>
        <w:overflowPunct w:val="0"/>
        <w:spacing w:before="2"/>
        <w:rPr>
          <w:rFonts w:ascii="Microsoft JhengHei" w:eastAsia="Microsoft JhengHei"/>
          <w:b/>
          <w:color w:val="000000" w:themeColor="text1"/>
          <w:sz w:val="4"/>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color w:val="000000" w:themeColor="text1"/>
          <w:spacing w:val="4"/>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17"/>
        <w:kinsoku w:val="0"/>
        <w:overflowPunct w:val="0"/>
        <w:spacing w:before="36"/>
        <w:ind w:left="5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numPr>
          <w:ilvl w:val="0"/>
          <w:numId w:val="34"/>
        </w:num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一般条款响应一览表</w:t>
      </w:r>
    </w:p>
    <w:p>
      <w:pPr>
        <w:pStyle w:val="17"/>
        <w:kinsoku w:val="0"/>
        <w:overflowPunct w:val="0"/>
        <w:spacing w:before="36"/>
        <w:ind w:left="500"/>
        <w:rPr>
          <w:color w:val="000000" w:themeColor="text1"/>
          <w:highlight w:val="none"/>
          <w14:textFill>
            <w14:solidFill>
              <w14:schemeClr w14:val="tx1"/>
            </w14:solidFill>
          </w14:textFill>
        </w:rPr>
      </w:pPr>
    </w:p>
    <w:tbl>
      <w:tblPr>
        <w:tblStyle w:val="48"/>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9"/>
        <w:gridCol w:w="3229"/>
        <w:gridCol w:w="2086"/>
        <w:gridCol w:w="29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trPr>
        <w:tc>
          <w:tcPr>
            <w:tcW w:w="869" w:type="dxa"/>
            <w:tcBorders>
              <w:top w:val="single" w:color="auto" w:sz="12" w:space="0"/>
              <w:left w:val="single" w:color="auto" w:sz="12" w:space="0"/>
              <w:bottom w:val="single" w:color="auto" w:sz="6" w:space="0"/>
              <w:right w:val="single" w:color="auto" w:sz="6" w:space="0"/>
            </w:tcBorders>
            <w:shd w:val="clear" w:color="auto" w:fill="EEECE1"/>
            <w:vAlign w:val="center"/>
          </w:tcPr>
          <w:p>
            <w:pPr>
              <w:ind w:left="-109" w:leftChars="-52" w:right="-113" w:rightChars="-54"/>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3229" w:type="dxa"/>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宋体" w:hAnsi="宋体" w:cs="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原条款描述</w:t>
            </w:r>
          </w:p>
        </w:tc>
        <w:tc>
          <w:tcPr>
            <w:tcW w:w="2086" w:type="dxa"/>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宋体" w:hAnsi="宋体" w:cs="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投标人响应描述</w:t>
            </w:r>
          </w:p>
        </w:tc>
        <w:tc>
          <w:tcPr>
            <w:tcW w:w="2925" w:type="dxa"/>
            <w:tcBorders>
              <w:top w:val="single" w:color="auto" w:sz="12" w:space="0"/>
              <w:left w:val="single" w:color="auto" w:sz="6" w:space="0"/>
              <w:bottom w:val="single" w:color="auto" w:sz="6" w:space="0"/>
              <w:right w:val="single" w:color="auto" w:sz="12" w:space="0"/>
            </w:tcBorders>
            <w:shd w:val="clear" w:color="auto" w:fill="EEECE1"/>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偏离情况说明</w:t>
            </w:r>
          </w:p>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trPr>
        <w:tc>
          <w:tcPr>
            <w:tcW w:w="869" w:type="dxa"/>
            <w:tcBorders>
              <w:top w:val="single" w:color="auto" w:sz="6" w:space="0"/>
              <w:left w:val="single" w:color="auto" w:sz="12" w:space="0"/>
              <w:bottom w:val="single" w:color="auto" w:sz="6" w:space="0"/>
              <w:right w:val="single" w:color="auto" w:sz="6" w:space="0"/>
            </w:tcBorders>
            <w:vAlign w:val="center"/>
          </w:tcPr>
          <w:p>
            <w:pPr>
              <w:numPr>
                <w:ilvl w:val="0"/>
                <w:numId w:val="37"/>
              </w:numPr>
              <w:tabs>
                <w:tab w:val="left" w:pos="360"/>
                <w:tab w:val="clear" w:pos="426"/>
              </w:tabs>
              <w:ind w:hanging="354"/>
              <w:jc w:val="center"/>
              <w:rPr>
                <w:rFonts w:ascii="宋体" w:hAnsi="宋体" w:cs="宋体"/>
                <w:color w:val="000000" w:themeColor="text1"/>
                <w:highlight w:val="none"/>
                <w14:textFill>
                  <w14:solidFill>
                    <w14:schemeClr w14:val="tx1"/>
                  </w14:solidFill>
                </w14:textFill>
              </w:rPr>
            </w:pPr>
          </w:p>
        </w:tc>
        <w:tc>
          <w:tcPr>
            <w:tcW w:w="3229" w:type="dxa"/>
            <w:tcBorders>
              <w:top w:val="single" w:color="auto" w:sz="6" w:space="0"/>
              <w:left w:val="single" w:color="auto" w:sz="6" w:space="0"/>
              <w:bottom w:val="single" w:color="auto" w:sz="6" w:space="0"/>
              <w:right w:val="single" w:color="auto" w:sz="6" w:space="0"/>
            </w:tcBorders>
            <w:vAlign w:val="center"/>
          </w:tcPr>
          <w:p>
            <w:pPr>
              <w:pStyle w:val="23"/>
              <w:tabs>
                <w:tab w:val="left" w:pos="2340"/>
              </w:tabs>
              <w:rPr>
                <w:rFonts w:hAnsi="宋体" w:cs="宋体"/>
                <w:color w:val="000000" w:themeColor="text1"/>
                <w:highlight w:val="none"/>
                <w14:textFill>
                  <w14:solidFill>
                    <w14:schemeClr w14:val="tx1"/>
                  </w14:solidFill>
                </w14:textFill>
              </w:rPr>
            </w:pPr>
          </w:p>
        </w:tc>
        <w:tc>
          <w:tcPr>
            <w:tcW w:w="208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color w:val="000000" w:themeColor="text1"/>
                <w:highlight w:val="none"/>
                <w14:textFill>
                  <w14:solidFill>
                    <w14:schemeClr w14:val="tx1"/>
                  </w14:solidFill>
                </w14:textFill>
              </w:rPr>
            </w:pPr>
          </w:p>
        </w:tc>
        <w:tc>
          <w:tcPr>
            <w:tcW w:w="2925"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cs="宋体"/>
                <w:color w:val="000000" w:themeColor="text1"/>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trPr>
        <w:tc>
          <w:tcPr>
            <w:tcW w:w="869" w:type="dxa"/>
            <w:tcBorders>
              <w:top w:val="single" w:color="auto" w:sz="6" w:space="0"/>
              <w:left w:val="single" w:color="auto" w:sz="12" w:space="0"/>
              <w:bottom w:val="single" w:color="auto" w:sz="12" w:space="0"/>
              <w:right w:val="single" w:color="auto" w:sz="6" w:space="0"/>
            </w:tcBorders>
            <w:vAlign w:val="center"/>
          </w:tcPr>
          <w:p>
            <w:pPr>
              <w:numPr>
                <w:ilvl w:val="0"/>
                <w:numId w:val="37"/>
              </w:numPr>
              <w:tabs>
                <w:tab w:val="left" w:pos="360"/>
                <w:tab w:val="clear" w:pos="426"/>
              </w:tabs>
              <w:ind w:hanging="354"/>
              <w:jc w:val="center"/>
              <w:rPr>
                <w:rFonts w:ascii="宋体" w:hAnsi="宋体" w:cs="宋体"/>
                <w:color w:val="000000" w:themeColor="text1"/>
                <w:highlight w:val="none"/>
                <w14:textFill>
                  <w14:solidFill>
                    <w14:schemeClr w14:val="tx1"/>
                  </w14:solidFill>
                </w14:textFill>
              </w:rPr>
            </w:pPr>
          </w:p>
        </w:tc>
        <w:tc>
          <w:tcPr>
            <w:tcW w:w="3229" w:type="dxa"/>
            <w:tcBorders>
              <w:top w:val="single" w:color="auto" w:sz="6" w:space="0"/>
              <w:left w:val="single" w:color="auto" w:sz="6" w:space="0"/>
              <w:bottom w:val="single" w:color="auto" w:sz="12" w:space="0"/>
              <w:right w:val="single" w:color="auto" w:sz="6" w:space="0"/>
            </w:tcBorders>
            <w:vAlign w:val="center"/>
          </w:tcPr>
          <w:p>
            <w:pPr>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w:t>
            </w:r>
          </w:p>
        </w:tc>
        <w:tc>
          <w:tcPr>
            <w:tcW w:w="2086"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cs="宋体"/>
                <w:color w:val="000000" w:themeColor="text1"/>
                <w:highlight w:val="none"/>
                <w14:textFill>
                  <w14:solidFill>
                    <w14:schemeClr w14:val="tx1"/>
                  </w14:solidFill>
                </w14:textFill>
              </w:rPr>
            </w:pPr>
          </w:p>
        </w:tc>
        <w:tc>
          <w:tcPr>
            <w:tcW w:w="2925" w:type="dxa"/>
            <w:tcBorders>
              <w:top w:val="single" w:color="auto" w:sz="6" w:space="0"/>
              <w:left w:val="single" w:color="auto" w:sz="6" w:space="0"/>
              <w:bottom w:val="single" w:color="auto" w:sz="12" w:space="0"/>
              <w:right w:val="single" w:color="auto" w:sz="12" w:space="0"/>
            </w:tcBorders>
            <w:vAlign w:val="center"/>
          </w:tcPr>
          <w:p>
            <w:pPr>
              <w:jc w:val="center"/>
              <w:rPr>
                <w:rFonts w:ascii="宋体" w:hAnsi="宋体" w:cs="宋体"/>
                <w:color w:val="000000" w:themeColor="text1"/>
                <w:highlight w:val="none"/>
                <w14:textFill>
                  <w14:solidFill>
                    <w14:schemeClr w14:val="tx1"/>
                  </w14:solidFill>
                </w14:textFill>
              </w:rPr>
            </w:pPr>
          </w:p>
        </w:tc>
      </w:tr>
    </w:tbl>
    <w:p>
      <w:pPr>
        <w:spacing w:after="120" w:line="340" w:lineRule="exact"/>
        <w:rPr>
          <w:rFonts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说明：1、响应：即指满足；偏离分为正偏离和负偏离，优于招标文件要求的为正偏离；劣于招标文件要求的为负偏离，即不满足。若完全满足无偏离说明，可在偏离说明处应答“完全满足招标文件合同、技术条款中</w:t>
      </w:r>
      <w:r>
        <w:rPr>
          <w:b/>
          <w:bCs/>
          <w:color w:val="000000" w:themeColor="text1"/>
          <w:highlight w:val="none"/>
          <w14:textFill>
            <w14:solidFill>
              <w14:schemeClr w14:val="tx1"/>
            </w14:solidFill>
          </w14:textFill>
        </w:rPr>
        <w:t>非</w:t>
      </w:r>
      <w:r>
        <w:rPr>
          <w:rFonts w:ascii="宋体"/>
          <w:b/>
          <w:bCs/>
          <w:color w:val="000000" w:themeColor="text1"/>
          <w:szCs w:val="21"/>
          <w:highlight w:val="none"/>
          <w14:textFill>
            <w14:solidFill>
              <w14:schemeClr w14:val="tx1"/>
            </w14:solidFill>
          </w14:textFill>
        </w:rPr>
        <w:t>★、</w:t>
      </w:r>
      <w:r>
        <w:rPr>
          <w:rFonts w:hAnsi="宋体"/>
          <w:b/>
          <w:bCs/>
          <w:color w:val="000000" w:themeColor="text1"/>
          <w:szCs w:val="21"/>
          <w:highlight w:val="none"/>
          <w:lang w:val="it-IT"/>
          <w14:textFill>
            <w14:solidFill>
              <w14:schemeClr w14:val="tx1"/>
            </w14:solidFill>
          </w14:textFill>
        </w:rPr>
        <w:t>▲条款</w:t>
      </w:r>
      <w:r>
        <w:rPr>
          <w:color w:val="000000" w:themeColor="text1"/>
          <w:highlight w:val="none"/>
          <w14:textFill>
            <w14:solidFill>
              <w14:schemeClr w14:val="tx1"/>
            </w14:solidFill>
          </w14:textFill>
        </w:rPr>
        <w:t>要求”。</w:t>
      </w:r>
    </w:p>
    <w:p>
      <w:pPr>
        <w:spacing w:after="120" w:line="340" w:lineRule="exact"/>
        <w:rPr>
          <w:rFonts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2、若不填写该表，则表示完全满足合同、技术条款中</w:t>
      </w:r>
      <w:r>
        <w:rPr>
          <w:b/>
          <w:bCs/>
          <w:color w:val="000000" w:themeColor="text1"/>
          <w:highlight w:val="none"/>
          <w14:textFill>
            <w14:solidFill>
              <w14:schemeClr w14:val="tx1"/>
            </w14:solidFill>
          </w14:textFill>
        </w:rPr>
        <w:t>非</w:t>
      </w:r>
      <w:r>
        <w:rPr>
          <w:rFonts w:ascii="宋体"/>
          <w:b/>
          <w:bCs/>
          <w:color w:val="000000" w:themeColor="text1"/>
          <w:szCs w:val="21"/>
          <w:highlight w:val="none"/>
          <w14:textFill>
            <w14:solidFill>
              <w14:schemeClr w14:val="tx1"/>
            </w14:solidFill>
          </w14:textFill>
        </w:rPr>
        <w:t>★、</w:t>
      </w:r>
      <w:r>
        <w:rPr>
          <w:rFonts w:hAnsi="宋体"/>
          <w:b/>
          <w:bCs/>
          <w:color w:val="000000" w:themeColor="text1"/>
          <w:szCs w:val="21"/>
          <w:highlight w:val="none"/>
          <w:lang w:val="it-IT"/>
          <w14:textFill>
            <w14:solidFill>
              <w14:schemeClr w14:val="tx1"/>
            </w14:solidFill>
          </w14:textFill>
        </w:rPr>
        <w:t>▲条款</w:t>
      </w:r>
      <w:r>
        <w:rPr>
          <w:color w:val="000000" w:themeColor="text1"/>
          <w:highlight w:val="none"/>
          <w14:textFill>
            <w14:solidFill>
              <w14:schemeClr w14:val="tx1"/>
            </w14:solidFill>
          </w14:textFill>
        </w:rPr>
        <w:t>的要求。</w:t>
      </w:r>
    </w:p>
    <w:p>
      <w:pPr>
        <w:pStyle w:val="2"/>
        <w:ind w:firstLine="0"/>
        <w:rPr>
          <w:color w:val="000000" w:themeColor="text1"/>
          <w:spacing w:val="4"/>
          <w:highlight w:val="none"/>
          <w:u w:val="single"/>
          <w14:textFill>
            <w14:solidFill>
              <w14:schemeClr w14:val="tx1"/>
            </w14:solidFill>
          </w14:textFill>
        </w:rPr>
      </w:pPr>
    </w:p>
    <w:p>
      <w:pPr>
        <w:pStyle w:val="2"/>
        <w:ind w:firstLine="0"/>
        <w:rPr>
          <w:color w:val="000000" w:themeColor="text1"/>
          <w:spacing w:val="4"/>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jc w:val="center"/>
        <w:rPr>
          <w:rFonts w:hint="eastAsia" w:ascii="黑体" w:hAnsi="宋体" w:eastAsia="黑体" w:cs="Times New Roman"/>
          <w:bCs/>
          <w:color w:val="000000" w:themeColor="text1"/>
          <w:kern w:val="44"/>
          <w:sz w:val="21"/>
          <w:szCs w:val="24"/>
          <w:highlight w:val="none"/>
          <w:lang w:val="en-US" w:eastAsia="zh-CN" w:bidi="ar-SA"/>
          <w14:textFill>
            <w14:solidFill>
              <w14:schemeClr w14:val="tx1"/>
            </w14:solidFill>
          </w14:textFill>
        </w:rPr>
      </w:pPr>
      <w:r>
        <w:rPr>
          <w:rFonts w:hint="eastAsia" w:hAnsi="宋体"/>
          <w:bCs/>
          <w:color w:val="000000" w:themeColor="text1"/>
          <w:highlight w:val="none"/>
          <w14:textFill>
            <w14:solidFill>
              <w14:schemeClr w14:val="tx1"/>
            </w14:solidFill>
          </w14:textFill>
        </w:rPr>
        <w:t>日期：</w:t>
      </w:r>
      <w:r>
        <w:rPr>
          <w:rFonts w:hint="eastAsia" w:hAnsi="宋体"/>
          <w:bCs/>
          <w:color w:val="000000" w:themeColor="text1"/>
          <w:highlight w:val="none"/>
          <w:u w:val="single"/>
          <w14:textFill>
            <w14:solidFill>
              <w14:schemeClr w14:val="tx1"/>
            </w14:solidFill>
          </w14:textFill>
        </w:rPr>
        <w:t xml:space="preserve">        </w:t>
      </w:r>
      <w:r>
        <w:rPr>
          <w:rFonts w:hint="eastAsia" w:hAnsi="宋体"/>
          <w:bCs/>
          <w:color w:val="000000" w:themeColor="text1"/>
          <w:highlight w:val="none"/>
          <w14:textFill>
            <w14:solidFill>
              <w14:schemeClr w14:val="tx1"/>
            </w14:solidFill>
          </w14:textFill>
        </w:rPr>
        <w:t>年</w:t>
      </w:r>
      <w:r>
        <w:rPr>
          <w:rFonts w:hint="eastAsia" w:hAnsi="宋体"/>
          <w:bCs/>
          <w:color w:val="000000" w:themeColor="text1"/>
          <w:highlight w:val="none"/>
          <w:u w:val="single"/>
          <w14:textFill>
            <w14:solidFill>
              <w14:schemeClr w14:val="tx1"/>
            </w14:solidFill>
          </w14:textFill>
        </w:rPr>
        <w:t xml:space="preserve">     </w:t>
      </w:r>
      <w:r>
        <w:rPr>
          <w:rFonts w:hint="eastAsia" w:hAnsi="宋体"/>
          <w:bCs/>
          <w:color w:val="000000" w:themeColor="text1"/>
          <w:highlight w:val="none"/>
          <w14:textFill>
            <w14:solidFill>
              <w14:schemeClr w14:val="tx1"/>
            </w14:solidFill>
          </w14:textFill>
        </w:rPr>
        <w:t>月</w:t>
      </w:r>
      <w:r>
        <w:rPr>
          <w:rFonts w:hint="eastAsia" w:hAnsi="宋体"/>
          <w:bCs/>
          <w:color w:val="000000" w:themeColor="text1"/>
          <w:highlight w:val="none"/>
          <w:u w:val="single"/>
          <w14:textFill>
            <w14:solidFill>
              <w14:schemeClr w14:val="tx1"/>
            </w14:solidFill>
          </w14:textFill>
        </w:rPr>
        <w:t xml:space="preserve">     </w:t>
      </w:r>
      <w:r>
        <w:rPr>
          <w:rFonts w:hint="eastAsia" w:hAnsi="宋体"/>
          <w:bCs/>
          <w:color w:val="000000" w:themeColor="text1"/>
          <w:highlight w:val="none"/>
          <w14:textFill>
            <w14:solidFill>
              <w14:schemeClr w14:val="tx1"/>
            </w14:solidFill>
          </w14:textFill>
        </w:rPr>
        <w:t>日</w:t>
      </w:r>
      <w:r>
        <w:rPr>
          <w:color w:val="000000" w:themeColor="text1"/>
          <w:spacing w:val="4"/>
          <w:highlight w:val="none"/>
          <w:u w:val="single"/>
          <w14:textFill>
            <w14:solidFill>
              <w14:schemeClr w14:val="tx1"/>
            </w14:solidFill>
          </w14:textFill>
        </w:rPr>
        <w:br w:type="page"/>
      </w:r>
      <w:r>
        <w:rPr>
          <w:rFonts w:hint="eastAsia" w:ascii="黑体" w:hAnsi="宋体" w:eastAsia="黑体" w:cs="Times New Roman"/>
          <w:bCs/>
          <w:color w:val="000000" w:themeColor="text1"/>
          <w:kern w:val="44"/>
          <w:sz w:val="21"/>
          <w:szCs w:val="24"/>
          <w:highlight w:val="none"/>
          <w:lang w:val="en-US" w:eastAsia="zh-CN" w:bidi="ar-SA"/>
          <w14:textFill>
            <w14:solidFill>
              <w14:schemeClr w14:val="tx1"/>
            </w14:solidFill>
          </w14:textFill>
        </w:rPr>
        <w:t>附件六：同类业绩一览表</w:t>
      </w:r>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157"/>
        <w:gridCol w:w="1206"/>
        <w:gridCol w:w="1063"/>
        <w:gridCol w:w="1333"/>
        <w:gridCol w:w="1174"/>
        <w:gridCol w:w="1126"/>
        <w:gridCol w:w="1162"/>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77"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157"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06"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063"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333"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174"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26"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162"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778"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tabs>
                <w:tab w:val="left" w:pos="0"/>
              </w:tabs>
              <w:snapToGrid w:val="0"/>
              <w:ind w:right="-8677" w:rightChars="-4132" w:firstLine="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77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highlight w:val="none"/>
                <w14:textFill>
                  <w14:solidFill>
                    <w14:schemeClr w14:val="tx1"/>
                  </w14:solidFill>
                </w14:textFill>
              </w:rPr>
            </w:pPr>
          </w:p>
        </w:tc>
      </w:tr>
    </w:tbl>
    <w:p>
      <w:pPr>
        <w:pStyle w:val="2"/>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2"/>
        <w:snapToGrid w:val="0"/>
        <w:spacing w:line="360" w:lineRule="auto"/>
        <w:rPr>
          <w:rFonts w:hAnsi="宋体"/>
          <w:bCs/>
          <w:color w:val="000000" w:themeColor="text1"/>
          <w:sz w:val="21"/>
          <w:highlight w:val="none"/>
          <w14:textFill>
            <w14:solidFill>
              <w14:schemeClr w14:val="tx1"/>
            </w14:solidFill>
          </w14:textFill>
        </w:rPr>
      </w:pPr>
    </w:p>
    <w:p>
      <w:pPr>
        <w:pStyle w:val="2"/>
        <w:snapToGrid w:val="0"/>
        <w:spacing w:line="360" w:lineRule="auto"/>
        <w:rPr>
          <w:rFonts w:hAnsi="宋体"/>
          <w:bCs/>
          <w:color w:val="000000" w:themeColor="text1"/>
          <w:sz w:val="21"/>
          <w:highlight w:val="none"/>
          <w14:textFill>
            <w14:solidFill>
              <w14:schemeClr w14:val="tx1"/>
            </w14:solidFill>
          </w14:textFill>
        </w:rPr>
      </w:pPr>
    </w:p>
    <w:p>
      <w:pPr>
        <w:pStyle w:val="2"/>
        <w:snapToGrid w:val="0"/>
        <w:spacing w:line="360" w:lineRule="auto"/>
        <w:rPr>
          <w:rFonts w:hAnsi="宋体"/>
          <w:bCs/>
          <w:color w:val="000000" w:themeColor="text1"/>
          <w:sz w:val="21"/>
          <w:highlight w:val="none"/>
          <w14:textFill>
            <w14:solidFill>
              <w14:schemeClr w14:val="tx1"/>
            </w14:solidFill>
          </w14:textFill>
        </w:rPr>
      </w:pPr>
    </w:p>
    <w:p>
      <w:pPr>
        <w:pStyle w:val="2"/>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897" w:name="_Toc853"/>
      <w:bookmarkStart w:id="1898" w:name="_Toc9858"/>
      <w:bookmarkStart w:id="1899" w:name="_Toc432695230"/>
      <w:bookmarkStart w:id="1900"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：中标服务费承诺</w:t>
      </w:r>
      <w:bookmarkEnd w:id="1897"/>
      <w:bookmarkEnd w:id="1898"/>
      <w:bookmarkEnd w:id="1899"/>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广东业信采购招标有限公司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若我方中标，将严格遵照本项目招标文件的规定向招标代理机构缴纳中标服务费。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901" w:name="_Toc326065622"/>
      <w:bookmarkStart w:id="1902" w:name="_Toc339441118"/>
      <w:bookmarkStart w:id="1903" w:name="_Toc333238665"/>
      <w:bookmarkStart w:id="1904" w:name="_Toc341348371"/>
      <w:bookmarkStart w:id="1905" w:name="_Toc342296792"/>
      <w:bookmarkStart w:id="1906" w:name="_Toc333237709"/>
      <w:bookmarkStart w:id="1907" w:name="_Toc365985212"/>
      <w:bookmarkStart w:id="1908" w:name="_Toc342060406"/>
      <w:bookmarkStart w:id="1909" w:name="_Toc366072563"/>
      <w:bookmarkStart w:id="1910" w:name="_Toc365967106"/>
      <w:bookmarkStart w:id="1911" w:name="_Toc343247131"/>
      <w:bookmarkStart w:id="1912" w:name="_Toc343612951"/>
      <w:bookmarkStart w:id="1913" w:name="_Toc339020126"/>
      <w:bookmarkStart w:id="1914" w:name="_Toc333237820"/>
      <w:bookmarkStart w:id="1915" w:name="_Toc342398161"/>
      <w:bookmarkStart w:id="1916" w:name="_Toc340507473"/>
      <w:bookmarkStart w:id="1917" w:name="_Toc333935718"/>
      <w:bookmarkStart w:id="1918" w:name="_Toc342312474"/>
      <w:bookmarkStart w:id="1919" w:name="_Toc339020046"/>
      <w:bookmarkStart w:id="1920" w:name="_Toc340672900"/>
      <w:bookmarkStart w:id="1921" w:name="_Toc345312628"/>
      <w:bookmarkStart w:id="1922" w:name="_Toc333935377"/>
      <w:bookmarkStart w:id="1923" w:name="_Toc350756481"/>
      <w:bookmarkStart w:id="1924" w:name="_Toc432695231"/>
      <w:bookmarkStart w:id="1925" w:name="_Toc330460017"/>
      <w:bookmarkStart w:id="1926" w:name="_Toc332270378"/>
      <w:bookmarkStart w:id="1927" w:name="_Toc10463"/>
      <w:bookmarkStart w:id="1928" w:name="_Toc339020264"/>
      <w:bookmarkStart w:id="1929" w:name="_Toc331684073"/>
      <w:bookmarkStart w:id="1930" w:name="_Toc340677101"/>
      <w:bookmarkStart w:id="1931" w:name="_Toc336681966"/>
      <w:bookmarkStart w:id="1932" w:name="_Toc343248449"/>
      <w:bookmarkStart w:id="1933" w:name="_Toc336681611"/>
      <w:bookmarkStart w:id="1934" w:name="_Toc337632389"/>
      <w:bookmarkStart w:id="1935" w:name="_Toc339362331"/>
      <w:bookmarkStart w:id="1936" w:name="_Toc339019920"/>
      <w:bookmarkStart w:id="1937" w:name="_Toc331512932"/>
      <w:bookmarkStart w:id="1938" w:name="_Toc350438780"/>
      <w:bookmarkStart w:id="1939" w:name="_Toc28360"/>
      <w:bookmarkStart w:id="1940" w:name="_Toc332206740"/>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w:t>
      </w:r>
      <w:bookmarkEnd w:id="1901"/>
      <w:r>
        <w:rPr>
          <w:rFonts w:hint="eastAsia"/>
          <w:color w:val="000000" w:themeColor="text1"/>
          <w:highlight w:val="none"/>
          <w14:textFill>
            <w14:solidFill>
              <w14:schemeClr w14:val="tx1"/>
            </w14:solidFill>
          </w14:textFill>
        </w:rPr>
        <w:t>投标人提交的其它商务和技术资料</w:t>
      </w:r>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2"/>
        <w:spacing w:line="360" w:lineRule="auto"/>
        <w:rPr>
          <w:rFonts w:hAnsi="宋体"/>
          <w:bCs/>
          <w:color w:val="000000" w:themeColor="text1"/>
          <w:sz w:val="21"/>
          <w:highlight w:val="none"/>
          <w14:textFill>
            <w14:solidFill>
              <w14:schemeClr w14:val="tx1"/>
            </w14:solidFill>
          </w14:textFill>
        </w:rPr>
      </w:pP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2"/>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ind w:firstLine="0"/>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1941" w:name="_Toc456887842"/>
      <w:bookmarkStart w:id="1942" w:name="_Toc456888293"/>
      <w:bookmarkStart w:id="1943" w:name="_Toc26105"/>
      <w:r>
        <w:rPr>
          <w:rFonts w:hint="eastAsia"/>
          <w:color w:val="000000" w:themeColor="text1"/>
          <w:sz w:val="52"/>
          <w:highlight w:val="none"/>
          <w14:textFill>
            <w14:solidFill>
              <w14:schemeClr w14:val="tx1"/>
            </w14:solidFill>
          </w14:textFill>
        </w:rPr>
        <w:t>其 他 格 式</w:t>
      </w:r>
      <w:bookmarkEnd w:id="1900"/>
      <w:bookmarkEnd w:id="1941"/>
      <w:bookmarkEnd w:id="1942"/>
      <w:bookmarkEnd w:id="1943"/>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5"/>
        <w:numPr>
          <w:ilvl w:val="0"/>
          <w:numId w:val="0"/>
        </w:numPr>
        <w:spacing w:after="120" w:afterLines="50"/>
        <w:jc w:val="center"/>
        <w:rPr>
          <w:rFonts w:ascii="宋体" w:hAnsi="宋体" w:eastAsia="宋体"/>
          <w:b/>
          <w:color w:val="000000" w:themeColor="text1"/>
          <w:sz w:val="28"/>
          <w:highlight w:val="none"/>
          <w14:textFill>
            <w14:solidFill>
              <w14:schemeClr w14:val="tx1"/>
            </w14:solidFill>
          </w14:textFill>
        </w:rPr>
      </w:pPr>
      <w:bookmarkStart w:id="1944" w:name="_Toc456887843"/>
      <w:bookmarkStart w:id="1945" w:name="_Toc18298"/>
      <w:bookmarkStart w:id="1946" w:name="_Toc456888294"/>
      <w:r>
        <w:rPr>
          <w:rFonts w:hint="eastAsia" w:ascii="宋体" w:hAnsi="宋体" w:eastAsia="宋体"/>
          <w:b/>
          <w:color w:val="000000" w:themeColor="text1"/>
          <w:sz w:val="28"/>
          <w:highlight w:val="none"/>
          <w14:textFill>
            <w14:solidFill>
              <w14:schemeClr w14:val="tx1"/>
            </w14:solidFill>
          </w14:textFill>
        </w:rPr>
        <w:t>投标保证金退付书</w:t>
      </w:r>
      <w:bookmarkEnd w:id="1944"/>
      <w:bookmarkEnd w:id="1945"/>
      <w:bookmarkEnd w:id="1946"/>
    </w:p>
    <w:p>
      <w:pPr>
        <w:spacing w:line="288" w:lineRule="auto"/>
        <w:rPr>
          <w:rFonts w:ascii="宋体" w:hAnsi="宋体"/>
          <w:b/>
          <w:color w:val="000000" w:themeColor="text1"/>
          <w:szCs w:val="21"/>
          <w:highlight w:val="none"/>
          <w14:textFill>
            <w14:solidFill>
              <w14:schemeClr w14:val="tx1"/>
            </w14:solidFill>
          </w14:textFill>
        </w:rPr>
      </w:pPr>
    </w:p>
    <w:p>
      <w:pPr>
        <w:spacing w:line="288"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致：广东业信采购招标有限公司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8"/>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5"/>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5"/>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5"/>
                <w:color w:val="000000" w:themeColor="text1"/>
                <w:spacing w:val="10"/>
                <w:sz w:val="21"/>
                <w:szCs w:val="21"/>
                <w:highlight w:val="none"/>
                <w:u w:val="singl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开户银行</w:t>
            </w:r>
            <w:r>
              <w:rPr>
                <w:rStyle w:val="305"/>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5"/>
                <w:color w:val="000000" w:themeColor="text1"/>
                <w:spacing w:val="10"/>
                <w:sz w:val="21"/>
                <w:szCs w:val="21"/>
                <w:highlight w:val="none"/>
                <w:u w:val="singl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5"/>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8"/>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b/>
          <w:bCs/>
          <w:color w:val="000000" w:themeColor="text1"/>
          <w:sz w:val="44"/>
          <w:szCs w:val="44"/>
          <w:highlight w:val="none"/>
          <w14:textFill>
            <w14:solidFill>
              <w14:schemeClr w14:val="tx1"/>
            </w14:solidFill>
          </w14:textFill>
        </w:rPr>
      </w:pPr>
    </w:p>
    <w:p>
      <w:pPr>
        <w:jc w:val="center"/>
        <w:rPr>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color w:val="000000" w:themeColor="text1"/>
          <w:szCs w:val="21"/>
          <w:highlight w:val="none"/>
          <w14:textFill>
            <w14:solidFill>
              <w14:schemeClr w14:val="tx1"/>
            </w14:solidFill>
          </w14:textFill>
        </w:rPr>
      </w:pPr>
    </w:p>
    <w:tbl>
      <w:tblPr>
        <w:tblStyle w:val="48"/>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tcPr>
          <w:p>
            <w:pPr>
              <w:rPr>
                <w:color w:val="000000" w:themeColor="text1"/>
                <w:sz w:val="28"/>
                <w:szCs w:val="28"/>
                <w:highlight w:val="none"/>
                <w14:textFill>
                  <w14:solidFill>
                    <w14:schemeClr w14:val="tx1"/>
                  </w14:solidFill>
                </w14:textFill>
              </w:rPr>
            </w:pPr>
          </w:p>
        </w:tc>
        <w:tc>
          <w:tcPr>
            <w:tcW w:w="1940"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tcPr>
          <w:p>
            <w:pPr>
              <w:rPr>
                <w:color w:val="000000" w:themeColor="text1"/>
                <w:sz w:val="28"/>
                <w:szCs w:val="28"/>
                <w:highlight w:val="none"/>
                <w14:textFill>
                  <w14:solidFill>
                    <w14:schemeClr w14:val="tx1"/>
                  </w14:solidFill>
                </w14:textFill>
              </w:rPr>
            </w:pPr>
          </w:p>
        </w:tc>
        <w:tc>
          <w:tcPr>
            <w:tcW w:w="1940"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tcPr>
          <w:p>
            <w:pPr>
              <w:rPr>
                <w:color w:val="000000" w:themeColor="text1"/>
                <w:sz w:val="28"/>
                <w:szCs w:val="28"/>
                <w:highlight w:val="none"/>
                <w14:textFill>
                  <w14:solidFill>
                    <w14:schemeClr w14:val="tx1"/>
                  </w14:solidFill>
                </w14:textFill>
              </w:rPr>
            </w:pPr>
          </w:p>
        </w:tc>
        <w:tc>
          <w:tcPr>
            <w:tcW w:w="1940"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tcPr>
          <w:p>
            <w:pPr>
              <w:rPr>
                <w:color w:val="000000" w:themeColor="text1"/>
                <w:sz w:val="28"/>
                <w:szCs w:val="28"/>
                <w:highlight w:val="none"/>
                <w14:textFill>
                  <w14:solidFill>
                    <w14:schemeClr w14:val="tx1"/>
                  </w14:solidFill>
                </w14:textFill>
              </w:rPr>
            </w:pPr>
          </w:p>
        </w:tc>
        <w:tc>
          <w:tcPr>
            <w:tcW w:w="1940"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tcPr>
          <w:p>
            <w:pPr>
              <w:rPr>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tcPr>
          <w:p>
            <w:pPr>
              <w:rPr>
                <w:color w:val="000000" w:themeColor="text1"/>
                <w:sz w:val="28"/>
                <w:szCs w:val="28"/>
                <w:highlight w:val="none"/>
                <w14:textFill>
                  <w14:solidFill>
                    <w14:schemeClr w14:val="tx1"/>
                  </w14:solidFill>
                </w14:textFill>
              </w:rPr>
            </w:pPr>
          </w:p>
        </w:tc>
      </w:tr>
    </w:tbl>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2"/>
        <w:spacing w:before="0" w:beforeAutospacing="0" w:after="0" w:afterAutospacing="0" w:line="360" w:lineRule="auto"/>
        <w:jc w:val="center"/>
        <w:rPr>
          <w:rStyle w:val="51"/>
          <w:rFonts w:cs="Times New Roman"/>
          <w:color w:val="000000" w:themeColor="text1"/>
          <w:highlight w:val="none"/>
          <w14:textFill>
            <w14:solidFill>
              <w14:schemeClr w14:val="tx1"/>
            </w14:solidFill>
          </w14:textFill>
        </w:rPr>
      </w:pPr>
      <w:r>
        <w:rPr>
          <w:rStyle w:val="51"/>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2"/>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2"/>
        <w:spacing w:before="0" w:beforeAutospacing="0" w:after="0" w:afterAutospacing="0" w:line="360" w:lineRule="auto"/>
        <w:jc w:val="center"/>
        <w:rPr>
          <w:rStyle w:val="51"/>
          <w:rFonts w:cs="Times New Roman"/>
          <w:color w:val="000000" w:themeColor="text1"/>
          <w:highlight w:val="none"/>
          <w14:textFill>
            <w14:solidFill>
              <w14:schemeClr w14:val="tx1"/>
            </w14:solidFill>
          </w14:textFill>
        </w:rPr>
      </w:pPr>
      <w:r>
        <w:rPr>
          <w:rStyle w:val="51"/>
          <w:rFonts w:hint="eastAsia" w:cs="Times New Roman"/>
          <w:b w:val="0"/>
          <w:color w:val="000000" w:themeColor="text1"/>
          <w:highlight w:val="none"/>
          <w14:textFill>
            <w14:solidFill>
              <w14:schemeClr w14:val="tx1"/>
            </w14:solidFill>
          </w14:textFill>
        </w:rPr>
        <w:t>质疑函</w:t>
      </w:r>
    </w:p>
    <w:p>
      <w:pPr>
        <w:adjustRightInd w:val="0"/>
        <w:snapToGrid w:val="0"/>
        <w:spacing w:before="240"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招标人名称：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招标代理机构工作人员做好确认工作，未被确认的质疑将作为无效质疑，招标人</w:t>
      </w:r>
      <w:r>
        <w:rPr>
          <w:rFonts w:ascii="宋体" w:hAnsi="宋体" w:cs="宋体"/>
          <w:color w:val="000000" w:themeColor="text1"/>
          <w:kern w:val="0"/>
          <w:szCs w:val="21"/>
          <w:highlight w:val="none"/>
          <w14:textFill>
            <w14:solidFill>
              <w14:schemeClr w14:val="tx1"/>
            </w14:solidFill>
          </w14:textFill>
        </w:rPr>
        <w:t>或</w:t>
      </w:r>
      <w:r>
        <w:rPr>
          <w:rFonts w:hint="eastAsia" w:ascii="宋体" w:hAnsi="宋体" w:cs="宋体"/>
          <w:color w:val="000000" w:themeColor="text1"/>
          <w:kern w:val="0"/>
          <w:szCs w:val="21"/>
          <w:highlight w:val="none"/>
          <w14:textFill>
            <w14:solidFill>
              <w14:schemeClr w14:val="tx1"/>
            </w14:solidFill>
          </w14:textFill>
        </w:rPr>
        <w:t>招标代理机构可不予作答。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0000009F" w:csb1="00000000"/>
  </w:font>
  <w:font w:name="华文楷体">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2"/>
      </w:rPr>
    </w:pPr>
    <w:r>
      <w:fldChar w:fldCharType="begin"/>
    </w:r>
    <w:r>
      <w:rPr>
        <w:rStyle w:val="52"/>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85</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85</w:t>
    </w:r>
    <w:r>
      <w:rPr>
        <w:kern w:val="0"/>
        <w:szCs w:val="21"/>
      </w:rPr>
      <w:fldChar w:fldCharType="end"/>
    </w:r>
    <w:r>
      <w:rPr>
        <w:rFonts w:hint="eastAsia"/>
        <w:kern w:val="0"/>
        <w:szCs w:val="21"/>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73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73</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BB36BF"/>
    <w:multiLevelType w:val="multilevel"/>
    <w:tmpl w:val="9CBB36BF"/>
    <w:lvl w:ilvl="0" w:tentative="0">
      <w:start w:val="1"/>
      <w:numFmt w:val="decimal"/>
      <w:lvlText w:val="%1."/>
      <w:lvlJc w:val="left"/>
      <w:pPr>
        <w:ind w:left="42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F09F0F39"/>
    <w:multiLevelType w:val="singleLevel"/>
    <w:tmpl w:val="F09F0F39"/>
    <w:lvl w:ilvl="0" w:tentative="0">
      <w:start w:val="14"/>
      <w:numFmt w:val="chineseCounting"/>
      <w:suff w:val="nothing"/>
      <w:lvlText w:val="（%1）"/>
      <w:lvlJc w:val="left"/>
      <w:rPr>
        <w:rFonts w:hint="eastAsia"/>
      </w:rPr>
    </w:lvl>
  </w:abstractNum>
  <w:abstractNum w:abstractNumId="3">
    <w:nsid w:val="00000003"/>
    <w:multiLevelType w:val="multilevel"/>
    <w:tmpl w:val="00000003"/>
    <w:lvl w:ilvl="0" w:tentative="0">
      <w:start w:val="1"/>
      <w:numFmt w:val="decimal"/>
      <w:pStyle w:val="300"/>
      <w:lvlText w:val="%1. "/>
      <w:lvlJc w:val="left"/>
      <w:pPr>
        <w:tabs>
          <w:tab w:val="left" w:pos="981"/>
        </w:tabs>
        <w:ind w:left="981" w:hanging="419"/>
      </w:pPr>
    </w:lvl>
    <w:lvl w:ilvl="1" w:tentative="0">
      <w:start w:val="1"/>
      <w:numFmt w:val="upperLetter"/>
      <w:pStyle w:val="289"/>
      <w:lvlText w:val="%2. "/>
      <w:lvlJc w:val="left"/>
      <w:pPr>
        <w:tabs>
          <w:tab w:val="left" w:pos="1191"/>
        </w:tabs>
        <w:ind w:left="1191" w:hanging="420"/>
      </w:pPr>
    </w:lvl>
    <w:lvl w:ilvl="2" w:tentative="0">
      <w:start w:val="1"/>
      <w:numFmt w:val="lowerLetter"/>
      <w:pStyle w:val="298"/>
      <w:lvlText w:val="%3. "/>
      <w:lvlJc w:val="left"/>
      <w:pPr>
        <w:tabs>
          <w:tab w:val="left" w:pos="1401"/>
        </w:tabs>
        <w:ind w:left="1401" w:hanging="420"/>
      </w:pPr>
    </w:lvl>
    <w:lvl w:ilvl="3" w:tentative="0">
      <w:start w:val="1"/>
      <w:numFmt w:val="lowerLetter"/>
      <w:pStyle w:val="156"/>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71"/>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9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5"/>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8"/>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4"/>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4"/>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9"/>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0"/>
      <w:suff w:val="space"/>
      <w:lvlText w:val="%1.%2.%3"/>
      <w:lvlJc w:val="left"/>
      <w:pPr>
        <w:tabs>
          <w:tab w:val="left" w:pos="1418"/>
        </w:tabs>
        <w:ind w:left="0" w:firstLine="0"/>
      </w:pPr>
    </w:lvl>
    <w:lvl w:ilvl="3" w:tentative="0">
      <w:start w:val="1"/>
      <w:numFmt w:val="decimal"/>
      <w:pStyle w:val="297"/>
      <w:suff w:val="space"/>
      <w:lvlText w:val="%1.%2.%3.%4"/>
      <w:lvlJc w:val="left"/>
      <w:pPr>
        <w:tabs>
          <w:tab w:val="left" w:pos="1984"/>
        </w:tabs>
        <w:ind w:left="0" w:firstLine="0"/>
      </w:pPr>
    </w:lvl>
    <w:lvl w:ilvl="4" w:tentative="0">
      <w:start w:val="1"/>
      <w:numFmt w:val="decimal"/>
      <w:pStyle w:val="293"/>
      <w:suff w:val="space"/>
      <w:lvlText w:val="%1.%2.%3.%4.%5"/>
      <w:lvlJc w:val="left"/>
      <w:pPr>
        <w:tabs>
          <w:tab w:val="left" w:pos="2551"/>
        </w:tabs>
        <w:ind w:left="0" w:firstLine="0"/>
      </w:pPr>
    </w:lvl>
    <w:lvl w:ilvl="5" w:tentative="0">
      <w:start w:val="1"/>
      <w:numFmt w:val="decimal"/>
      <w:pStyle w:val="197"/>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9"/>
      <w:lvlText w:val="%1)"/>
      <w:lvlJc w:val="left"/>
      <w:pPr>
        <w:tabs>
          <w:tab w:val="left" w:pos="420"/>
        </w:tabs>
        <w:ind w:left="420" w:hanging="420"/>
      </w:pPr>
    </w:lvl>
    <w:lvl w:ilvl="1" w:tentative="0">
      <w:start w:val="1"/>
      <w:numFmt w:val="lowerLetter"/>
      <w:pStyle w:val="124"/>
      <w:lvlText w:val="%2)"/>
      <w:lvlJc w:val="left"/>
      <w:pPr>
        <w:tabs>
          <w:tab w:val="left" w:pos="840"/>
        </w:tabs>
        <w:ind w:left="840" w:hanging="420"/>
      </w:pPr>
    </w:lvl>
    <w:lvl w:ilvl="2" w:tentative="0">
      <w:start w:val="1"/>
      <w:numFmt w:val="lowerRoman"/>
      <w:pStyle w:val="123"/>
      <w:lvlText w:val="%3."/>
      <w:lvlJc w:val="right"/>
      <w:pPr>
        <w:tabs>
          <w:tab w:val="left" w:pos="1260"/>
        </w:tabs>
        <w:ind w:left="1260" w:hanging="420"/>
      </w:pPr>
    </w:lvl>
    <w:lvl w:ilvl="3" w:tentative="0">
      <w:start w:val="1"/>
      <w:numFmt w:val="decimal"/>
      <w:pStyle w:val="188"/>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9"/>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2"/>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0"/>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50"/>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3"/>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57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40"/>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4C21D6C"/>
    <w:multiLevelType w:val="multilevel"/>
    <w:tmpl w:val="14C21D6C"/>
    <w:lvl w:ilvl="0" w:tentative="0">
      <w:start w:val="1"/>
      <w:numFmt w:val="chineseCountingThousand"/>
      <w:lvlText w:val="(%1)"/>
      <w:lvlJc w:val="left"/>
      <w:pPr>
        <w:ind w:left="111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15EAC7E5"/>
    <w:multiLevelType w:val="multilevel"/>
    <w:tmpl w:val="15EAC7E5"/>
    <w:lvl w:ilvl="0" w:tentative="0">
      <w:start w:val="1"/>
      <w:numFmt w:val="chineseCounting"/>
      <w:suff w:val="nothing"/>
      <w:lvlText w:val="%1、"/>
      <w:lvlJc w:val="left"/>
      <w:pPr>
        <w:ind w:firstLine="420"/>
      </w:pPr>
      <w:rPr>
        <w:rFonts w:hint="default" w:ascii="Times New Roman" w:hAnsi="Times New Roman" w:eastAsia="宋体"/>
      </w:rPr>
    </w:lvl>
    <w:lvl w:ilvl="1" w:tentative="0">
      <w:start w:val="1"/>
      <w:numFmt w:val="decimal"/>
      <w:lvlText w:val=""/>
      <w:lvlJc w:val="left"/>
      <w:rPr>
        <w:rFonts w:hint="default" w:ascii="Times New Roman" w:hAnsi="Times New Roman" w:eastAsia="宋体"/>
        <w:u w:val="none"/>
      </w:rPr>
    </w:lvl>
    <w:lvl w:ilvl="2" w:tentative="0">
      <w:start w:val="1"/>
      <w:numFmt w:val="decimal"/>
      <w:lvlText w:val=""/>
      <w:lvlJc w:val="left"/>
      <w:rPr>
        <w:rFonts w:hint="default" w:ascii="Times New Roman" w:hAnsi="Times New Roman" w:eastAsia="宋体"/>
        <w:u w:val="none"/>
      </w:rPr>
    </w:lvl>
    <w:lvl w:ilvl="3" w:tentative="0">
      <w:start w:val="1"/>
      <w:numFmt w:val="decimal"/>
      <w:lvlText w:val=""/>
      <w:lvlJc w:val="left"/>
      <w:rPr>
        <w:rFonts w:hint="default" w:ascii="Times New Roman" w:hAnsi="Times New Roman" w:eastAsia="宋体"/>
        <w:u w:val="none"/>
      </w:rPr>
    </w:lvl>
    <w:lvl w:ilvl="4" w:tentative="0">
      <w:start w:val="1"/>
      <w:numFmt w:val="decimal"/>
      <w:lvlText w:val=""/>
      <w:lvlJc w:val="left"/>
      <w:rPr>
        <w:rFonts w:hint="default" w:ascii="Times New Roman" w:hAnsi="Times New Roman" w:eastAsia="宋体"/>
        <w:u w:val="none"/>
      </w:rPr>
    </w:lvl>
    <w:lvl w:ilvl="5" w:tentative="0">
      <w:start w:val="1"/>
      <w:numFmt w:val="decimal"/>
      <w:lvlText w:val=""/>
      <w:lvlJc w:val="left"/>
      <w:rPr>
        <w:rFonts w:hint="default" w:ascii="Times New Roman" w:hAnsi="Times New Roman" w:eastAsia="宋体"/>
        <w:u w:val="none"/>
      </w:rPr>
    </w:lvl>
    <w:lvl w:ilvl="6" w:tentative="0">
      <w:start w:val="1"/>
      <w:numFmt w:val="decimal"/>
      <w:lvlText w:val=""/>
      <w:lvlJc w:val="left"/>
      <w:rPr>
        <w:rFonts w:hint="default" w:ascii="Times New Roman" w:hAnsi="Times New Roman" w:eastAsia="宋体"/>
        <w:u w:val="none"/>
      </w:rPr>
    </w:lvl>
    <w:lvl w:ilvl="7" w:tentative="0">
      <w:start w:val="1"/>
      <w:numFmt w:val="decimal"/>
      <w:lvlText w:val=""/>
      <w:lvlJc w:val="left"/>
      <w:rPr>
        <w:rFonts w:hint="default" w:ascii="Times New Roman" w:hAnsi="Times New Roman" w:eastAsia="宋体"/>
        <w:u w:val="none"/>
      </w:rPr>
    </w:lvl>
    <w:lvl w:ilvl="8" w:tentative="0">
      <w:start w:val="1"/>
      <w:numFmt w:val="decimal"/>
      <w:lvlText w:val=""/>
      <w:lvlJc w:val="left"/>
      <w:rPr>
        <w:rFonts w:hint="default" w:ascii="Times New Roman" w:hAnsi="Times New Roman" w:eastAsia="宋体"/>
        <w:u w:val="none"/>
      </w:rPr>
    </w:lvl>
  </w:abstractNum>
  <w:abstractNum w:abstractNumId="33">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D597BC7"/>
    <w:multiLevelType w:val="multilevel"/>
    <w:tmpl w:val="2D597BC7"/>
    <w:lvl w:ilvl="0" w:tentative="0">
      <w:start w:val="1"/>
      <w:numFmt w:val="decimal"/>
      <w:lvlText w:val="%1."/>
      <w:lvlJc w:val="left"/>
      <w:pPr>
        <w:ind w:left="42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8E033E5"/>
    <w:multiLevelType w:val="multilevel"/>
    <w:tmpl w:val="68E033E5"/>
    <w:lvl w:ilvl="0" w:tentative="0">
      <w:start w:val="1"/>
      <w:numFmt w:val="decimal"/>
      <w:lvlText w:val="%1"/>
      <w:lvlJc w:val="left"/>
      <w:pPr>
        <w:tabs>
          <w:tab w:val="left" w:pos="426"/>
        </w:tabs>
        <w:ind w:left="426" w:hanging="142"/>
      </w:pPr>
      <w:rPr>
        <w:rFonts w:hint="default" w:ascii="Times New Roman" w:hAnsi="Times New Roman" w:eastAsia="宋体"/>
      </w:rPr>
    </w:lvl>
    <w:lvl w:ilvl="1" w:tentative="0">
      <w:start w:val="1"/>
      <w:numFmt w:val="lowerLetter"/>
      <w:lvlText w:val="%2)"/>
      <w:lvlJc w:val="left"/>
      <w:pPr>
        <w:tabs>
          <w:tab w:val="left" w:pos="840"/>
        </w:tabs>
        <w:ind w:left="840" w:hanging="420"/>
      </w:pPr>
      <w:rPr>
        <w:rFonts w:hint="default" w:ascii="Times New Roman" w:hAnsi="Times New Roman" w:eastAsia="宋体"/>
      </w:rPr>
    </w:lvl>
    <w:lvl w:ilvl="2" w:tentative="0">
      <w:start w:val="1"/>
      <w:numFmt w:val="lowerRoman"/>
      <w:lvlText w:val="%3."/>
      <w:lvlJc w:val="right"/>
      <w:pPr>
        <w:tabs>
          <w:tab w:val="left" w:pos="1260"/>
        </w:tabs>
        <w:ind w:left="1260" w:hanging="420"/>
      </w:pPr>
      <w:rPr>
        <w:rFonts w:hint="default" w:ascii="Times New Roman" w:hAnsi="Times New Roman" w:eastAsia="宋体"/>
      </w:rPr>
    </w:lvl>
    <w:lvl w:ilvl="3" w:tentative="0">
      <w:start w:val="1"/>
      <w:numFmt w:val="decimal"/>
      <w:lvlText w:val="%4."/>
      <w:lvlJc w:val="left"/>
      <w:pPr>
        <w:tabs>
          <w:tab w:val="left" w:pos="1680"/>
        </w:tabs>
        <w:ind w:left="1680" w:hanging="420"/>
      </w:pPr>
      <w:rPr>
        <w:rFonts w:hint="default" w:ascii="Times New Roman" w:hAnsi="Times New Roman" w:eastAsia="宋体"/>
      </w:rPr>
    </w:lvl>
    <w:lvl w:ilvl="4" w:tentative="0">
      <w:start w:val="1"/>
      <w:numFmt w:val="lowerLetter"/>
      <w:lvlText w:val="%5)"/>
      <w:lvlJc w:val="left"/>
      <w:pPr>
        <w:tabs>
          <w:tab w:val="left" w:pos="2100"/>
        </w:tabs>
        <w:ind w:left="2100" w:hanging="420"/>
      </w:pPr>
      <w:rPr>
        <w:rFonts w:hint="default" w:ascii="Times New Roman" w:hAnsi="Times New Roman" w:eastAsia="宋体"/>
      </w:rPr>
    </w:lvl>
    <w:lvl w:ilvl="5" w:tentative="0">
      <w:start w:val="1"/>
      <w:numFmt w:val="lowerRoman"/>
      <w:lvlText w:val="%6."/>
      <w:lvlJc w:val="right"/>
      <w:pPr>
        <w:tabs>
          <w:tab w:val="left" w:pos="2520"/>
        </w:tabs>
        <w:ind w:left="2520" w:hanging="420"/>
      </w:pPr>
      <w:rPr>
        <w:rFonts w:hint="default" w:ascii="Times New Roman" w:hAnsi="Times New Roman" w:eastAsia="宋体"/>
      </w:rPr>
    </w:lvl>
    <w:lvl w:ilvl="6" w:tentative="0">
      <w:start w:val="1"/>
      <w:numFmt w:val="decimal"/>
      <w:lvlText w:val="%7."/>
      <w:lvlJc w:val="left"/>
      <w:pPr>
        <w:tabs>
          <w:tab w:val="left" w:pos="2940"/>
        </w:tabs>
        <w:ind w:left="2940" w:hanging="420"/>
      </w:pPr>
      <w:rPr>
        <w:rFonts w:hint="default" w:ascii="Times New Roman" w:hAnsi="Times New Roman" w:eastAsia="宋体"/>
      </w:rPr>
    </w:lvl>
    <w:lvl w:ilvl="7" w:tentative="0">
      <w:start w:val="1"/>
      <w:numFmt w:val="lowerLetter"/>
      <w:lvlText w:val="%8)"/>
      <w:lvlJc w:val="left"/>
      <w:pPr>
        <w:tabs>
          <w:tab w:val="left" w:pos="3360"/>
        </w:tabs>
        <w:ind w:left="3360" w:hanging="420"/>
      </w:pPr>
      <w:rPr>
        <w:rFonts w:hint="default" w:ascii="Times New Roman" w:hAnsi="Times New Roman" w:eastAsia="宋体"/>
      </w:rPr>
    </w:lvl>
    <w:lvl w:ilvl="8" w:tentative="0">
      <w:start w:val="1"/>
      <w:numFmt w:val="lowerRoman"/>
      <w:lvlText w:val="%9."/>
      <w:lvlJc w:val="right"/>
      <w:pPr>
        <w:tabs>
          <w:tab w:val="left" w:pos="3780"/>
        </w:tabs>
        <w:ind w:left="3780" w:hanging="420"/>
      </w:pPr>
      <w:rPr>
        <w:rFonts w:hint="default" w:ascii="Times New Roman" w:hAnsi="Times New Roman" w:eastAsia="宋体"/>
      </w:rPr>
    </w:lvl>
  </w:abstractNum>
  <w:abstractNum w:abstractNumId="36">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3"/>
  </w:num>
  <w:num w:numId="2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1"/>
  </w:num>
  <w:num w:numId="32">
    <w:abstractNumId w:val="2"/>
  </w:num>
  <w:num w:numId="33">
    <w:abstractNumId w:val="28"/>
  </w:num>
  <w:num w:numId="34">
    <w:abstractNumId w:val="32"/>
  </w:num>
  <w:num w:numId="35">
    <w:abstractNumId w:val="34"/>
  </w:num>
  <w:num w:numId="36">
    <w:abstractNumId w:val="0"/>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0"/>
  <w:drawingGridHorizontalSpacing w:val="97"/>
  <w:drawingGridVerticalSpacing w:val="19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172A27"/>
    <w:rsid w:val="00003B05"/>
    <w:rsid w:val="000052D9"/>
    <w:rsid w:val="00015360"/>
    <w:rsid w:val="000206EA"/>
    <w:rsid w:val="000223F0"/>
    <w:rsid w:val="0002770C"/>
    <w:rsid w:val="000368F5"/>
    <w:rsid w:val="00040AF6"/>
    <w:rsid w:val="00041189"/>
    <w:rsid w:val="00046854"/>
    <w:rsid w:val="00047340"/>
    <w:rsid w:val="00066033"/>
    <w:rsid w:val="00067AC4"/>
    <w:rsid w:val="00067ECB"/>
    <w:rsid w:val="000743D3"/>
    <w:rsid w:val="0007641A"/>
    <w:rsid w:val="00080179"/>
    <w:rsid w:val="000938C9"/>
    <w:rsid w:val="000978EF"/>
    <w:rsid w:val="000A039F"/>
    <w:rsid w:val="000A0A09"/>
    <w:rsid w:val="000A0B8F"/>
    <w:rsid w:val="000A4A8E"/>
    <w:rsid w:val="000B0241"/>
    <w:rsid w:val="000B2EEF"/>
    <w:rsid w:val="000C0ABB"/>
    <w:rsid w:val="000C67C1"/>
    <w:rsid w:val="000C7A8F"/>
    <w:rsid w:val="000D294B"/>
    <w:rsid w:val="000D49EF"/>
    <w:rsid w:val="000D749E"/>
    <w:rsid w:val="000E708A"/>
    <w:rsid w:val="000F0496"/>
    <w:rsid w:val="000F12BD"/>
    <w:rsid w:val="000F1462"/>
    <w:rsid w:val="000F4863"/>
    <w:rsid w:val="000F6CB2"/>
    <w:rsid w:val="000F7681"/>
    <w:rsid w:val="00103331"/>
    <w:rsid w:val="00103D8A"/>
    <w:rsid w:val="00104DF4"/>
    <w:rsid w:val="001132A7"/>
    <w:rsid w:val="00131274"/>
    <w:rsid w:val="00136F13"/>
    <w:rsid w:val="00141126"/>
    <w:rsid w:val="001415F8"/>
    <w:rsid w:val="0014238E"/>
    <w:rsid w:val="00142879"/>
    <w:rsid w:val="00144654"/>
    <w:rsid w:val="001455C2"/>
    <w:rsid w:val="001478E8"/>
    <w:rsid w:val="00152A42"/>
    <w:rsid w:val="00152A51"/>
    <w:rsid w:val="00157B21"/>
    <w:rsid w:val="001654CE"/>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B6617"/>
    <w:rsid w:val="001C21FC"/>
    <w:rsid w:val="001C4383"/>
    <w:rsid w:val="001C6F08"/>
    <w:rsid w:val="001C7913"/>
    <w:rsid w:val="001D1A9E"/>
    <w:rsid w:val="001D1EDD"/>
    <w:rsid w:val="001E5F01"/>
    <w:rsid w:val="001E62E6"/>
    <w:rsid w:val="001E6CB4"/>
    <w:rsid w:val="001F1984"/>
    <w:rsid w:val="001F45DA"/>
    <w:rsid w:val="001F7AA4"/>
    <w:rsid w:val="00200D1A"/>
    <w:rsid w:val="002174DD"/>
    <w:rsid w:val="00222E14"/>
    <w:rsid w:val="00224528"/>
    <w:rsid w:val="002300E3"/>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20B"/>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45E6C"/>
    <w:rsid w:val="00347FAE"/>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A6B66"/>
    <w:rsid w:val="003B10A8"/>
    <w:rsid w:val="003B6B67"/>
    <w:rsid w:val="003B7D06"/>
    <w:rsid w:val="003C049F"/>
    <w:rsid w:val="003C7C33"/>
    <w:rsid w:val="003D1CD9"/>
    <w:rsid w:val="003D231E"/>
    <w:rsid w:val="003E18ED"/>
    <w:rsid w:val="003E1FEE"/>
    <w:rsid w:val="003E3C12"/>
    <w:rsid w:val="003E5EC8"/>
    <w:rsid w:val="003E7C44"/>
    <w:rsid w:val="003F259F"/>
    <w:rsid w:val="004011D2"/>
    <w:rsid w:val="004042CA"/>
    <w:rsid w:val="0041199C"/>
    <w:rsid w:val="00415FCB"/>
    <w:rsid w:val="00421DC0"/>
    <w:rsid w:val="00422A83"/>
    <w:rsid w:val="00424808"/>
    <w:rsid w:val="00426146"/>
    <w:rsid w:val="00426D6B"/>
    <w:rsid w:val="004347BA"/>
    <w:rsid w:val="004359A2"/>
    <w:rsid w:val="00435A0F"/>
    <w:rsid w:val="0043657C"/>
    <w:rsid w:val="00437DA4"/>
    <w:rsid w:val="00451871"/>
    <w:rsid w:val="00466BB9"/>
    <w:rsid w:val="0047226C"/>
    <w:rsid w:val="0048094A"/>
    <w:rsid w:val="00482FBA"/>
    <w:rsid w:val="004836B1"/>
    <w:rsid w:val="00484719"/>
    <w:rsid w:val="00487D39"/>
    <w:rsid w:val="00494327"/>
    <w:rsid w:val="00496389"/>
    <w:rsid w:val="004965F4"/>
    <w:rsid w:val="004A0E7E"/>
    <w:rsid w:val="004B165D"/>
    <w:rsid w:val="004B1B71"/>
    <w:rsid w:val="004B305E"/>
    <w:rsid w:val="004B6CC7"/>
    <w:rsid w:val="004C3022"/>
    <w:rsid w:val="004C3399"/>
    <w:rsid w:val="004C5D32"/>
    <w:rsid w:val="004C74B7"/>
    <w:rsid w:val="004D16D1"/>
    <w:rsid w:val="004D4D85"/>
    <w:rsid w:val="004D6D61"/>
    <w:rsid w:val="004E12D5"/>
    <w:rsid w:val="004E1F63"/>
    <w:rsid w:val="004E414B"/>
    <w:rsid w:val="004E4917"/>
    <w:rsid w:val="004F0573"/>
    <w:rsid w:val="004F63D2"/>
    <w:rsid w:val="004F6568"/>
    <w:rsid w:val="00505CA0"/>
    <w:rsid w:val="00506686"/>
    <w:rsid w:val="00510740"/>
    <w:rsid w:val="00510DA7"/>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5466"/>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0768"/>
    <w:rsid w:val="005E4D21"/>
    <w:rsid w:val="005F1C16"/>
    <w:rsid w:val="00603A24"/>
    <w:rsid w:val="00606A11"/>
    <w:rsid w:val="00607456"/>
    <w:rsid w:val="0060796A"/>
    <w:rsid w:val="00611F0D"/>
    <w:rsid w:val="00612B62"/>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675E0"/>
    <w:rsid w:val="00683071"/>
    <w:rsid w:val="00685513"/>
    <w:rsid w:val="00686280"/>
    <w:rsid w:val="00691E83"/>
    <w:rsid w:val="00696638"/>
    <w:rsid w:val="00696BD4"/>
    <w:rsid w:val="006A4AAC"/>
    <w:rsid w:val="006A6C76"/>
    <w:rsid w:val="006B276B"/>
    <w:rsid w:val="006D13B7"/>
    <w:rsid w:val="006D2E99"/>
    <w:rsid w:val="006D5BC4"/>
    <w:rsid w:val="006D6A1F"/>
    <w:rsid w:val="006D7A69"/>
    <w:rsid w:val="006D7FDA"/>
    <w:rsid w:val="006E4E46"/>
    <w:rsid w:val="006E7B66"/>
    <w:rsid w:val="006F278F"/>
    <w:rsid w:val="006F4E17"/>
    <w:rsid w:val="006F598C"/>
    <w:rsid w:val="00700637"/>
    <w:rsid w:val="007009DE"/>
    <w:rsid w:val="00701B68"/>
    <w:rsid w:val="00701C47"/>
    <w:rsid w:val="0070210B"/>
    <w:rsid w:val="00704A4B"/>
    <w:rsid w:val="00705106"/>
    <w:rsid w:val="00706125"/>
    <w:rsid w:val="0070651B"/>
    <w:rsid w:val="007112D2"/>
    <w:rsid w:val="007277BB"/>
    <w:rsid w:val="007334F3"/>
    <w:rsid w:val="00742F10"/>
    <w:rsid w:val="00743123"/>
    <w:rsid w:val="0074368D"/>
    <w:rsid w:val="007534DA"/>
    <w:rsid w:val="00760C58"/>
    <w:rsid w:val="00760DE5"/>
    <w:rsid w:val="007616C8"/>
    <w:rsid w:val="00765755"/>
    <w:rsid w:val="00771576"/>
    <w:rsid w:val="007762BC"/>
    <w:rsid w:val="00776512"/>
    <w:rsid w:val="007805ED"/>
    <w:rsid w:val="0078080D"/>
    <w:rsid w:val="00781579"/>
    <w:rsid w:val="007840D5"/>
    <w:rsid w:val="007852AD"/>
    <w:rsid w:val="00787FF0"/>
    <w:rsid w:val="00796079"/>
    <w:rsid w:val="007A593B"/>
    <w:rsid w:val="007A675D"/>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3ECF"/>
    <w:rsid w:val="007F7113"/>
    <w:rsid w:val="00805D0E"/>
    <w:rsid w:val="00805D2C"/>
    <w:rsid w:val="008063D7"/>
    <w:rsid w:val="008108DD"/>
    <w:rsid w:val="00811AED"/>
    <w:rsid w:val="00811DC4"/>
    <w:rsid w:val="00814848"/>
    <w:rsid w:val="008173F0"/>
    <w:rsid w:val="00821322"/>
    <w:rsid w:val="00826B98"/>
    <w:rsid w:val="00826D1E"/>
    <w:rsid w:val="00840885"/>
    <w:rsid w:val="008420E8"/>
    <w:rsid w:val="00842424"/>
    <w:rsid w:val="00842A15"/>
    <w:rsid w:val="00843128"/>
    <w:rsid w:val="00851472"/>
    <w:rsid w:val="00852562"/>
    <w:rsid w:val="00856B28"/>
    <w:rsid w:val="00857026"/>
    <w:rsid w:val="008608E8"/>
    <w:rsid w:val="0086503F"/>
    <w:rsid w:val="00865F63"/>
    <w:rsid w:val="008665B6"/>
    <w:rsid w:val="00866B00"/>
    <w:rsid w:val="0087060A"/>
    <w:rsid w:val="00871866"/>
    <w:rsid w:val="00871E97"/>
    <w:rsid w:val="00872215"/>
    <w:rsid w:val="008770AD"/>
    <w:rsid w:val="0088740E"/>
    <w:rsid w:val="008926C4"/>
    <w:rsid w:val="00892AB1"/>
    <w:rsid w:val="00892C34"/>
    <w:rsid w:val="0089429B"/>
    <w:rsid w:val="00896241"/>
    <w:rsid w:val="008975DC"/>
    <w:rsid w:val="008A198B"/>
    <w:rsid w:val="008A3DC6"/>
    <w:rsid w:val="008A4F10"/>
    <w:rsid w:val="008C44FE"/>
    <w:rsid w:val="008D7042"/>
    <w:rsid w:val="008E028B"/>
    <w:rsid w:val="008E1F1E"/>
    <w:rsid w:val="008E344E"/>
    <w:rsid w:val="008E733F"/>
    <w:rsid w:val="008E781B"/>
    <w:rsid w:val="008F7D8C"/>
    <w:rsid w:val="0090353C"/>
    <w:rsid w:val="0090408F"/>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1BBB"/>
    <w:rsid w:val="009C26B5"/>
    <w:rsid w:val="009C7061"/>
    <w:rsid w:val="009D07D0"/>
    <w:rsid w:val="009D4DCB"/>
    <w:rsid w:val="009D58BB"/>
    <w:rsid w:val="009D72CA"/>
    <w:rsid w:val="009E3455"/>
    <w:rsid w:val="009E5931"/>
    <w:rsid w:val="009F4A9B"/>
    <w:rsid w:val="009F4DAA"/>
    <w:rsid w:val="009F5024"/>
    <w:rsid w:val="009F7E7C"/>
    <w:rsid w:val="00A04822"/>
    <w:rsid w:val="00A10A80"/>
    <w:rsid w:val="00A1433B"/>
    <w:rsid w:val="00A14E5F"/>
    <w:rsid w:val="00A27D5E"/>
    <w:rsid w:val="00A362FE"/>
    <w:rsid w:val="00A450BF"/>
    <w:rsid w:val="00A506E5"/>
    <w:rsid w:val="00A55C04"/>
    <w:rsid w:val="00A571F4"/>
    <w:rsid w:val="00A61440"/>
    <w:rsid w:val="00A61555"/>
    <w:rsid w:val="00A65DBC"/>
    <w:rsid w:val="00A75CE3"/>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30"/>
    <w:rsid w:val="00AC1FD0"/>
    <w:rsid w:val="00AC3DD5"/>
    <w:rsid w:val="00AC4F7B"/>
    <w:rsid w:val="00AC6ABD"/>
    <w:rsid w:val="00AC77E0"/>
    <w:rsid w:val="00AD4407"/>
    <w:rsid w:val="00AD4FF9"/>
    <w:rsid w:val="00AD6124"/>
    <w:rsid w:val="00AE048E"/>
    <w:rsid w:val="00AE131C"/>
    <w:rsid w:val="00AE3E84"/>
    <w:rsid w:val="00AE44E9"/>
    <w:rsid w:val="00AE72D4"/>
    <w:rsid w:val="00AF174B"/>
    <w:rsid w:val="00AF4BED"/>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C086B"/>
    <w:rsid w:val="00BD058C"/>
    <w:rsid w:val="00BD17DD"/>
    <w:rsid w:val="00BD2E36"/>
    <w:rsid w:val="00BE0280"/>
    <w:rsid w:val="00BE4262"/>
    <w:rsid w:val="00BF0883"/>
    <w:rsid w:val="00BF4067"/>
    <w:rsid w:val="00C01D79"/>
    <w:rsid w:val="00C03239"/>
    <w:rsid w:val="00C03E3A"/>
    <w:rsid w:val="00C13B2E"/>
    <w:rsid w:val="00C16BE4"/>
    <w:rsid w:val="00C2472E"/>
    <w:rsid w:val="00C26386"/>
    <w:rsid w:val="00C30B61"/>
    <w:rsid w:val="00C346FA"/>
    <w:rsid w:val="00C34D29"/>
    <w:rsid w:val="00C446E8"/>
    <w:rsid w:val="00C45C09"/>
    <w:rsid w:val="00C51AFD"/>
    <w:rsid w:val="00C57265"/>
    <w:rsid w:val="00C644AA"/>
    <w:rsid w:val="00C70B26"/>
    <w:rsid w:val="00C71BDC"/>
    <w:rsid w:val="00C873F0"/>
    <w:rsid w:val="00C87A57"/>
    <w:rsid w:val="00C90037"/>
    <w:rsid w:val="00C91933"/>
    <w:rsid w:val="00CA18BD"/>
    <w:rsid w:val="00CA2782"/>
    <w:rsid w:val="00CA7EA6"/>
    <w:rsid w:val="00CB1335"/>
    <w:rsid w:val="00CB6107"/>
    <w:rsid w:val="00CB6B9B"/>
    <w:rsid w:val="00CB74FF"/>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29E"/>
    <w:rsid w:val="00D92C21"/>
    <w:rsid w:val="00D9323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06B9A"/>
    <w:rsid w:val="00E1053C"/>
    <w:rsid w:val="00E13351"/>
    <w:rsid w:val="00E1681B"/>
    <w:rsid w:val="00E176CC"/>
    <w:rsid w:val="00E22D6A"/>
    <w:rsid w:val="00E24879"/>
    <w:rsid w:val="00E3672B"/>
    <w:rsid w:val="00E375B5"/>
    <w:rsid w:val="00E43DD3"/>
    <w:rsid w:val="00E44667"/>
    <w:rsid w:val="00E55A3B"/>
    <w:rsid w:val="00E61739"/>
    <w:rsid w:val="00E65BB5"/>
    <w:rsid w:val="00E83804"/>
    <w:rsid w:val="00E86F3B"/>
    <w:rsid w:val="00E876D3"/>
    <w:rsid w:val="00E93F00"/>
    <w:rsid w:val="00EA275D"/>
    <w:rsid w:val="00EA534D"/>
    <w:rsid w:val="00EB045C"/>
    <w:rsid w:val="00EB0E49"/>
    <w:rsid w:val="00EB7CE5"/>
    <w:rsid w:val="00EB7EAD"/>
    <w:rsid w:val="00EC5210"/>
    <w:rsid w:val="00ED1E0E"/>
    <w:rsid w:val="00ED2A6D"/>
    <w:rsid w:val="00ED7288"/>
    <w:rsid w:val="00ED7BE5"/>
    <w:rsid w:val="00ED7E23"/>
    <w:rsid w:val="00EE7C90"/>
    <w:rsid w:val="00EF7706"/>
    <w:rsid w:val="00F01099"/>
    <w:rsid w:val="00F04A6A"/>
    <w:rsid w:val="00F06984"/>
    <w:rsid w:val="00F07DB4"/>
    <w:rsid w:val="00F12430"/>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0B7C"/>
    <w:rsid w:val="00F66757"/>
    <w:rsid w:val="00F74C4F"/>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2002"/>
    <w:rsid w:val="00FD42E8"/>
    <w:rsid w:val="00FD5B53"/>
    <w:rsid w:val="00FD6A70"/>
    <w:rsid w:val="00FE100A"/>
    <w:rsid w:val="00FE27BB"/>
    <w:rsid w:val="00FF0185"/>
    <w:rsid w:val="00FF1B9A"/>
    <w:rsid w:val="00FF3C10"/>
    <w:rsid w:val="03463781"/>
    <w:rsid w:val="045849ED"/>
    <w:rsid w:val="053E16CD"/>
    <w:rsid w:val="05D9297D"/>
    <w:rsid w:val="08680198"/>
    <w:rsid w:val="09646E45"/>
    <w:rsid w:val="096C7482"/>
    <w:rsid w:val="0B5C2951"/>
    <w:rsid w:val="0BCA4A38"/>
    <w:rsid w:val="0D6B4272"/>
    <w:rsid w:val="0D923783"/>
    <w:rsid w:val="0DC67C8B"/>
    <w:rsid w:val="0E6D1E9B"/>
    <w:rsid w:val="0F621C2B"/>
    <w:rsid w:val="0FBD0C1A"/>
    <w:rsid w:val="0FCA12E5"/>
    <w:rsid w:val="0FCD3553"/>
    <w:rsid w:val="105E23A9"/>
    <w:rsid w:val="10D66514"/>
    <w:rsid w:val="10F34BE1"/>
    <w:rsid w:val="137A68B0"/>
    <w:rsid w:val="1408665D"/>
    <w:rsid w:val="14B6708E"/>
    <w:rsid w:val="14CC6AF2"/>
    <w:rsid w:val="18CC7237"/>
    <w:rsid w:val="190F0738"/>
    <w:rsid w:val="19AB1C63"/>
    <w:rsid w:val="1AED747A"/>
    <w:rsid w:val="1B8847D2"/>
    <w:rsid w:val="1C3660D4"/>
    <w:rsid w:val="1D417721"/>
    <w:rsid w:val="1D9D51F3"/>
    <w:rsid w:val="1E2F2CF8"/>
    <w:rsid w:val="21151D88"/>
    <w:rsid w:val="211B629E"/>
    <w:rsid w:val="21451B35"/>
    <w:rsid w:val="22562E14"/>
    <w:rsid w:val="22D121EA"/>
    <w:rsid w:val="23B56C14"/>
    <w:rsid w:val="23F01543"/>
    <w:rsid w:val="24496436"/>
    <w:rsid w:val="27740528"/>
    <w:rsid w:val="29E55A72"/>
    <w:rsid w:val="2A2461A4"/>
    <w:rsid w:val="2A515672"/>
    <w:rsid w:val="2A560428"/>
    <w:rsid w:val="2AB90BF0"/>
    <w:rsid w:val="2DC91D07"/>
    <w:rsid w:val="2F0D6640"/>
    <w:rsid w:val="2F5B2826"/>
    <w:rsid w:val="2FDF4F55"/>
    <w:rsid w:val="2FF13572"/>
    <w:rsid w:val="312850D7"/>
    <w:rsid w:val="32755858"/>
    <w:rsid w:val="327C1F2C"/>
    <w:rsid w:val="32AC094E"/>
    <w:rsid w:val="34E45C3F"/>
    <w:rsid w:val="35400853"/>
    <w:rsid w:val="36897F35"/>
    <w:rsid w:val="36C344B8"/>
    <w:rsid w:val="371E12C2"/>
    <w:rsid w:val="374C4300"/>
    <w:rsid w:val="388D4973"/>
    <w:rsid w:val="39145CDA"/>
    <w:rsid w:val="39E55D56"/>
    <w:rsid w:val="39F43C61"/>
    <w:rsid w:val="3A7061B9"/>
    <w:rsid w:val="3DB550F1"/>
    <w:rsid w:val="3E1321C9"/>
    <w:rsid w:val="3EF23B8C"/>
    <w:rsid w:val="3F425C4C"/>
    <w:rsid w:val="3F76656C"/>
    <w:rsid w:val="4061546E"/>
    <w:rsid w:val="43B72341"/>
    <w:rsid w:val="44607760"/>
    <w:rsid w:val="458F470E"/>
    <w:rsid w:val="468E4E6D"/>
    <w:rsid w:val="47B03BA9"/>
    <w:rsid w:val="4A0B4034"/>
    <w:rsid w:val="4A2E02C6"/>
    <w:rsid w:val="4B9E1DB9"/>
    <w:rsid w:val="4C917EEE"/>
    <w:rsid w:val="4D842037"/>
    <w:rsid w:val="4D9B2F7F"/>
    <w:rsid w:val="4E263853"/>
    <w:rsid w:val="4F3912D1"/>
    <w:rsid w:val="50086B0C"/>
    <w:rsid w:val="509A76C1"/>
    <w:rsid w:val="50F63270"/>
    <w:rsid w:val="51315BF1"/>
    <w:rsid w:val="518717AD"/>
    <w:rsid w:val="52267A1D"/>
    <w:rsid w:val="54022FBD"/>
    <w:rsid w:val="54810BF1"/>
    <w:rsid w:val="550024AC"/>
    <w:rsid w:val="561E7943"/>
    <w:rsid w:val="570016CA"/>
    <w:rsid w:val="575F32D1"/>
    <w:rsid w:val="5768620E"/>
    <w:rsid w:val="58807ED0"/>
    <w:rsid w:val="589647C1"/>
    <w:rsid w:val="592328F7"/>
    <w:rsid w:val="59857735"/>
    <w:rsid w:val="599F25E3"/>
    <w:rsid w:val="5AAB6294"/>
    <w:rsid w:val="5C6D5D5D"/>
    <w:rsid w:val="5D886622"/>
    <w:rsid w:val="5DBD50A7"/>
    <w:rsid w:val="5DBF5A39"/>
    <w:rsid w:val="5E93433C"/>
    <w:rsid w:val="5F4F7B99"/>
    <w:rsid w:val="60AE2B4F"/>
    <w:rsid w:val="6113395F"/>
    <w:rsid w:val="645529A9"/>
    <w:rsid w:val="64862C2B"/>
    <w:rsid w:val="6552795A"/>
    <w:rsid w:val="65D0211A"/>
    <w:rsid w:val="6661072D"/>
    <w:rsid w:val="667C00EB"/>
    <w:rsid w:val="6A8B3BD0"/>
    <w:rsid w:val="6C2C1577"/>
    <w:rsid w:val="6C4A2153"/>
    <w:rsid w:val="6D1B31AF"/>
    <w:rsid w:val="6E015061"/>
    <w:rsid w:val="6E5D0DA5"/>
    <w:rsid w:val="6E7F06E9"/>
    <w:rsid w:val="6EDA2030"/>
    <w:rsid w:val="70A64FF5"/>
    <w:rsid w:val="714C46EA"/>
    <w:rsid w:val="715E7281"/>
    <w:rsid w:val="717052E6"/>
    <w:rsid w:val="72394572"/>
    <w:rsid w:val="73110955"/>
    <w:rsid w:val="735A1441"/>
    <w:rsid w:val="73F43927"/>
    <w:rsid w:val="75F265F9"/>
    <w:rsid w:val="793067AF"/>
    <w:rsid w:val="7CB732C2"/>
    <w:rsid w:val="7D3B1AD2"/>
    <w:rsid w:val="7D8B2960"/>
    <w:rsid w:val="7F1C517E"/>
    <w:rsid w:val="7F386CD9"/>
    <w:rsid w:val="7F6E7DBE"/>
    <w:rsid w:val="7F914E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2"/>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1"/>
    <w:link w:val="104"/>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2"/>
    <w:link w:val="121"/>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2"/>
    <w:link w:val="95"/>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2"/>
    <w:link w:val="108"/>
    <w:qFormat/>
    <w:uiPriority w:val="0"/>
    <w:pPr>
      <w:keepNext/>
      <w:keepLines/>
      <w:spacing w:before="280" w:after="290" w:line="376" w:lineRule="auto"/>
      <w:outlineLvl w:val="4"/>
    </w:pPr>
    <w:rPr>
      <w:b/>
      <w:sz w:val="28"/>
      <w:szCs w:val="20"/>
    </w:rPr>
  </w:style>
  <w:style w:type="paragraph" w:styleId="8">
    <w:name w:val="heading 6"/>
    <w:basedOn w:val="1"/>
    <w:next w:val="2"/>
    <w:link w:val="93"/>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2"/>
    <w:link w:val="113"/>
    <w:qFormat/>
    <w:uiPriority w:val="0"/>
    <w:pPr>
      <w:keepNext/>
      <w:keepLines/>
      <w:spacing w:before="240" w:after="64" w:line="320" w:lineRule="auto"/>
      <w:outlineLvl w:val="6"/>
    </w:pPr>
    <w:rPr>
      <w:b/>
      <w:sz w:val="24"/>
      <w:szCs w:val="20"/>
    </w:rPr>
  </w:style>
  <w:style w:type="paragraph" w:styleId="10">
    <w:name w:val="heading 8"/>
    <w:basedOn w:val="1"/>
    <w:next w:val="2"/>
    <w:link w:val="100"/>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2"/>
    <w:link w:val="92"/>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15"/>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qFormat/>
    <w:uiPriority w:val="0"/>
    <w:pPr>
      <w:spacing w:line="360" w:lineRule="auto"/>
    </w:pPr>
    <w:rPr>
      <w:rFonts w:ascii="Arial" w:hAnsi="Arial" w:eastAsia="黑体" w:cs="Arial"/>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annotation text"/>
    <w:basedOn w:val="1"/>
    <w:link w:val="133"/>
    <w:qFormat/>
    <w:uiPriority w:val="0"/>
    <w:pPr>
      <w:spacing w:line="360" w:lineRule="auto"/>
      <w:jc w:val="left"/>
    </w:pPr>
    <w:rPr>
      <w:sz w:val="24"/>
    </w:rPr>
  </w:style>
  <w:style w:type="paragraph" w:styleId="17">
    <w:name w:val="Body Text"/>
    <w:basedOn w:val="1"/>
    <w:link w:val="78"/>
    <w:qFormat/>
    <w:uiPriority w:val="0"/>
    <w:pPr>
      <w:spacing w:after="120"/>
    </w:pPr>
  </w:style>
  <w:style w:type="paragraph" w:styleId="18">
    <w:name w:val="Body Text Indent"/>
    <w:basedOn w:val="1"/>
    <w:link w:val="125"/>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31"/>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6"/>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5"/>
    <w:qFormat/>
    <w:uiPriority w:val="0"/>
    <w:pPr>
      <w:numPr>
        <w:ilvl w:val="0"/>
        <w:numId w:val="4"/>
      </w:numPr>
      <w:ind w:left="100" w:leftChars="2500"/>
    </w:pPr>
  </w:style>
  <w:style w:type="paragraph" w:styleId="26">
    <w:name w:val="Body Text Indent 2"/>
    <w:basedOn w:val="1"/>
    <w:link w:val="73"/>
    <w:qFormat/>
    <w:uiPriority w:val="0"/>
    <w:pPr>
      <w:spacing w:line="480" w:lineRule="exact"/>
      <w:ind w:left="810" w:firstLine="675"/>
    </w:pPr>
    <w:rPr>
      <w:rFonts w:eastAsia="仿宋_GB2312"/>
      <w:sz w:val="30"/>
      <w:szCs w:val="20"/>
    </w:rPr>
  </w:style>
  <w:style w:type="paragraph" w:styleId="27">
    <w:name w:val="endnote text"/>
    <w:basedOn w:val="1"/>
    <w:unhideWhenUsed/>
    <w:qFormat/>
    <w:uiPriority w:val="99"/>
    <w:pPr>
      <w:snapToGrid w:val="0"/>
    </w:pPr>
    <w:rPr>
      <w:rFonts w:cstheme="minorBidi"/>
      <w:szCs w:val="22"/>
    </w:rPr>
  </w:style>
  <w:style w:type="paragraph" w:styleId="28">
    <w:name w:val="Balloon Text"/>
    <w:basedOn w:val="1"/>
    <w:link w:val="88"/>
    <w:qFormat/>
    <w:uiPriority w:val="0"/>
    <w:rPr>
      <w:sz w:val="18"/>
      <w:szCs w:val="18"/>
    </w:rPr>
  </w:style>
  <w:style w:type="paragraph" w:styleId="29">
    <w:name w:val="footer"/>
    <w:basedOn w:val="1"/>
    <w:link w:val="134"/>
    <w:qFormat/>
    <w:uiPriority w:val="0"/>
    <w:pPr>
      <w:tabs>
        <w:tab w:val="center" w:pos="4153"/>
        <w:tab w:val="right" w:pos="8306"/>
      </w:tabs>
      <w:snapToGrid w:val="0"/>
      <w:jc w:val="left"/>
    </w:pPr>
    <w:rPr>
      <w:sz w:val="18"/>
      <w:szCs w:val="20"/>
    </w:rPr>
  </w:style>
  <w:style w:type="paragraph" w:styleId="30">
    <w:name w:val="header"/>
    <w:basedOn w:val="1"/>
    <w:link w:val="126"/>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4"/>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3"/>
    <w:qFormat/>
    <w:uiPriority w:val="0"/>
    <w:pPr>
      <w:spacing w:line="360" w:lineRule="auto"/>
    </w:pPr>
    <w:rPr>
      <w:rFonts w:ascii="仿宋_GB2312" w:eastAsia="仿宋_GB2312"/>
      <w:sz w:val="32"/>
    </w:rPr>
  </w:style>
  <w:style w:type="paragraph" w:styleId="41">
    <w:name w:val="HTML Preformatted"/>
    <w:basedOn w:val="1"/>
    <w:link w:val="13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7"/>
    <w:qFormat/>
    <w:uiPriority w:val="0"/>
    <w:pPr>
      <w:spacing w:before="240" w:after="60"/>
      <w:jc w:val="center"/>
      <w:outlineLvl w:val="0"/>
    </w:pPr>
    <w:rPr>
      <w:rFonts w:ascii="Cambria" w:hAnsi="Cambria"/>
      <w:b/>
      <w:bCs/>
      <w:sz w:val="32"/>
      <w:szCs w:val="32"/>
    </w:rPr>
  </w:style>
  <w:style w:type="paragraph" w:styleId="45">
    <w:name w:val="annotation subject"/>
    <w:basedOn w:val="16"/>
    <w:next w:val="16"/>
    <w:link w:val="309"/>
    <w:semiHidden/>
    <w:unhideWhenUsed/>
    <w:qFormat/>
    <w:uiPriority w:val="99"/>
    <w:pPr>
      <w:spacing w:line="240" w:lineRule="auto"/>
    </w:pPr>
    <w:rPr>
      <w:b/>
      <w:bCs/>
      <w:sz w:val="21"/>
    </w:rPr>
  </w:style>
  <w:style w:type="paragraph" w:styleId="46">
    <w:name w:val="Body Text First Indent"/>
    <w:basedOn w:val="17"/>
    <w:link w:val="135"/>
    <w:qFormat/>
    <w:uiPriority w:val="0"/>
    <w:pPr>
      <w:ind w:firstLine="100" w:firstLineChars="100"/>
    </w:pPr>
    <w:rPr>
      <w:rFonts w:ascii="Calibri" w:hAnsi="Calibri"/>
      <w:szCs w:val="22"/>
    </w:rPr>
  </w:style>
  <w:style w:type="paragraph" w:styleId="47">
    <w:name w:val="Body Text First Indent 2"/>
    <w:basedOn w:val="18"/>
    <w:link w:val="62"/>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9">
    <w:name w:val="Table Grid"/>
    <w:basedOn w:val="4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qFormat/>
    <w:uiPriority w:val="22"/>
    <w:rPr>
      <w:b/>
      <w:bCs/>
    </w:rPr>
  </w:style>
  <w:style w:type="character" w:styleId="52">
    <w:name w:val="page number"/>
    <w:basedOn w:val="50"/>
    <w:qFormat/>
    <w:uiPriority w:val="0"/>
  </w:style>
  <w:style w:type="character" w:styleId="53">
    <w:name w:val="Emphasis"/>
    <w:qFormat/>
    <w:uiPriority w:val="20"/>
    <w:rPr>
      <w:i/>
      <w:iCs/>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paragraph" w:customStyle="1" w:styleId="56">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7">
    <w:name w:val="标题 1 Char Char"/>
    <w:qFormat/>
    <w:uiPriority w:val="0"/>
    <w:rPr>
      <w:rFonts w:eastAsia="宋体"/>
      <w:b/>
      <w:bCs/>
      <w:kern w:val="44"/>
      <w:sz w:val="44"/>
      <w:szCs w:val="44"/>
      <w:lang w:val="en-US" w:eastAsia="zh-CN" w:bidi="ar-SA"/>
    </w:rPr>
  </w:style>
  <w:style w:type="character" w:customStyle="1" w:styleId="58">
    <w:name w:val="标题 4 Char Char"/>
    <w:qFormat/>
    <w:uiPriority w:val="0"/>
    <w:rPr>
      <w:rFonts w:ascii="Arial" w:hAnsi="Arial" w:eastAsia="黑体"/>
      <w:b/>
      <w:bCs/>
      <w:kern w:val="2"/>
      <w:sz w:val="28"/>
      <w:szCs w:val="28"/>
      <w:lang w:val="en-US" w:eastAsia="zh-CN" w:bidi="ar-SA"/>
    </w:rPr>
  </w:style>
  <w:style w:type="character" w:customStyle="1" w:styleId="59">
    <w:name w:val="font11"/>
    <w:qFormat/>
    <w:uiPriority w:val="0"/>
    <w:rPr>
      <w:rFonts w:hint="eastAsia" w:ascii="宋体" w:hAnsi="宋体" w:eastAsia="宋体"/>
      <w:color w:val="000000"/>
      <w:sz w:val="24"/>
      <w:szCs w:val="24"/>
      <w:u w:val="none"/>
    </w:rPr>
  </w:style>
  <w:style w:type="character" w:customStyle="1" w:styleId="60">
    <w:name w:val="标题 5 Char Char"/>
    <w:qFormat/>
    <w:uiPriority w:val="0"/>
    <w:rPr>
      <w:rFonts w:eastAsia="宋体"/>
      <w:b/>
      <w:bCs/>
      <w:kern w:val="2"/>
      <w:sz w:val="28"/>
      <w:szCs w:val="28"/>
      <w:lang w:val="en-US" w:eastAsia="zh-CN" w:bidi="ar-SA"/>
    </w:rPr>
  </w:style>
  <w:style w:type="character" w:customStyle="1" w:styleId="61">
    <w:name w:val="ca-5"/>
    <w:basedOn w:val="50"/>
    <w:qFormat/>
    <w:uiPriority w:val="0"/>
  </w:style>
  <w:style w:type="character" w:customStyle="1" w:styleId="62">
    <w:name w:val="正文首行缩进 2 Char"/>
    <w:link w:val="47"/>
    <w:qFormat/>
    <w:uiPriority w:val="0"/>
    <w:rPr>
      <w:rFonts w:ascii="Calibri" w:hAnsi="Calibri" w:eastAsia="仿宋_GB2312"/>
      <w:kern w:val="2"/>
      <w:sz w:val="21"/>
      <w:szCs w:val="22"/>
      <w:lang w:val="en-US" w:eastAsia="zh-CN" w:bidi="ar-SA"/>
    </w:rPr>
  </w:style>
  <w:style w:type="character" w:customStyle="1" w:styleId="63">
    <w:name w:val="已访问的超链接1"/>
    <w:qFormat/>
    <w:uiPriority w:val="0"/>
    <w:rPr>
      <w:color w:val="800080"/>
      <w:u w:val="single"/>
    </w:rPr>
  </w:style>
  <w:style w:type="character" w:customStyle="1" w:styleId="64">
    <w:name w:val="正文首行缩进 Char Char"/>
    <w:qFormat/>
    <w:uiPriority w:val="0"/>
    <w:rPr>
      <w:rFonts w:eastAsia="仿宋_GB2312"/>
      <w:kern w:val="2"/>
      <w:sz w:val="28"/>
      <w:szCs w:val="24"/>
      <w:lang w:bidi="ar-SA"/>
    </w:rPr>
  </w:style>
  <w:style w:type="character" w:customStyle="1" w:styleId="65">
    <w:name w:val="日期 Char"/>
    <w:link w:val="25"/>
    <w:qFormat/>
    <w:uiPriority w:val="0"/>
    <w:rPr>
      <w:kern w:val="2"/>
      <w:sz w:val="21"/>
      <w:szCs w:val="24"/>
    </w:rPr>
  </w:style>
  <w:style w:type="character" w:customStyle="1" w:styleId="66">
    <w:name w:val="正文文本缩进 3 Char Char"/>
    <w:qFormat/>
    <w:uiPriority w:val="0"/>
    <w:rPr>
      <w:kern w:val="2"/>
      <w:sz w:val="16"/>
      <w:szCs w:val="16"/>
      <w:lang w:bidi="ar-SA"/>
    </w:rPr>
  </w:style>
  <w:style w:type="character" w:customStyle="1" w:styleId="67">
    <w:name w:val="文档正文 Char1"/>
    <w:link w:val="68"/>
    <w:qFormat/>
    <w:uiPriority w:val="0"/>
    <w:rPr>
      <w:rFonts w:ascii="Arial Narrow" w:hAnsi="Arial Narrow"/>
      <w:sz w:val="24"/>
      <w:szCs w:val="24"/>
      <w:lang w:val="en-US" w:eastAsia="zh-CN" w:bidi="ar-SA"/>
    </w:rPr>
  </w:style>
  <w:style w:type="paragraph" w:customStyle="1" w:styleId="68">
    <w:name w:val="文档正文"/>
    <w:link w:val="67"/>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9">
    <w:name w:val="正文文本 Char Char"/>
    <w:qFormat/>
    <w:uiPriority w:val="0"/>
    <w:rPr>
      <w:rFonts w:eastAsia="宋体"/>
      <w:kern w:val="2"/>
      <w:sz w:val="21"/>
      <w:szCs w:val="24"/>
      <w:lang w:val="en-US" w:eastAsia="zh-CN" w:bidi="ar-SA"/>
    </w:rPr>
  </w:style>
  <w:style w:type="character" w:customStyle="1" w:styleId="70">
    <w:name w:val="样式 样式 宋体 小四 行距: 1.5 倍行距 + ˎ̥ 黑色 Char Char"/>
    <w:link w:val="71"/>
    <w:qFormat/>
    <w:uiPriority w:val="0"/>
    <w:rPr>
      <w:rFonts w:ascii="Calibri" w:hAnsi="Calibri" w:eastAsia="仿宋_GB2312"/>
      <w:kern w:val="2"/>
      <w:sz w:val="21"/>
      <w:szCs w:val="22"/>
      <w:lang w:val="en-US" w:eastAsia="zh-CN" w:bidi="ar-SA"/>
    </w:rPr>
  </w:style>
  <w:style w:type="paragraph" w:customStyle="1" w:styleId="71">
    <w:name w:val="样式 样式 宋体 小四 行距: 1.5 倍行距 + ˎ̥ 黑色"/>
    <w:basedOn w:val="47"/>
    <w:link w:val="70"/>
    <w:qFormat/>
    <w:uiPriority w:val="0"/>
  </w:style>
  <w:style w:type="character" w:customStyle="1" w:styleId="72">
    <w:name w:val="style71"/>
    <w:qFormat/>
    <w:uiPriority w:val="0"/>
    <w:rPr>
      <w:sz w:val="21"/>
      <w:szCs w:val="21"/>
    </w:rPr>
  </w:style>
  <w:style w:type="character" w:customStyle="1" w:styleId="73">
    <w:name w:val="正文文本缩进 2 Char"/>
    <w:link w:val="26"/>
    <w:qFormat/>
    <w:uiPriority w:val="0"/>
    <w:rPr>
      <w:rFonts w:eastAsia="仿宋_GB2312"/>
      <w:kern w:val="2"/>
      <w:sz w:val="30"/>
      <w:lang w:val="en-US" w:eastAsia="zh-CN" w:bidi="ar-SA"/>
    </w:rPr>
  </w:style>
  <w:style w:type="character" w:customStyle="1" w:styleId="74">
    <w:name w:val="正文文本缩进 3 Char"/>
    <w:link w:val="37"/>
    <w:qFormat/>
    <w:uiPriority w:val="0"/>
    <w:rPr>
      <w:rFonts w:ascii="宋体" w:hAnsi="宋体" w:eastAsia="宋体"/>
      <w:kern w:val="2"/>
      <w:sz w:val="21"/>
      <w:szCs w:val="24"/>
      <w:lang w:val="en-US" w:eastAsia="zh-CN" w:bidi="ar-SA"/>
    </w:rPr>
  </w:style>
  <w:style w:type="character" w:customStyle="1" w:styleId="75">
    <w:name w:val="ca-9"/>
    <w:basedOn w:val="50"/>
    <w:qFormat/>
    <w:uiPriority w:val="0"/>
  </w:style>
  <w:style w:type="character" w:customStyle="1" w:styleId="76">
    <w:name w:val="纯文本 Char"/>
    <w:link w:val="23"/>
    <w:qFormat/>
    <w:uiPriority w:val="0"/>
    <w:rPr>
      <w:rFonts w:ascii="宋体" w:hAnsi="Courier New" w:eastAsia="宋体"/>
      <w:kern w:val="2"/>
      <w:sz w:val="21"/>
      <w:lang w:val="en-US" w:eastAsia="zh-CN" w:bidi="ar-SA"/>
    </w:rPr>
  </w:style>
  <w:style w:type="character" w:customStyle="1" w:styleId="77">
    <w:name w:val="页脚 Char Char"/>
    <w:qFormat/>
    <w:uiPriority w:val="0"/>
    <w:rPr>
      <w:rFonts w:eastAsia="宋体"/>
      <w:sz w:val="18"/>
      <w:szCs w:val="18"/>
      <w:lang w:bidi="ar-SA"/>
    </w:rPr>
  </w:style>
  <w:style w:type="character" w:customStyle="1" w:styleId="78">
    <w:name w:val="正文文本 Char"/>
    <w:link w:val="17"/>
    <w:qFormat/>
    <w:uiPriority w:val="0"/>
    <w:rPr>
      <w:rFonts w:eastAsia="宋体"/>
      <w:kern w:val="2"/>
      <w:sz w:val="21"/>
      <w:szCs w:val="24"/>
      <w:lang w:val="en-US" w:eastAsia="zh-CN" w:bidi="ar-SA"/>
    </w:rPr>
  </w:style>
  <w:style w:type="character" w:customStyle="1" w:styleId="79">
    <w:name w:val="标题 2 Char Char"/>
    <w:qFormat/>
    <w:uiPriority w:val="0"/>
    <w:rPr>
      <w:rFonts w:ascii="Cambria" w:hAnsi="Cambria" w:eastAsia="宋体"/>
      <w:b/>
      <w:bCs/>
      <w:kern w:val="2"/>
      <w:sz w:val="32"/>
      <w:szCs w:val="32"/>
      <w:lang w:val="en-US" w:eastAsia="zh-CN" w:bidi="ar-SA"/>
    </w:rPr>
  </w:style>
  <w:style w:type="character" w:customStyle="1" w:styleId="80">
    <w:name w:val="标题 1 1 Char"/>
    <w:qFormat/>
    <w:uiPriority w:val="0"/>
    <w:rPr>
      <w:rFonts w:ascii="黑体" w:eastAsia="黑体"/>
      <w:bCs/>
      <w:kern w:val="44"/>
      <w:sz w:val="24"/>
      <w:lang w:val="en-US" w:eastAsia="zh-CN" w:bidi="ar-SA"/>
    </w:rPr>
  </w:style>
  <w:style w:type="character" w:customStyle="1" w:styleId="81">
    <w:name w:val="Char Char14"/>
    <w:qFormat/>
    <w:uiPriority w:val="0"/>
    <w:rPr>
      <w:rFonts w:ascii="宋体" w:eastAsia="宋体"/>
      <w:sz w:val="34"/>
      <w:lang w:val="en-US" w:eastAsia="zh-CN" w:bidi="ar-SA"/>
    </w:rPr>
  </w:style>
  <w:style w:type="character" w:customStyle="1" w:styleId="82">
    <w:name w:val="content"/>
    <w:qFormat/>
    <w:uiPriority w:val="0"/>
  </w:style>
  <w:style w:type="character" w:customStyle="1" w:styleId="83">
    <w:name w:val="Char Char5"/>
    <w:qFormat/>
    <w:uiPriority w:val="0"/>
    <w:rPr>
      <w:rFonts w:eastAsia="宋体"/>
      <w:kern w:val="2"/>
      <w:sz w:val="18"/>
      <w:lang w:val="en-US" w:eastAsia="zh-CN" w:bidi="ar-SA"/>
    </w:rPr>
  </w:style>
  <w:style w:type="character" w:customStyle="1" w:styleId="84">
    <w:name w:val="c_666"/>
    <w:basedOn w:val="50"/>
    <w:qFormat/>
    <w:uiPriority w:val="0"/>
  </w:style>
  <w:style w:type="character" w:customStyle="1" w:styleId="85">
    <w:name w:val="ALT+Z Char"/>
    <w:qFormat/>
    <w:uiPriority w:val="0"/>
    <w:rPr>
      <w:rFonts w:ascii="宋体"/>
      <w:sz w:val="34"/>
    </w:rPr>
  </w:style>
  <w:style w:type="character" w:customStyle="1" w:styleId="86">
    <w:name w:val="正文（缩进） Char Char"/>
    <w:link w:val="87"/>
    <w:qFormat/>
    <w:uiPriority w:val="0"/>
    <w:rPr>
      <w:rFonts w:eastAsia="宋体"/>
      <w:kern w:val="2"/>
      <w:sz w:val="24"/>
      <w:szCs w:val="24"/>
      <w:lang w:val="en-US" w:eastAsia="zh-CN" w:bidi="ar-SA"/>
    </w:rPr>
  </w:style>
  <w:style w:type="paragraph" w:customStyle="1" w:styleId="87">
    <w:name w:val="正文（缩进）"/>
    <w:basedOn w:val="1"/>
    <w:link w:val="86"/>
    <w:qFormat/>
    <w:uiPriority w:val="0"/>
    <w:pPr>
      <w:spacing w:beforeLines="50" w:afterLines="50" w:line="360" w:lineRule="auto"/>
      <w:ind w:firstLine="480" w:firstLineChars="200"/>
    </w:pPr>
    <w:rPr>
      <w:sz w:val="24"/>
    </w:rPr>
  </w:style>
  <w:style w:type="character" w:customStyle="1" w:styleId="88">
    <w:name w:val="批注框文本 Char"/>
    <w:link w:val="28"/>
    <w:qFormat/>
    <w:uiPriority w:val="0"/>
    <w:rPr>
      <w:rFonts w:eastAsia="宋体"/>
      <w:kern w:val="2"/>
      <w:sz w:val="18"/>
      <w:szCs w:val="18"/>
      <w:lang w:val="en-US" w:eastAsia="zh-CN" w:bidi="ar-SA"/>
    </w:rPr>
  </w:style>
  <w:style w:type="character" w:customStyle="1" w:styleId="89">
    <w:name w:val="表格内容"/>
    <w:qFormat/>
    <w:uiPriority w:val="0"/>
    <w:rPr>
      <w:sz w:val="24"/>
    </w:rPr>
  </w:style>
  <w:style w:type="character" w:customStyle="1" w:styleId="90">
    <w:name w:val="ca-8"/>
    <w:basedOn w:val="50"/>
    <w:qFormat/>
    <w:uiPriority w:val="0"/>
  </w:style>
  <w:style w:type="character" w:customStyle="1" w:styleId="91">
    <w:name w:val="不明显参考1"/>
    <w:qFormat/>
    <w:uiPriority w:val="0"/>
    <w:rPr>
      <w:smallCaps/>
      <w:color w:val="C0504D"/>
      <w:u w:val="single"/>
    </w:rPr>
  </w:style>
  <w:style w:type="character" w:customStyle="1" w:styleId="92">
    <w:name w:val="标题 9 Char"/>
    <w:link w:val="11"/>
    <w:qFormat/>
    <w:uiPriority w:val="0"/>
    <w:rPr>
      <w:rFonts w:ascii="Arial" w:hAnsi="Arial" w:eastAsia="黑体"/>
      <w:kern w:val="2"/>
      <w:sz w:val="21"/>
      <w:lang w:val="en-US" w:eastAsia="zh-CN" w:bidi="ar-SA"/>
    </w:rPr>
  </w:style>
  <w:style w:type="character" w:customStyle="1" w:styleId="93">
    <w:name w:val="标题 6 Char"/>
    <w:link w:val="8"/>
    <w:qFormat/>
    <w:uiPriority w:val="0"/>
    <w:rPr>
      <w:rFonts w:ascii="Arial" w:hAnsi="Arial" w:eastAsia="黑体"/>
      <w:b/>
      <w:kern w:val="2"/>
      <w:sz w:val="24"/>
      <w:lang w:val="en-US" w:eastAsia="zh-CN" w:bidi="ar-SA"/>
    </w:rPr>
  </w:style>
  <w:style w:type="character" w:customStyle="1" w:styleId="94">
    <w:name w:val="ca-10"/>
    <w:basedOn w:val="50"/>
    <w:qFormat/>
    <w:uiPriority w:val="0"/>
  </w:style>
  <w:style w:type="character" w:customStyle="1" w:styleId="95">
    <w:name w:val="标题 4 Char"/>
    <w:link w:val="6"/>
    <w:qFormat/>
    <w:uiPriority w:val="0"/>
    <w:rPr>
      <w:rFonts w:ascii="Arial" w:hAnsi="Arial" w:eastAsia="黑体"/>
      <w:b/>
      <w:kern w:val="2"/>
      <w:sz w:val="28"/>
      <w:lang w:val="en-US" w:eastAsia="zh-CN" w:bidi="ar-SA"/>
    </w:rPr>
  </w:style>
  <w:style w:type="character" w:customStyle="1" w:styleId="96">
    <w:name w:val="批注文字 Char Char"/>
    <w:qFormat/>
    <w:uiPriority w:val="0"/>
    <w:rPr>
      <w:kern w:val="2"/>
      <w:sz w:val="21"/>
      <w:lang w:bidi="ar-SA"/>
    </w:rPr>
  </w:style>
  <w:style w:type="character" w:customStyle="1" w:styleId="97">
    <w:name w:val="style18"/>
    <w:qFormat/>
    <w:uiPriority w:val="0"/>
  </w:style>
  <w:style w:type="character" w:customStyle="1" w:styleId="98">
    <w:name w:val="font21"/>
    <w:qFormat/>
    <w:uiPriority w:val="0"/>
    <w:rPr>
      <w:rFonts w:hint="default" w:ascii="Arial" w:hAnsi="Arial" w:cs="Arial"/>
      <w:color w:val="000000"/>
      <w:sz w:val="24"/>
      <w:szCs w:val="24"/>
      <w:u w:val="none"/>
    </w:rPr>
  </w:style>
  <w:style w:type="character" w:customStyle="1" w:styleId="99">
    <w:name w:val="ca-11"/>
    <w:basedOn w:val="50"/>
    <w:qFormat/>
    <w:uiPriority w:val="0"/>
  </w:style>
  <w:style w:type="character" w:customStyle="1" w:styleId="100">
    <w:name w:val="标题 8 Char"/>
    <w:link w:val="10"/>
    <w:qFormat/>
    <w:uiPriority w:val="0"/>
    <w:rPr>
      <w:rFonts w:ascii="Arial" w:hAnsi="Arial" w:eastAsia="黑体"/>
      <w:kern w:val="2"/>
      <w:sz w:val="24"/>
      <w:lang w:val="en-US" w:eastAsia="zh-CN" w:bidi="ar-SA"/>
    </w:rPr>
  </w:style>
  <w:style w:type="character" w:customStyle="1" w:styleId="101">
    <w:name w:val="类目1 Char Char"/>
    <w:link w:val="102"/>
    <w:qFormat/>
    <w:uiPriority w:val="0"/>
    <w:rPr>
      <w:b/>
      <w:color w:val="17365D"/>
      <w:kern w:val="2"/>
      <w:sz w:val="28"/>
      <w:szCs w:val="28"/>
      <w:lang w:bidi="ar-SA"/>
    </w:rPr>
  </w:style>
  <w:style w:type="paragraph" w:customStyle="1" w:styleId="102">
    <w:name w:val="类目1"/>
    <w:basedOn w:val="1"/>
    <w:link w:val="101"/>
    <w:qFormat/>
    <w:uiPriority w:val="0"/>
    <w:pPr>
      <w:adjustRightInd w:val="0"/>
      <w:snapToGrid w:val="0"/>
      <w:spacing w:line="220" w:lineRule="atLeast"/>
    </w:pPr>
    <w:rPr>
      <w:b/>
      <w:color w:val="17365D"/>
      <w:sz w:val="28"/>
      <w:szCs w:val="28"/>
    </w:rPr>
  </w:style>
  <w:style w:type="character" w:customStyle="1" w:styleId="103">
    <w:name w:val="正文文本 2 Char"/>
    <w:link w:val="40"/>
    <w:qFormat/>
    <w:uiPriority w:val="0"/>
    <w:rPr>
      <w:rFonts w:ascii="仿宋_GB2312" w:eastAsia="仿宋_GB2312"/>
      <w:kern w:val="2"/>
      <w:sz w:val="32"/>
      <w:szCs w:val="24"/>
      <w:lang w:val="en-US" w:eastAsia="zh-CN" w:bidi="ar-SA"/>
    </w:rPr>
  </w:style>
  <w:style w:type="character" w:customStyle="1" w:styleId="104">
    <w:name w:val="标题 2 Char"/>
    <w:link w:val="4"/>
    <w:qFormat/>
    <w:uiPriority w:val="0"/>
    <w:rPr>
      <w:rFonts w:ascii="黑体" w:hAnsi="宋体" w:eastAsia="黑体"/>
      <w:bCs/>
      <w:kern w:val="44"/>
      <w:sz w:val="21"/>
      <w:szCs w:val="24"/>
    </w:rPr>
  </w:style>
  <w:style w:type="character" w:customStyle="1" w:styleId="105">
    <w:name w:val="lineitems1"/>
    <w:qFormat/>
    <w:uiPriority w:val="0"/>
    <w:rPr>
      <w:sz w:val="17"/>
      <w:szCs w:val="17"/>
    </w:rPr>
  </w:style>
  <w:style w:type="character" w:customStyle="1" w:styleId="106">
    <w:name w:val="题注 Char1"/>
    <w:qFormat/>
    <w:uiPriority w:val="0"/>
    <w:rPr>
      <w:rFonts w:ascii="Arial" w:hAnsi="Arial" w:eastAsia="宋体" w:cs="Arial"/>
      <w:kern w:val="2"/>
      <w:lang w:val="en-US" w:eastAsia="zh-CN" w:bidi="ar-SA"/>
    </w:rPr>
  </w:style>
  <w:style w:type="character" w:customStyle="1" w:styleId="107">
    <w:name w:val="标题 3 Char Char"/>
    <w:qFormat/>
    <w:uiPriority w:val="0"/>
    <w:rPr>
      <w:rFonts w:eastAsia="宋体"/>
      <w:b/>
      <w:bCs/>
      <w:kern w:val="2"/>
      <w:sz w:val="32"/>
      <w:szCs w:val="32"/>
      <w:lang w:val="en-US" w:eastAsia="zh-CN" w:bidi="ar-SA"/>
    </w:rPr>
  </w:style>
  <w:style w:type="character" w:customStyle="1" w:styleId="108">
    <w:name w:val="标题 5 Char"/>
    <w:link w:val="7"/>
    <w:qFormat/>
    <w:uiPriority w:val="0"/>
    <w:rPr>
      <w:rFonts w:eastAsia="宋体"/>
      <w:b/>
      <w:kern w:val="2"/>
      <w:sz w:val="28"/>
      <w:lang w:val="en-US" w:eastAsia="zh-CN" w:bidi="ar-SA"/>
    </w:rPr>
  </w:style>
  <w:style w:type="character" w:customStyle="1" w:styleId="109">
    <w:name w:val="p12"/>
    <w:basedOn w:val="50"/>
    <w:qFormat/>
    <w:uiPriority w:val="0"/>
  </w:style>
  <w:style w:type="character" w:customStyle="1" w:styleId="110">
    <w:name w:val="正文缩进 Char2"/>
    <w:link w:val="111"/>
    <w:qFormat/>
    <w:uiPriority w:val="0"/>
    <w:rPr>
      <w:rFonts w:ascii="宋体" w:eastAsia="宋体"/>
      <w:sz w:val="34"/>
      <w:lang w:bidi="ar-SA"/>
    </w:rPr>
  </w:style>
  <w:style w:type="paragraph" w:customStyle="1" w:styleId="111">
    <w:name w:val="Normal Indent1"/>
    <w:basedOn w:val="1"/>
    <w:link w:val="110"/>
    <w:qFormat/>
    <w:uiPriority w:val="0"/>
    <w:pPr>
      <w:autoSpaceDE w:val="0"/>
      <w:autoSpaceDN w:val="0"/>
      <w:adjustRightInd w:val="0"/>
      <w:ind w:firstLine="420"/>
      <w:jc w:val="left"/>
      <w:textAlignment w:val="baseline"/>
    </w:pPr>
    <w:rPr>
      <w:rFonts w:ascii="宋体"/>
      <w:kern w:val="0"/>
      <w:sz w:val="34"/>
      <w:szCs w:val="20"/>
    </w:rPr>
  </w:style>
  <w:style w:type="character" w:customStyle="1" w:styleId="112">
    <w:name w:val="标题 9 Char Char"/>
    <w:qFormat/>
    <w:uiPriority w:val="0"/>
    <w:rPr>
      <w:rFonts w:ascii="Arial" w:hAnsi="Arial" w:eastAsia="黑体"/>
      <w:kern w:val="2"/>
      <w:sz w:val="21"/>
      <w:szCs w:val="21"/>
      <w:lang w:val="en-US" w:eastAsia="zh-CN" w:bidi="ar-SA"/>
    </w:rPr>
  </w:style>
  <w:style w:type="character" w:customStyle="1" w:styleId="113">
    <w:name w:val="标题 7 Char"/>
    <w:link w:val="9"/>
    <w:qFormat/>
    <w:uiPriority w:val="0"/>
    <w:rPr>
      <w:rFonts w:eastAsia="宋体"/>
      <w:b/>
      <w:kern w:val="2"/>
      <w:sz w:val="24"/>
      <w:lang w:val="en-US" w:eastAsia="zh-CN" w:bidi="ar-SA"/>
    </w:rPr>
  </w:style>
  <w:style w:type="character" w:customStyle="1" w:styleId="114">
    <w:name w:val="flname7"/>
    <w:basedOn w:val="50"/>
    <w:qFormat/>
    <w:uiPriority w:val="0"/>
  </w:style>
  <w:style w:type="character" w:customStyle="1" w:styleId="115">
    <w:name w:val="正文缩进 Char"/>
    <w:link w:val="2"/>
    <w:qFormat/>
    <w:uiPriority w:val="0"/>
    <w:rPr>
      <w:rFonts w:ascii="宋体" w:eastAsia="宋体"/>
      <w:sz w:val="34"/>
      <w:lang w:val="en-US" w:eastAsia="zh-CN" w:bidi="ar-SA"/>
    </w:rPr>
  </w:style>
  <w:style w:type="character" w:customStyle="1" w:styleId="116">
    <w:name w:val="样式5 Char Char"/>
    <w:link w:val="117"/>
    <w:qFormat/>
    <w:uiPriority w:val="0"/>
    <w:rPr>
      <w:rFonts w:ascii="宋体" w:hAnsi="宋体" w:eastAsia="宋体" w:cs="Arial"/>
      <w:b/>
      <w:kern w:val="2"/>
      <w:sz w:val="24"/>
      <w:szCs w:val="24"/>
      <w:lang w:val="en-US" w:eastAsia="zh-CN" w:bidi="ar-SA"/>
    </w:rPr>
  </w:style>
  <w:style w:type="paragraph" w:customStyle="1" w:styleId="117">
    <w:name w:val="样式5"/>
    <w:basedOn w:val="1"/>
    <w:link w:val="116"/>
    <w:qFormat/>
    <w:uiPriority w:val="0"/>
    <w:pPr>
      <w:spacing w:line="400" w:lineRule="exact"/>
      <w:ind w:left="482"/>
    </w:pPr>
    <w:rPr>
      <w:rFonts w:ascii="宋体" w:hAnsi="宋体" w:cs="Arial"/>
      <w:b/>
      <w:sz w:val="24"/>
    </w:rPr>
  </w:style>
  <w:style w:type="character" w:customStyle="1" w:styleId="118">
    <w:name w:val="text1"/>
    <w:qFormat/>
    <w:uiPriority w:val="0"/>
    <w:rPr>
      <w:sz w:val="20"/>
      <w:szCs w:val="20"/>
    </w:rPr>
  </w:style>
  <w:style w:type="character" w:customStyle="1" w:styleId="119">
    <w:name w:val="样式2"/>
    <w:qFormat/>
    <w:uiPriority w:val="0"/>
    <w:rPr>
      <w:rFonts w:eastAsia="华文楷体"/>
      <w:b/>
      <w:sz w:val="32"/>
    </w:rPr>
  </w:style>
  <w:style w:type="character" w:customStyle="1" w:styleId="120">
    <w:name w:val="页眉 Char Char"/>
    <w:qFormat/>
    <w:uiPriority w:val="0"/>
    <w:rPr>
      <w:rFonts w:eastAsia="宋体"/>
      <w:sz w:val="18"/>
      <w:szCs w:val="18"/>
      <w:lang w:bidi="ar-SA"/>
    </w:rPr>
  </w:style>
  <w:style w:type="character" w:customStyle="1" w:styleId="121">
    <w:name w:val="标题 3 Char"/>
    <w:link w:val="5"/>
    <w:qFormat/>
    <w:uiPriority w:val="0"/>
    <w:rPr>
      <w:rFonts w:ascii="黑体" w:eastAsia="黑体"/>
      <w:bCs/>
      <w:color w:val="000000"/>
      <w:kern w:val="2"/>
      <w:sz w:val="21"/>
      <w:szCs w:val="24"/>
    </w:rPr>
  </w:style>
  <w:style w:type="character" w:customStyle="1" w:styleId="122">
    <w:name w:val="书籍标题3 Char1"/>
    <w:link w:val="123"/>
    <w:qFormat/>
    <w:uiPriority w:val="0"/>
    <w:rPr>
      <w:b/>
      <w:bCs/>
      <w:spacing w:val="20"/>
      <w:kern w:val="2"/>
      <w:sz w:val="28"/>
      <w:szCs w:val="28"/>
    </w:rPr>
  </w:style>
  <w:style w:type="paragraph" w:customStyle="1" w:styleId="123">
    <w:name w:val="书籍标题3"/>
    <w:basedOn w:val="124"/>
    <w:link w:val="122"/>
    <w:qFormat/>
    <w:uiPriority w:val="0"/>
    <w:pPr>
      <w:numPr>
        <w:ilvl w:val="2"/>
      </w:numPr>
      <w:tabs>
        <w:tab w:val="left" w:pos="840"/>
      </w:tabs>
      <w:outlineLvl w:val="2"/>
    </w:pPr>
    <w:rPr>
      <w:rFonts w:cs="Times New Roman"/>
      <w:sz w:val="28"/>
      <w:szCs w:val="28"/>
    </w:rPr>
  </w:style>
  <w:style w:type="paragraph" w:customStyle="1" w:styleId="124">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5">
    <w:name w:val="正文文本缩进 Char"/>
    <w:link w:val="18"/>
    <w:qFormat/>
    <w:uiPriority w:val="0"/>
    <w:rPr>
      <w:rFonts w:ascii="仿宋_GB2312" w:eastAsia="仿宋_GB2312"/>
      <w:sz w:val="28"/>
      <w:lang w:val="en-US" w:eastAsia="zh-CN" w:bidi="ar-SA"/>
    </w:rPr>
  </w:style>
  <w:style w:type="character" w:customStyle="1" w:styleId="126">
    <w:name w:val="页眉 Char"/>
    <w:link w:val="30"/>
    <w:qFormat/>
    <w:uiPriority w:val="99"/>
    <w:rPr>
      <w:rFonts w:eastAsia="宋体"/>
      <w:kern w:val="2"/>
      <w:sz w:val="18"/>
      <w:lang w:val="en-US" w:eastAsia="zh-CN" w:bidi="ar-SA"/>
    </w:rPr>
  </w:style>
  <w:style w:type="character" w:customStyle="1" w:styleId="127">
    <w:name w:val="标题 Char"/>
    <w:link w:val="44"/>
    <w:qFormat/>
    <w:uiPriority w:val="0"/>
    <w:rPr>
      <w:rFonts w:ascii="Cambria" w:hAnsi="Cambria"/>
      <w:b/>
      <w:bCs/>
      <w:kern w:val="2"/>
      <w:sz w:val="32"/>
      <w:szCs w:val="32"/>
    </w:rPr>
  </w:style>
  <w:style w:type="character" w:customStyle="1" w:styleId="128">
    <w:name w:val="标题 8 Char Char"/>
    <w:qFormat/>
    <w:uiPriority w:val="0"/>
    <w:rPr>
      <w:rFonts w:ascii="Arial" w:hAnsi="Arial" w:eastAsia="黑体"/>
      <w:kern w:val="2"/>
      <w:sz w:val="24"/>
      <w:szCs w:val="24"/>
      <w:lang w:val="en-US" w:eastAsia="zh-CN" w:bidi="ar-SA"/>
    </w:rPr>
  </w:style>
  <w:style w:type="character" w:customStyle="1" w:styleId="129">
    <w:name w:val="正文文本缩进 2 Char Char"/>
    <w:qFormat/>
    <w:uiPriority w:val="0"/>
    <w:rPr>
      <w:rFonts w:eastAsia="仿宋_GB2312"/>
      <w:sz w:val="30"/>
      <w:lang w:bidi="ar-SA"/>
    </w:rPr>
  </w:style>
  <w:style w:type="character" w:customStyle="1" w:styleId="130">
    <w:name w:val="标题 7 Char Char"/>
    <w:qFormat/>
    <w:uiPriority w:val="0"/>
    <w:rPr>
      <w:rFonts w:eastAsia="宋体"/>
      <w:b/>
      <w:bCs/>
      <w:kern w:val="2"/>
      <w:sz w:val="24"/>
      <w:szCs w:val="24"/>
      <w:lang w:val="en-US" w:eastAsia="zh-CN" w:bidi="ar-SA"/>
    </w:rPr>
  </w:style>
  <w:style w:type="character" w:customStyle="1" w:styleId="131">
    <w:name w:val="HTML 地址 Char"/>
    <w:link w:val="20"/>
    <w:qFormat/>
    <w:uiPriority w:val="0"/>
    <w:rPr>
      <w:i/>
      <w:kern w:val="2"/>
      <w:sz w:val="21"/>
      <w:szCs w:val="24"/>
    </w:rPr>
  </w:style>
  <w:style w:type="character" w:customStyle="1" w:styleId="132">
    <w:name w:val="标题 1 Char"/>
    <w:link w:val="3"/>
    <w:qFormat/>
    <w:uiPriority w:val="0"/>
    <w:rPr>
      <w:rFonts w:ascii="黑体" w:eastAsia="黑体"/>
      <w:bCs/>
      <w:kern w:val="44"/>
      <w:sz w:val="24"/>
      <w:szCs w:val="24"/>
    </w:rPr>
  </w:style>
  <w:style w:type="character" w:customStyle="1" w:styleId="133">
    <w:name w:val="批注文字 Char"/>
    <w:link w:val="16"/>
    <w:qFormat/>
    <w:uiPriority w:val="0"/>
    <w:rPr>
      <w:kern w:val="2"/>
      <w:sz w:val="24"/>
      <w:szCs w:val="24"/>
    </w:rPr>
  </w:style>
  <w:style w:type="character" w:customStyle="1" w:styleId="134">
    <w:name w:val="页脚 Char"/>
    <w:link w:val="29"/>
    <w:qFormat/>
    <w:uiPriority w:val="0"/>
    <w:rPr>
      <w:rFonts w:eastAsia="宋体"/>
      <w:kern w:val="2"/>
      <w:sz w:val="18"/>
      <w:lang w:val="en-US" w:eastAsia="zh-CN" w:bidi="ar-SA"/>
    </w:rPr>
  </w:style>
  <w:style w:type="character" w:customStyle="1" w:styleId="135">
    <w:name w:val="正文首行缩进 Char"/>
    <w:link w:val="46"/>
    <w:qFormat/>
    <w:uiPriority w:val="0"/>
    <w:rPr>
      <w:rFonts w:ascii="Calibri" w:hAnsi="Calibri" w:eastAsia="宋体"/>
      <w:kern w:val="2"/>
      <w:sz w:val="21"/>
      <w:szCs w:val="22"/>
      <w:lang w:val="en-US" w:eastAsia="zh-CN" w:bidi="ar-SA"/>
    </w:rPr>
  </w:style>
  <w:style w:type="character" w:customStyle="1" w:styleId="136">
    <w:name w:val="纯文本 Char Char"/>
    <w:qFormat/>
    <w:uiPriority w:val="0"/>
    <w:rPr>
      <w:rFonts w:ascii="宋体" w:hAnsi="Courier New"/>
      <w:kern w:val="2"/>
      <w:sz w:val="21"/>
      <w:lang w:bidi="ar-SA"/>
    </w:rPr>
  </w:style>
  <w:style w:type="character" w:customStyle="1" w:styleId="137">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8">
    <w:name w:val="标题 6 Char Char"/>
    <w:qFormat/>
    <w:uiPriority w:val="0"/>
    <w:rPr>
      <w:rFonts w:ascii="Arial" w:hAnsi="Arial" w:eastAsia="黑体"/>
      <w:b/>
      <w:bCs/>
      <w:kern w:val="2"/>
      <w:sz w:val="24"/>
      <w:szCs w:val="24"/>
      <w:lang w:val="en-US" w:eastAsia="zh-CN" w:bidi="ar-SA"/>
    </w:rPr>
  </w:style>
  <w:style w:type="character" w:customStyle="1" w:styleId="139">
    <w:name w:val="细目1 Char Char"/>
    <w:link w:val="140"/>
    <w:qFormat/>
    <w:uiPriority w:val="0"/>
    <w:rPr>
      <w:b/>
      <w:color w:val="215868"/>
      <w:kern w:val="2"/>
      <w:sz w:val="24"/>
      <w:szCs w:val="24"/>
    </w:rPr>
  </w:style>
  <w:style w:type="paragraph" w:customStyle="1" w:styleId="140">
    <w:name w:val="细目1"/>
    <w:basedOn w:val="1"/>
    <w:link w:val="139"/>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1">
    <w:name w:val="Char Char9"/>
    <w:qFormat/>
    <w:uiPriority w:val="0"/>
    <w:rPr>
      <w:rFonts w:ascii="宋体" w:hAnsi="Courier New" w:eastAsia="宋体"/>
      <w:kern w:val="2"/>
      <w:sz w:val="21"/>
      <w:lang w:val="en-US" w:eastAsia="zh-CN" w:bidi="ar-SA"/>
    </w:rPr>
  </w:style>
  <w:style w:type="character" w:customStyle="1" w:styleId="142">
    <w:name w:val="apple-converted-space"/>
    <w:qFormat/>
    <w:uiPriority w:val="0"/>
    <w:rPr>
      <w:rFonts w:cs="Times New Roman"/>
    </w:rPr>
  </w:style>
  <w:style w:type="paragraph" w:customStyle="1" w:styleId="143">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5">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6">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7">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8">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9">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50">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1">
    <w:name w:val="默认段落字体 Para Char Char Char Char Char Char Char Char Char Char"/>
    <w:basedOn w:val="1"/>
    <w:qFormat/>
    <w:uiPriority w:val="0"/>
    <w:rPr>
      <w:rFonts w:ascii="Tahoma" w:hAnsi="Tahoma"/>
      <w:sz w:val="24"/>
      <w:szCs w:val="20"/>
    </w:rPr>
  </w:style>
  <w:style w:type="paragraph" w:customStyle="1" w:styleId="15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4">
    <w:name w:val="字元 字元"/>
    <w:basedOn w:val="1"/>
    <w:qFormat/>
    <w:uiPriority w:val="0"/>
    <w:pPr>
      <w:spacing w:line="360" w:lineRule="auto"/>
      <w:ind w:firstLine="200" w:firstLineChars="200"/>
    </w:pPr>
    <w:rPr>
      <w:rFonts w:ascii="宋体" w:hAnsi="宋体" w:cs="宋体"/>
      <w:sz w:val="24"/>
    </w:rPr>
  </w:style>
  <w:style w:type="paragraph" w:customStyle="1" w:styleId="15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6">
    <w:name w:val="正文序号 4"/>
    <w:basedOn w:val="1"/>
    <w:qFormat/>
    <w:uiPriority w:val="0"/>
    <w:pPr>
      <w:numPr>
        <w:ilvl w:val="3"/>
        <w:numId w:val="7"/>
      </w:numPr>
      <w:tabs>
        <w:tab w:val="left" w:pos="1469"/>
      </w:tabs>
      <w:spacing w:before="60"/>
    </w:pPr>
  </w:style>
  <w:style w:type="paragraph" w:customStyle="1" w:styleId="15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8">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9">
    <w:name w:val="Char3"/>
    <w:basedOn w:val="1"/>
    <w:qFormat/>
    <w:uiPriority w:val="0"/>
  </w:style>
  <w:style w:type="paragraph" w:customStyle="1" w:styleId="160">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Char28"/>
    <w:basedOn w:val="1"/>
    <w:qFormat/>
    <w:uiPriority w:val="0"/>
    <w:pPr>
      <w:adjustRightInd w:val="0"/>
      <w:spacing w:line="360" w:lineRule="auto"/>
    </w:pPr>
  </w:style>
  <w:style w:type="paragraph" w:customStyle="1" w:styleId="163">
    <w:name w:val="pa-14"/>
    <w:basedOn w:val="1"/>
    <w:qFormat/>
    <w:uiPriority w:val="0"/>
    <w:pPr>
      <w:widowControl/>
      <w:spacing w:before="150" w:after="150"/>
      <w:jc w:val="left"/>
    </w:pPr>
    <w:rPr>
      <w:rFonts w:ascii="宋体" w:hAnsi="宋体" w:cs="宋体"/>
      <w:kern w:val="0"/>
      <w:sz w:val="24"/>
    </w:rPr>
  </w:style>
  <w:style w:type="paragraph" w:customStyle="1" w:styleId="164">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5">
    <w:name w:val="Item List in Table"/>
    <w:basedOn w:val="1"/>
    <w:qFormat/>
    <w:uiPriority w:val="0"/>
    <w:pPr>
      <w:numPr>
        <w:ilvl w:val="0"/>
        <w:numId w:val="8"/>
      </w:numPr>
      <w:jc w:val="left"/>
    </w:pPr>
  </w:style>
  <w:style w:type="paragraph" w:customStyle="1" w:styleId="166">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8">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9">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0">
    <w:name w:val="默认段落字体 Para Char"/>
    <w:basedOn w:val="1"/>
    <w:qFormat/>
    <w:uiPriority w:val="0"/>
    <w:rPr>
      <w:rFonts w:ascii="Tahoma" w:hAnsi="Tahoma"/>
      <w:sz w:val="24"/>
      <w:szCs w:val="20"/>
    </w:rPr>
  </w:style>
  <w:style w:type="paragraph" w:customStyle="1" w:styleId="171">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2">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3">
    <w:name w:val="样式 正文缩进 + 首行缩进:  2 字符"/>
    <w:basedOn w:val="2"/>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4">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6">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7">
    <w:name w:val="p0"/>
    <w:basedOn w:val="1"/>
    <w:qFormat/>
    <w:uiPriority w:val="0"/>
    <w:pPr>
      <w:widowControl/>
    </w:pPr>
    <w:rPr>
      <w:kern w:val="0"/>
      <w:szCs w:val="21"/>
    </w:rPr>
  </w:style>
  <w:style w:type="paragraph" w:customStyle="1" w:styleId="178">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9">
    <w:name w:val="默认段落字体 Para Char Char Char1 Char"/>
    <w:basedOn w:val="47"/>
    <w:qFormat/>
    <w:uiPriority w:val="0"/>
  </w:style>
  <w:style w:type="paragraph" w:customStyle="1" w:styleId="180">
    <w:name w:val="Char1"/>
    <w:basedOn w:val="1"/>
    <w:qFormat/>
    <w:uiPriority w:val="0"/>
    <w:pPr>
      <w:widowControl/>
      <w:spacing w:line="400" w:lineRule="exact"/>
      <w:jc w:val="center"/>
    </w:pPr>
    <w:rPr>
      <w:rFonts w:ascii="Verdana" w:hAnsi="Verdana"/>
      <w:kern w:val="0"/>
      <w:szCs w:val="20"/>
      <w:lang w:eastAsia="en-US"/>
    </w:rPr>
  </w:style>
  <w:style w:type="paragraph" w:customStyle="1" w:styleId="181">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4">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5">
    <w:name w:val="列出段落1"/>
    <w:basedOn w:val="1"/>
    <w:qFormat/>
    <w:uiPriority w:val="0"/>
    <w:pPr>
      <w:ind w:firstLine="200" w:firstLineChars="200"/>
    </w:pPr>
    <w:rPr>
      <w:rFonts w:ascii="Calibri" w:hAnsi="Calibri"/>
      <w:szCs w:val="22"/>
    </w:rPr>
  </w:style>
  <w:style w:type="paragraph" w:customStyle="1" w:styleId="186">
    <w:name w:val="缺省文本"/>
    <w:basedOn w:val="1"/>
    <w:qFormat/>
    <w:uiPriority w:val="0"/>
    <w:pPr>
      <w:autoSpaceDE w:val="0"/>
      <w:autoSpaceDN w:val="0"/>
      <w:adjustRightInd w:val="0"/>
      <w:jc w:val="left"/>
    </w:pPr>
    <w:rPr>
      <w:kern w:val="0"/>
      <w:sz w:val="24"/>
    </w:rPr>
  </w:style>
  <w:style w:type="paragraph" w:customStyle="1" w:styleId="187">
    <w:name w:val="Char Char Char Char Char Char Char Char Char"/>
    <w:basedOn w:val="1"/>
    <w:qFormat/>
    <w:uiPriority w:val="0"/>
    <w:rPr>
      <w:sz w:val="28"/>
    </w:rPr>
  </w:style>
  <w:style w:type="paragraph" w:customStyle="1" w:styleId="188">
    <w:name w:val="书籍标题4"/>
    <w:basedOn w:val="123"/>
    <w:next w:val="1"/>
    <w:qFormat/>
    <w:uiPriority w:val="0"/>
    <w:pPr>
      <w:numPr>
        <w:ilvl w:val="3"/>
      </w:numPr>
      <w:tabs>
        <w:tab w:val="left" w:pos="2160"/>
      </w:tabs>
      <w:ind w:left="2160"/>
      <w:outlineLvl w:val="3"/>
    </w:pPr>
    <w:rPr>
      <w:sz w:val="24"/>
      <w:szCs w:val="24"/>
      <w:lang w:val="zh-CN"/>
    </w:rPr>
  </w:style>
  <w:style w:type="paragraph" w:customStyle="1" w:styleId="189">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0">
    <w:name w:val="样式 书籍标题3 + Arial 段前: 1 行 段后: 1 行"/>
    <w:basedOn w:val="123"/>
    <w:qFormat/>
    <w:uiPriority w:val="0"/>
    <w:pPr>
      <w:numPr>
        <w:ilvl w:val="1"/>
        <w:numId w:val="9"/>
      </w:numPr>
      <w:spacing w:beforeLines="0" w:afterLines="0"/>
    </w:pPr>
    <w:rPr>
      <w:rFonts w:ascii="Arial" w:hAnsi="Arial" w:cs="宋体"/>
      <w:b w:val="0"/>
      <w:bCs w:val="0"/>
    </w:rPr>
  </w:style>
  <w:style w:type="paragraph" w:customStyle="1" w:styleId="191">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2">
    <w:name w:val="Char Char Char Char Char Char"/>
    <w:basedOn w:val="1"/>
    <w:qFormat/>
    <w:uiPriority w:val="0"/>
    <w:pPr>
      <w:widowControl/>
      <w:spacing w:after="160" w:line="240" w:lineRule="exact"/>
      <w:jc w:val="left"/>
    </w:pPr>
    <w:rPr>
      <w:sz w:val="32"/>
      <w:szCs w:val="20"/>
    </w:rPr>
  </w:style>
  <w:style w:type="paragraph" w:customStyle="1" w:styleId="193">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4">
    <w:name w:val="List Paragraph"/>
    <w:basedOn w:val="1"/>
    <w:qFormat/>
    <w:uiPriority w:val="34"/>
    <w:pPr>
      <w:ind w:firstLine="420" w:firstLineChars="200"/>
    </w:pPr>
  </w:style>
  <w:style w:type="paragraph" w:customStyle="1" w:styleId="19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Char1 Char Char Char"/>
    <w:basedOn w:val="1"/>
    <w:qFormat/>
    <w:uiPriority w:val="0"/>
    <w:pPr>
      <w:ind w:left="1365" w:hanging="360"/>
    </w:pPr>
    <w:rPr>
      <w:sz w:val="24"/>
    </w:rPr>
  </w:style>
  <w:style w:type="paragraph" w:customStyle="1" w:styleId="197">
    <w:name w:val="MM Topic 6"/>
    <w:basedOn w:val="8"/>
    <w:qFormat/>
    <w:uiPriority w:val="0"/>
    <w:pPr>
      <w:numPr>
        <w:ilvl w:val="5"/>
        <w:numId w:val="10"/>
      </w:numPr>
      <w:tabs>
        <w:tab w:val="left" w:pos="425"/>
        <w:tab w:val="clear" w:pos="3260"/>
      </w:tabs>
      <w:spacing w:line="319" w:lineRule="auto"/>
    </w:pPr>
    <w:rPr>
      <w:bCs/>
      <w:szCs w:val="24"/>
    </w:rPr>
  </w:style>
  <w:style w:type="paragraph" w:customStyle="1" w:styleId="198">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9">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1">
    <w:name w:val="样式 标题 4Alt+41.1.1.1 Heading 4bulletblbbH44h4H41h41H42... Char"/>
    <w:basedOn w:val="6"/>
    <w:qFormat/>
    <w:uiPriority w:val="0"/>
    <w:pPr>
      <w:tabs>
        <w:tab w:val="left" w:pos="1914"/>
      </w:tabs>
      <w:spacing w:before="120" w:after="120"/>
      <w:ind w:left="1914" w:hanging="864"/>
    </w:pPr>
    <w:rPr>
      <w:rFonts w:ascii="宋体" w:hAnsi="宋体"/>
      <w:bCs/>
      <w:color w:val="000000"/>
      <w:szCs w:val="28"/>
    </w:rPr>
  </w:style>
  <w:style w:type="paragraph" w:customStyle="1" w:styleId="20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6">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7">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8">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9">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0">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1">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2">
    <w:name w:val="pa-13"/>
    <w:basedOn w:val="1"/>
    <w:qFormat/>
    <w:uiPriority w:val="0"/>
    <w:pPr>
      <w:widowControl/>
      <w:spacing w:before="150" w:after="150"/>
      <w:jc w:val="left"/>
    </w:pPr>
    <w:rPr>
      <w:rFonts w:ascii="宋体" w:hAnsi="宋体" w:cs="宋体"/>
      <w:kern w:val="0"/>
      <w:sz w:val="24"/>
    </w:rPr>
  </w:style>
  <w:style w:type="paragraph" w:customStyle="1" w:styleId="213">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4">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5">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6">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8">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0">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1">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2">
    <w:name w:val="样式 标题 3"/>
    <w:basedOn w:val="5"/>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5">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7">
    <w:name w:val="Char1 Char Char Char1"/>
    <w:basedOn w:val="1"/>
    <w:qFormat/>
    <w:uiPriority w:val="0"/>
    <w:pPr>
      <w:tabs>
        <w:tab w:val="left" w:pos="425"/>
      </w:tabs>
      <w:ind w:left="425" w:hanging="425"/>
    </w:pPr>
    <w:rPr>
      <w:sz w:val="24"/>
    </w:rPr>
  </w:style>
  <w:style w:type="paragraph" w:customStyle="1" w:styleId="22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9">
    <w:name w:val="Char"/>
    <w:basedOn w:val="1"/>
    <w:qFormat/>
    <w:uiPriority w:val="0"/>
    <w:pPr>
      <w:tabs>
        <w:tab w:val="left" w:pos="1365"/>
      </w:tabs>
      <w:ind w:left="1365" w:hanging="360"/>
    </w:pPr>
    <w:rPr>
      <w:sz w:val="24"/>
    </w:rPr>
  </w:style>
  <w:style w:type="paragraph" w:customStyle="1" w:styleId="230">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1">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2">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3">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5">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7">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8">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9">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0">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1">
    <w:name w:val="Char Char Char Char Char Char Char Char Char1"/>
    <w:basedOn w:val="1"/>
    <w:qFormat/>
    <w:uiPriority w:val="0"/>
    <w:pPr>
      <w:widowControl/>
      <w:spacing w:after="160" w:line="240" w:lineRule="exact"/>
      <w:jc w:val="left"/>
    </w:pPr>
  </w:style>
  <w:style w:type="paragraph" w:customStyle="1" w:styleId="242">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5">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8">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0">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1">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4">
    <w:name w:val="font6"/>
    <w:basedOn w:val="1"/>
    <w:qFormat/>
    <w:uiPriority w:val="0"/>
    <w:pPr>
      <w:widowControl/>
      <w:spacing w:before="100" w:beforeAutospacing="1" w:after="100" w:afterAutospacing="1"/>
      <w:jc w:val="left"/>
    </w:pPr>
    <w:rPr>
      <w:kern w:val="0"/>
      <w:sz w:val="24"/>
    </w:rPr>
  </w:style>
  <w:style w:type="paragraph" w:customStyle="1" w:styleId="255">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7">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8">
    <w:name w:val="样式 首行缩进:  0.85 厘米"/>
    <w:basedOn w:val="1"/>
    <w:qFormat/>
    <w:uiPriority w:val="0"/>
    <w:pPr>
      <w:spacing w:line="360" w:lineRule="auto"/>
      <w:ind w:firstLine="200" w:firstLineChars="200"/>
    </w:pPr>
    <w:rPr>
      <w:rFonts w:cs="宋体"/>
      <w:sz w:val="24"/>
      <w:szCs w:val="20"/>
    </w:rPr>
  </w:style>
  <w:style w:type="paragraph" w:customStyle="1" w:styleId="259">
    <w:name w:val="列举"/>
    <w:basedOn w:val="1"/>
    <w:qFormat/>
    <w:uiPriority w:val="0"/>
    <w:pPr>
      <w:numPr>
        <w:ilvl w:val="0"/>
        <w:numId w:val="15"/>
      </w:numPr>
      <w:spacing w:line="360" w:lineRule="auto"/>
    </w:pPr>
    <w:rPr>
      <w:rFonts w:ascii="宋体"/>
    </w:rPr>
  </w:style>
  <w:style w:type="paragraph" w:customStyle="1" w:styleId="260">
    <w:name w:val="正文1"/>
    <w:basedOn w:val="1"/>
    <w:qFormat/>
    <w:uiPriority w:val="0"/>
    <w:pPr>
      <w:spacing w:line="360" w:lineRule="auto"/>
    </w:pPr>
    <w:rPr>
      <w:rFonts w:ascii="宋体" w:hAnsi="宋体"/>
      <w:sz w:val="24"/>
    </w:rPr>
  </w:style>
  <w:style w:type="paragraph" w:customStyle="1" w:styleId="261">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2">
    <w:name w:val="正文缩进2字符"/>
    <w:basedOn w:val="46"/>
    <w:qFormat/>
    <w:uiPriority w:val="0"/>
    <w:pPr>
      <w:spacing w:after="0" w:line="360" w:lineRule="auto"/>
      <w:ind w:firstLine="200" w:firstLineChars="200"/>
    </w:pPr>
    <w:rPr>
      <w:sz w:val="24"/>
      <w:szCs w:val="24"/>
    </w:rPr>
  </w:style>
  <w:style w:type="paragraph" w:customStyle="1" w:styleId="263">
    <w:name w:val="font8"/>
    <w:basedOn w:val="1"/>
    <w:qFormat/>
    <w:uiPriority w:val="0"/>
    <w:pPr>
      <w:widowControl/>
      <w:spacing w:before="100" w:beforeAutospacing="1" w:after="100" w:afterAutospacing="1"/>
      <w:jc w:val="left"/>
    </w:pPr>
    <w:rPr>
      <w:kern w:val="0"/>
      <w:sz w:val="20"/>
      <w:szCs w:val="20"/>
    </w:rPr>
  </w:style>
  <w:style w:type="paragraph" w:customStyle="1" w:styleId="264">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5">
    <w:name w:val="pa-3"/>
    <w:basedOn w:val="1"/>
    <w:qFormat/>
    <w:uiPriority w:val="0"/>
    <w:pPr>
      <w:widowControl/>
      <w:spacing w:before="150" w:after="150"/>
      <w:jc w:val="left"/>
    </w:pPr>
    <w:rPr>
      <w:rFonts w:ascii="宋体" w:hAnsi="宋体" w:cs="宋体"/>
      <w:kern w:val="0"/>
      <w:sz w:val="24"/>
    </w:rPr>
  </w:style>
  <w:style w:type="paragraph" w:customStyle="1" w:styleId="266">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7">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列表数字1"/>
    <w:next w:val="46"/>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0">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1">
    <w:name w:val="加点标题"/>
    <w:basedOn w:val="1"/>
    <w:qFormat/>
    <w:uiPriority w:val="0"/>
    <w:pPr>
      <w:numPr>
        <w:ilvl w:val="0"/>
        <w:numId w:val="18"/>
      </w:numPr>
      <w:spacing w:line="360" w:lineRule="auto"/>
    </w:pPr>
    <w:rPr>
      <w:sz w:val="24"/>
    </w:rPr>
  </w:style>
  <w:style w:type="paragraph" w:customStyle="1" w:styleId="272">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5">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6">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8">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9">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MM Topic 3"/>
    <w:basedOn w:val="5"/>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1">
    <w:name w:val="列出段落2"/>
    <w:basedOn w:val="1"/>
    <w:qFormat/>
    <w:uiPriority w:val="0"/>
    <w:pPr>
      <w:ind w:firstLine="420" w:firstLineChars="200"/>
    </w:pPr>
  </w:style>
  <w:style w:type="paragraph" w:customStyle="1" w:styleId="282">
    <w:name w:val="font15"/>
    <w:basedOn w:val="1"/>
    <w:qFormat/>
    <w:uiPriority w:val="0"/>
    <w:pPr>
      <w:widowControl/>
      <w:spacing w:before="100" w:beforeAutospacing="1" w:after="100" w:afterAutospacing="1"/>
      <w:jc w:val="left"/>
    </w:pPr>
    <w:rPr>
      <w:kern w:val="0"/>
      <w:sz w:val="20"/>
      <w:szCs w:val="20"/>
    </w:rPr>
  </w:style>
  <w:style w:type="paragraph" w:customStyle="1" w:styleId="283">
    <w:name w:val="pa-15"/>
    <w:basedOn w:val="1"/>
    <w:qFormat/>
    <w:uiPriority w:val="0"/>
    <w:pPr>
      <w:widowControl/>
      <w:spacing w:before="150" w:after="150"/>
      <w:jc w:val="left"/>
    </w:pPr>
    <w:rPr>
      <w:rFonts w:ascii="宋体" w:hAnsi="宋体" w:cs="宋体"/>
      <w:kern w:val="0"/>
      <w:sz w:val="24"/>
    </w:rPr>
  </w:style>
  <w:style w:type="paragraph" w:customStyle="1" w:styleId="284">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6">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7">
    <w:name w:val="Char Char3 Char Char"/>
    <w:basedOn w:val="1"/>
    <w:qFormat/>
    <w:uiPriority w:val="0"/>
    <w:pPr>
      <w:spacing w:line="360" w:lineRule="auto"/>
      <w:ind w:firstLine="200" w:firstLineChars="200"/>
    </w:pPr>
    <w:rPr>
      <w:rFonts w:ascii="宋体" w:hAnsi="宋体" w:cs="宋体"/>
      <w:sz w:val="24"/>
    </w:rPr>
  </w:style>
  <w:style w:type="paragraph" w:customStyle="1" w:styleId="288">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9">
    <w:name w:val="正文序号 2"/>
    <w:basedOn w:val="1"/>
    <w:qFormat/>
    <w:uiPriority w:val="0"/>
    <w:pPr>
      <w:numPr>
        <w:ilvl w:val="1"/>
        <w:numId w:val="7"/>
      </w:numPr>
      <w:tabs>
        <w:tab w:val="left" w:pos="1049"/>
      </w:tabs>
      <w:spacing w:before="60"/>
    </w:pPr>
  </w:style>
  <w:style w:type="paragraph" w:customStyle="1" w:styleId="290">
    <w:name w:val="样式 样式 标题 4Alt+41.1.1.1 Heading 4bulletblbbH44h4H41h41H42... + 自动..."/>
    <w:basedOn w:val="201"/>
    <w:qFormat/>
    <w:uiPriority w:val="0"/>
    <w:pPr>
      <w:numPr>
        <w:ilvl w:val="3"/>
        <w:numId w:val="20"/>
      </w:numPr>
      <w:tabs>
        <w:tab w:val="clear" w:pos="1914"/>
      </w:tabs>
    </w:pPr>
    <w:rPr>
      <w:color w:val="auto"/>
    </w:rPr>
  </w:style>
  <w:style w:type="paragraph" w:styleId="29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3">
    <w:name w:val="MM Topic 5"/>
    <w:basedOn w:val="7"/>
    <w:qFormat/>
    <w:uiPriority w:val="0"/>
    <w:pPr>
      <w:numPr>
        <w:ilvl w:val="4"/>
        <w:numId w:val="10"/>
      </w:numPr>
      <w:tabs>
        <w:tab w:val="left" w:pos="425"/>
        <w:tab w:val="clear" w:pos="2551"/>
      </w:tabs>
    </w:pPr>
    <w:rPr>
      <w:bCs/>
      <w:szCs w:val="28"/>
    </w:rPr>
  </w:style>
  <w:style w:type="paragraph" w:customStyle="1" w:styleId="294">
    <w:name w:val="正文文本样式"/>
    <w:basedOn w:val="1"/>
    <w:qFormat/>
    <w:uiPriority w:val="0"/>
    <w:pPr>
      <w:spacing w:line="360" w:lineRule="auto"/>
      <w:ind w:firstLine="482"/>
    </w:pPr>
    <w:rPr>
      <w:rFonts w:cs="宋体"/>
      <w:sz w:val="24"/>
      <w:szCs w:val="20"/>
    </w:rPr>
  </w:style>
  <w:style w:type="paragraph" w:customStyle="1" w:styleId="2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7">
    <w:name w:val="MM Topic 4"/>
    <w:basedOn w:val="6"/>
    <w:qFormat/>
    <w:uiPriority w:val="0"/>
    <w:pPr>
      <w:numPr>
        <w:ilvl w:val="3"/>
        <w:numId w:val="10"/>
      </w:numPr>
      <w:tabs>
        <w:tab w:val="left" w:pos="425"/>
        <w:tab w:val="clear" w:pos="1984"/>
      </w:tabs>
    </w:pPr>
    <w:rPr>
      <w:bCs/>
      <w:szCs w:val="28"/>
    </w:rPr>
  </w:style>
  <w:style w:type="paragraph" w:customStyle="1" w:styleId="298">
    <w:name w:val="正文序号 3"/>
    <w:basedOn w:val="1"/>
    <w:qFormat/>
    <w:uiPriority w:val="0"/>
    <w:pPr>
      <w:numPr>
        <w:ilvl w:val="2"/>
        <w:numId w:val="7"/>
      </w:numPr>
      <w:tabs>
        <w:tab w:val="left" w:pos="1259"/>
      </w:tabs>
      <w:spacing w:before="60"/>
    </w:pPr>
  </w:style>
  <w:style w:type="paragraph" w:customStyle="1" w:styleId="299">
    <w:name w:val="Char2"/>
    <w:basedOn w:val="1"/>
    <w:qFormat/>
    <w:uiPriority w:val="0"/>
    <w:pPr>
      <w:tabs>
        <w:tab w:val="left" w:pos="425"/>
      </w:tabs>
      <w:ind w:left="425" w:hanging="425"/>
    </w:pPr>
    <w:rPr>
      <w:sz w:val="24"/>
    </w:rPr>
  </w:style>
  <w:style w:type="paragraph" w:customStyle="1" w:styleId="300">
    <w:name w:val="正文序号 1"/>
    <w:basedOn w:val="1"/>
    <w:qFormat/>
    <w:uiPriority w:val="0"/>
    <w:pPr>
      <w:numPr>
        <w:ilvl w:val="0"/>
        <w:numId w:val="7"/>
      </w:numPr>
      <w:tabs>
        <w:tab w:val="left" w:pos="839"/>
      </w:tabs>
      <w:spacing w:before="60"/>
    </w:pPr>
  </w:style>
  <w:style w:type="paragraph" w:customStyle="1" w:styleId="301">
    <w:name w:val="字元 字元1"/>
    <w:basedOn w:val="1"/>
    <w:qFormat/>
    <w:uiPriority w:val="0"/>
    <w:pPr>
      <w:spacing w:line="360" w:lineRule="auto"/>
      <w:ind w:firstLine="200" w:firstLineChars="200"/>
    </w:pPr>
    <w:rPr>
      <w:rFonts w:ascii="宋体" w:hAnsi="宋体" w:cs="宋体"/>
      <w:sz w:val="24"/>
    </w:rPr>
  </w:style>
  <w:style w:type="paragraph" w:customStyle="1" w:styleId="302">
    <w:name w:val="font12"/>
    <w:basedOn w:val="1"/>
    <w:qFormat/>
    <w:uiPriority w:val="0"/>
    <w:pPr>
      <w:widowControl/>
      <w:spacing w:before="100" w:beforeAutospacing="1" w:after="100" w:afterAutospacing="1"/>
      <w:jc w:val="left"/>
    </w:pPr>
    <w:rPr>
      <w:kern w:val="0"/>
      <w:sz w:val="22"/>
      <w:szCs w:val="22"/>
    </w:rPr>
  </w:style>
  <w:style w:type="paragraph" w:customStyle="1" w:styleId="303">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4">
    <w:name w:val="标题 1 Char2"/>
    <w:qFormat/>
    <w:uiPriority w:val="0"/>
    <w:rPr>
      <w:rFonts w:ascii="黑体" w:eastAsia="黑体"/>
      <w:bCs/>
      <w:kern w:val="44"/>
      <w:sz w:val="24"/>
      <w:szCs w:val="24"/>
    </w:rPr>
  </w:style>
  <w:style w:type="character" w:customStyle="1" w:styleId="305">
    <w:name w:val="Font Style17"/>
    <w:qFormat/>
    <w:uiPriority w:val="0"/>
    <w:rPr>
      <w:rFonts w:ascii="黑体" w:eastAsia="黑体" w:cs="黑体"/>
      <w:sz w:val="28"/>
      <w:szCs w:val="28"/>
    </w:rPr>
  </w:style>
  <w:style w:type="character" w:styleId="306">
    <w:name w:val="Placeholder Text"/>
    <w:basedOn w:val="50"/>
    <w:semiHidden/>
    <w:qFormat/>
    <w:uiPriority w:val="99"/>
    <w:rPr>
      <w:color w:val="808080"/>
    </w:rPr>
  </w:style>
  <w:style w:type="character" w:customStyle="1" w:styleId="307">
    <w:name w:val="正文缩进 Char3"/>
    <w:qFormat/>
    <w:uiPriority w:val="0"/>
    <w:rPr>
      <w:rFonts w:ascii="宋体" w:eastAsia="宋体"/>
      <w:sz w:val="34"/>
      <w:lang w:val="en-US" w:eastAsia="zh-CN" w:bidi="ar-SA"/>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9">
    <w:name w:val="批注主题 Char"/>
    <w:basedOn w:val="133"/>
    <w:link w:val="45"/>
    <w:semiHidden/>
    <w:qFormat/>
    <w:uiPriority w:val="99"/>
    <w:rPr>
      <w:rFonts w:ascii="Times New Roman" w:hAnsi="Times New Roman" w:eastAsia="宋体" w:cs="Times New Roman"/>
      <w:b/>
      <w:bCs/>
      <w:kern w:val="2"/>
      <w:sz w:val="21"/>
      <w:szCs w:val="24"/>
    </w:rPr>
  </w:style>
  <w:style w:type="paragraph" w:customStyle="1" w:styleId="310">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F968C3-8918-4742-B047-5498E893192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71</Pages>
  <Words>37759</Words>
  <Characters>39305</Characters>
  <Lines>365</Lines>
  <Paragraphs>102</Paragraphs>
  <TotalTime>0</TotalTime>
  <ScaleCrop>false</ScaleCrop>
  <LinksUpToDate>false</LinksUpToDate>
  <CharactersWithSpaces>43965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2022-08-01T07:58:00Z</dcterms:created>
  <dc:creator>杨佳佳</dc:creator>
  <cp:lastModifiedBy>Administrator</cp:lastModifiedBy>
  <cp:lastPrinted>2022-08-01T01:56:00Z</cp:lastPrinted>
  <dcterms:modified xsi:type="dcterms:W3CDTF">2022-08-03T09:06:56Z</dcterms:modified>
  <dc:title>货物公开招标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848905DD017E44A39DD828008C8224C5</vt:lpwstr>
  </property>
</Properties>
</file>