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widowControl/>
        <w:adjustRightInd w:val="0"/>
        <w:snapToGrid w:val="0"/>
        <w:spacing w:line="360" w:lineRule="auto"/>
        <w:jc w:val="left"/>
        <w:rPr>
          <w:rFonts w:hAnsi="宋体"/>
          <w:bCs/>
          <w:color w:val="auto"/>
          <w:sz w:val="32"/>
          <w:highlight w:val="none"/>
        </w:rPr>
      </w:pPr>
      <w:bookmarkStart w:id="0" w:name="_Toc491658631"/>
      <w:r>
        <w:rPr>
          <w:rFonts w:hint="eastAsia" w:hAnsi="宋体"/>
          <w:bCs/>
          <w:color w:val="auto"/>
          <w:sz w:val="32"/>
          <w:highlight w:val="none"/>
        </w:rPr>
        <w:drawing>
          <wp:inline distT="0" distB="0" distL="0" distR="0">
            <wp:extent cx="2328545" cy="37211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328545" cy="372110"/>
                    </a:xfrm>
                    <a:prstGeom prst="rect">
                      <a:avLst/>
                    </a:prstGeom>
                    <a:noFill/>
                    <a:ln>
                      <a:noFill/>
                    </a:ln>
                  </pic:spPr>
                </pic:pic>
              </a:graphicData>
            </a:graphic>
          </wp:inline>
        </w:drawing>
      </w:r>
    </w:p>
    <w:p>
      <w:pPr>
        <w:pStyle w:val="26"/>
        <w:widowControl/>
        <w:adjustRightInd w:val="0"/>
        <w:snapToGrid w:val="0"/>
        <w:spacing w:line="360" w:lineRule="auto"/>
        <w:jc w:val="center"/>
        <w:rPr>
          <w:rFonts w:hAnsi="宋体"/>
          <w:bCs/>
          <w:color w:val="auto"/>
          <w:sz w:val="52"/>
          <w:szCs w:val="52"/>
          <w:highlight w:val="none"/>
        </w:rPr>
      </w:pPr>
    </w:p>
    <w:p>
      <w:pPr>
        <w:pStyle w:val="26"/>
        <w:widowControl/>
        <w:adjustRightInd w:val="0"/>
        <w:snapToGrid w:val="0"/>
        <w:spacing w:line="360" w:lineRule="auto"/>
        <w:jc w:val="center"/>
        <w:rPr>
          <w:rFonts w:hAnsi="宋体" w:cs="宋体"/>
          <w:b/>
          <w:color w:val="auto"/>
          <w:kern w:val="0"/>
          <w:sz w:val="84"/>
          <w:szCs w:val="84"/>
          <w:highlight w:val="none"/>
        </w:rPr>
      </w:pPr>
      <w:r>
        <w:rPr>
          <w:rFonts w:hint="eastAsia" w:hAnsi="宋体" w:cs="宋体"/>
          <w:b/>
          <w:color w:val="auto"/>
          <w:kern w:val="0"/>
          <w:sz w:val="84"/>
          <w:szCs w:val="84"/>
          <w:highlight w:val="none"/>
        </w:rPr>
        <w:t>竞争性磋商</w:t>
      </w:r>
    </w:p>
    <w:p>
      <w:pPr>
        <w:pStyle w:val="26"/>
        <w:widowControl/>
        <w:adjustRightInd w:val="0"/>
        <w:snapToGrid w:val="0"/>
        <w:spacing w:line="360" w:lineRule="auto"/>
        <w:jc w:val="center"/>
        <w:rPr>
          <w:rFonts w:hAnsi="宋体"/>
          <w:b/>
          <w:bCs/>
          <w:color w:val="auto"/>
          <w:sz w:val="84"/>
          <w:szCs w:val="84"/>
          <w:highlight w:val="none"/>
        </w:rPr>
      </w:pPr>
    </w:p>
    <w:p>
      <w:pPr>
        <w:pStyle w:val="26"/>
        <w:widowControl/>
        <w:adjustRightInd w:val="0"/>
        <w:snapToGrid w:val="0"/>
        <w:spacing w:line="360" w:lineRule="auto"/>
        <w:jc w:val="center"/>
        <w:rPr>
          <w:rFonts w:hAnsi="宋体"/>
          <w:b/>
          <w:bCs/>
          <w:color w:val="auto"/>
          <w:sz w:val="84"/>
          <w:szCs w:val="84"/>
          <w:highlight w:val="none"/>
        </w:rPr>
      </w:pPr>
      <w:r>
        <w:rPr>
          <w:rFonts w:hint="eastAsia" w:hAnsi="宋体" w:cs="宋体"/>
          <w:b/>
          <w:color w:val="auto"/>
          <w:kern w:val="0"/>
          <w:sz w:val="84"/>
          <w:szCs w:val="84"/>
          <w:highlight w:val="none"/>
        </w:rPr>
        <w:t>磋  商</w:t>
      </w:r>
      <w:r>
        <w:rPr>
          <w:rFonts w:hint="eastAsia" w:hAnsi="宋体"/>
          <w:b/>
          <w:bCs/>
          <w:color w:val="auto"/>
          <w:sz w:val="84"/>
          <w:szCs w:val="84"/>
          <w:highlight w:val="none"/>
        </w:rPr>
        <w:t xml:space="preserve">  文  件</w:t>
      </w:r>
    </w:p>
    <w:p>
      <w:pPr>
        <w:pStyle w:val="26"/>
        <w:widowControl/>
        <w:adjustRightInd w:val="0"/>
        <w:snapToGrid w:val="0"/>
        <w:spacing w:line="360" w:lineRule="auto"/>
        <w:jc w:val="center"/>
        <w:rPr>
          <w:rFonts w:hAnsi="宋体"/>
          <w:bCs/>
          <w:color w:val="auto"/>
          <w:sz w:val="52"/>
          <w:szCs w:val="52"/>
          <w:highlight w:val="none"/>
        </w:rPr>
      </w:pPr>
    </w:p>
    <w:p>
      <w:pPr>
        <w:pStyle w:val="26"/>
        <w:widowControl/>
        <w:adjustRightInd w:val="0"/>
        <w:snapToGrid w:val="0"/>
        <w:spacing w:line="360" w:lineRule="auto"/>
        <w:jc w:val="center"/>
        <w:rPr>
          <w:rFonts w:hAnsi="宋体"/>
          <w:bCs/>
          <w:color w:val="auto"/>
          <w:sz w:val="52"/>
          <w:szCs w:val="52"/>
          <w:highlight w:val="none"/>
        </w:rPr>
      </w:pPr>
    </w:p>
    <w:p>
      <w:pPr>
        <w:pStyle w:val="26"/>
        <w:widowControl/>
        <w:adjustRightInd w:val="0"/>
        <w:snapToGrid w:val="0"/>
        <w:spacing w:line="360" w:lineRule="auto"/>
        <w:rPr>
          <w:rFonts w:hAnsi="宋体"/>
          <w:bCs/>
          <w:color w:val="auto"/>
          <w:sz w:val="52"/>
          <w:szCs w:val="52"/>
          <w:highlight w:val="none"/>
        </w:rPr>
      </w:pPr>
    </w:p>
    <w:tbl>
      <w:tblPr>
        <w:tblStyle w:val="52"/>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jc w:val="left"/>
              <w:rPr>
                <w:rFonts w:hint="eastAsia" w:hAnsi="宋体" w:eastAsia="宋体"/>
                <w:b/>
                <w:color w:val="auto"/>
                <w:sz w:val="28"/>
                <w:szCs w:val="28"/>
                <w:highlight w:val="none"/>
                <w:lang w:eastAsia="zh-CN"/>
              </w:rPr>
            </w:pPr>
            <w:r>
              <w:rPr>
                <w:rFonts w:hint="eastAsia" w:hAnsi="宋体"/>
                <w:b/>
                <w:color w:val="auto"/>
                <w:sz w:val="28"/>
                <w:szCs w:val="28"/>
                <w:highlight w:val="none"/>
                <w:lang w:eastAsia="zh-CN"/>
              </w:rPr>
              <w:t>YXCG-20220622</w:t>
            </w:r>
          </w:p>
        </w:tc>
      </w:tr>
      <w:tr>
        <w:tblPrEx>
          <w:tblCellMar>
            <w:top w:w="0" w:type="dxa"/>
            <w:left w:w="108" w:type="dxa"/>
            <w:bottom w:w="0" w:type="dxa"/>
            <w:right w:w="108" w:type="dxa"/>
          </w:tblCellMar>
        </w:tblPrEx>
        <w:trPr>
          <w:trHeight w:val="77" w:hRule="atLeast"/>
        </w:trPr>
        <w:tc>
          <w:tcPr>
            <w:tcW w:w="1951" w:type="dxa"/>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阳江市阳东区第一职业技术学校风雨长廊建设项目</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阳江市阳东区第一职业技术学校</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6"/>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6"/>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广东业信采购招标有限公司</w:t>
            </w:r>
          </w:p>
        </w:tc>
      </w:tr>
    </w:tbl>
    <w:p>
      <w:pPr>
        <w:pStyle w:val="26"/>
        <w:widowControl/>
        <w:adjustRightInd w:val="0"/>
        <w:snapToGrid w:val="0"/>
        <w:spacing w:line="360" w:lineRule="auto"/>
        <w:jc w:val="center"/>
        <w:rPr>
          <w:rFonts w:hAnsi="宋体"/>
          <w:b/>
          <w:bCs/>
          <w:color w:val="auto"/>
          <w:sz w:val="24"/>
          <w:highlight w:val="none"/>
        </w:rPr>
      </w:pPr>
    </w:p>
    <w:p>
      <w:pPr>
        <w:pStyle w:val="26"/>
        <w:widowControl/>
        <w:adjustRightInd w:val="0"/>
        <w:snapToGrid w:val="0"/>
        <w:spacing w:line="360" w:lineRule="auto"/>
        <w:jc w:val="center"/>
        <w:rPr>
          <w:rFonts w:hAnsi="宋体"/>
          <w:b/>
          <w:bCs/>
          <w:color w:val="auto"/>
          <w:sz w:val="24"/>
          <w:highlight w:val="none"/>
        </w:rPr>
      </w:pPr>
      <w:r>
        <w:rPr>
          <w:rFonts w:hint="eastAsia" w:hAnsi="宋体"/>
          <w:b/>
          <w:bCs/>
          <w:color w:val="auto"/>
          <w:sz w:val="24"/>
          <w:highlight w:val="none"/>
        </w:rPr>
        <w:t>二○</w:t>
      </w:r>
      <w:r>
        <w:rPr>
          <w:rFonts w:hint="eastAsia" w:hAnsi="宋体"/>
          <w:b/>
          <w:bCs/>
          <w:color w:val="auto"/>
          <w:sz w:val="24"/>
          <w:highlight w:val="none"/>
          <w:lang w:val="en-US" w:eastAsia="zh-CN"/>
        </w:rPr>
        <w:t>二二</w:t>
      </w:r>
      <w:r>
        <w:rPr>
          <w:rFonts w:hint="eastAsia" w:hAnsi="宋体"/>
          <w:b/>
          <w:bCs/>
          <w:color w:val="auto"/>
          <w:sz w:val="24"/>
          <w:highlight w:val="none"/>
        </w:rPr>
        <w:t>年</w:t>
      </w:r>
      <w:r>
        <w:rPr>
          <w:rFonts w:hint="eastAsia" w:hAnsi="宋体"/>
          <w:b/>
          <w:bCs/>
          <w:color w:val="auto"/>
          <w:sz w:val="24"/>
          <w:highlight w:val="none"/>
          <w:lang w:val="en-US" w:eastAsia="zh-CN"/>
        </w:rPr>
        <w:t>六</w:t>
      </w:r>
      <w:r>
        <w:rPr>
          <w:rFonts w:hint="eastAsia" w:hAnsi="宋体"/>
          <w:b/>
          <w:bCs/>
          <w:color w:val="auto"/>
          <w:sz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21"/>
        </w:numPr>
        <w:spacing w:line="440" w:lineRule="exact"/>
        <w:ind w:left="709" w:hanging="709"/>
        <w:rPr>
          <w:rFonts w:ascii="宋体" w:hAnsi="宋体"/>
          <w:color w:val="auto"/>
          <w:szCs w:val="21"/>
          <w:highlight w:val="none"/>
        </w:rPr>
      </w:pPr>
      <w:r>
        <w:rPr>
          <w:rFonts w:ascii="宋体" w:hAnsi="宋体"/>
          <w:color w:val="auto"/>
          <w:szCs w:val="21"/>
          <w:highlight w:val="none"/>
        </w:rPr>
        <w:t>请供应商特别留意磋商文件上注明的投标截止和开标时间，逾期送达或邮寄送达的磋商</w:t>
      </w:r>
      <w:r>
        <w:rPr>
          <w:rFonts w:hint="eastAsia" w:ascii="宋体" w:hAnsi="宋体"/>
          <w:color w:val="auto"/>
          <w:szCs w:val="21"/>
          <w:highlight w:val="none"/>
        </w:rPr>
        <w:t>响应</w:t>
      </w:r>
      <w:r>
        <w:rPr>
          <w:rFonts w:ascii="宋体" w:hAnsi="宋体"/>
          <w:color w:val="auto"/>
          <w:szCs w:val="21"/>
          <w:highlight w:val="none"/>
        </w:rPr>
        <w:t>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hint="eastAsia" w:ascii="宋体" w:hAnsi="宋体"/>
          <w:color w:val="auto"/>
          <w:szCs w:val="21"/>
          <w:highlight w:val="none"/>
          <w:lang w:val="en-US" w:eastAsia="zh-CN"/>
        </w:rPr>
        <w:t>现场</w:t>
      </w:r>
      <w:r>
        <w:rPr>
          <w:rFonts w:ascii="宋体" w:hAnsi="宋体"/>
          <w:color w:val="auto"/>
          <w:szCs w:val="21"/>
          <w:highlight w:val="none"/>
        </w:rPr>
        <w:t>。</w:t>
      </w:r>
    </w:p>
    <w:p>
      <w:pPr>
        <w:numPr>
          <w:ilvl w:val="0"/>
          <w:numId w:val="21"/>
        </w:numPr>
        <w:spacing w:line="440" w:lineRule="exact"/>
        <w:ind w:left="709" w:hanging="709"/>
        <w:rPr>
          <w:rFonts w:ascii="宋体" w:hAnsi="宋体"/>
          <w:color w:val="auto"/>
          <w:szCs w:val="21"/>
          <w:highlight w:val="none"/>
        </w:rPr>
      </w:pPr>
      <w:r>
        <w:rPr>
          <w:rFonts w:ascii="宋体" w:hAnsi="宋体"/>
          <w:b/>
          <w:color w:val="auto"/>
          <w:szCs w:val="21"/>
          <w:highlight w:val="none"/>
          <w:u w:val="single"/>
        </w:rPr>
        <w:t>磋商文件中标有“★”的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21"/>
        </w:numPr>
        <w:spacing w:line="440" w:lineRule="exact"/>
        <w:ind w:left="709" w:hanging="709"/>
        <w:rPr>
          <w:rFonts w:ascii="宋体" w:hAnsi="宋体"/>
          <w:color w:val="auto"/>
          <w:szCs w:val="21"/>
          <w:highlight w:val="none"/>
        </w:rPr>
      </w:pPr>
      <w:r>
        <w:rPr>
          <w:rFonts w:ascii="宋体" w:hAnsi="宋体"/>
          <w:color w:val="auto"/>
          <w:szCs w:val="21"/>
          <w:highlight w:val="none"/>
        </w:rPr>
        <w:t>请仔细检查《磋商邀请函》、</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Cs/>
          <w:color w:val="auto"/>
          <w:szCs w:val="21"/>
          <w:highlight w:val="none"/>
        </w:rPr>
        <w:t>。</w:t>
      </w:r>
    </w:p>
    <w:p>
      <w:pPr>
        <w:numPr>
          <w:ilvl w:val="0"/>
          <w:numId w:val="21"/>
        </w:numPr>
        <w:spacing w:line="440" w:lineRule="exact"/>
        <w:ind w:left="709" w:hanging="709"/>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w:t>
      </w:r>
      <w:r>
        <w:rPr>
          <w:rFonts w:hint="eastAsia" w:ascii="宋体" w:hAnsi="宋体"/>
          <w:color w:val="auto"/>
          <w:szCs w:val="21"/>
          <w:highlight w:val="none"/>
        </w:rPr>
        <w:t>促进中小企业发展暂行办法》）。</w:t>
      </w:r>
    </w:p>
    <w:p>
      <w:pPr>
        <w:numPr>
          <w:ilvl w:val="0"/>
          <w:numId w:val="21"/>
        </w:numPr>
        <w:spacing w:line="440" w:lineRule="exact"/>
        <w:ind w:left="709" w:hanging="709"/>
        <w:rPr>
          <w:rFonts w:ascii="宋体" w:hAnsi="宋体"/>
          <w:color w:val="auto"/>
          <w:szCs w:val="21"/>
          <w:highlight w:val="none"/>
        </w:rPr>
      </w:pPr>
      <w:r>
        <w:rPr>
          <w:rFonts w:ascii="宋体" w:hAnsi="宋体"/>
          <w:color w:val="auto"/>
          <w:szCs w:val="21"/>
          <w:highlight w:val="none"/>
        </w:rPr>
        <w:t>建议将磋商文件按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21"/>
        </w:numPr>
        <w:spacing w:line="440" w:lineRule="exact"/>
        <w:ind w:left="709" w:hanging="709"/>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21"/>
        </w:numPr>
        <w:spacing w:line="440" w:lineRule="exact"/>
        <w:ind w:left="709" w:hanging="709"/>
        <w:rPr>
          <w:rFonts w:ascii="宋体" w:hAnsi="宋体" w:cs="仿宋_GB2312"/>
          <w:b/>
          <w:bCs/>
          <w:color w:val="auto"/>
          <w:szCs w:val="21"/>
          <w:highlight w:val="none"/>
          <w:lang w:val="zh-CN"/>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，务必将保证金按蹉商文件的要求缴纳，招标代理服务费存入蹉商文件指定的服务费账户。切勿将款项转错账户，以免影响采购活动。</w:t>
      </w:r>
    </w:p>
    <w:p>
      <w:pPr>
        <w:numPr>
          <w:ilvl w:val="0"/>
          <w:numId w:val="21"/>
        </w:numPr>
        <w:spacing w:line="440" w:lineRule="exact"/>
        <w:ind w:left="709" w:hanging="709"/>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为采购代理机构，不对供应商购买磋商文件时提交的相关资料的真伪做出判断，如供应商发现相关资料被盗用或复制，建议遵循法律途径解决，追究侵权者责任。对一家供应商递交两份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磋商小组</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6"/>
        <w:widowControl/>
        <w:adjustRightInd w:val="0"/>
        <w:snapToGrid w:val="0"/>
        <w:spacing w:line="440" w:lineRule="exact"/>
        <w:ind w:firstLine="413" w:firstLineChars="196"/>
        <w:rPr>
          <w:rFonts w:hAnsi="宋体"/>
          <w:bCs/>
          <w:color w:val="auto"/>
          <w:sz w:val="30"/>
          <w:szCs w:val="30"/>
          <w:highlight w:val="none"/>
        </w:rPr>
      </w:pPr>
      <w:r>
        <w:rPr>
          <w:rFonts w:hint="eastAsia" w:hAnsi="宋体" w:cs="仿宋_GB2312"/>
          <w:b/>
          <w:bCs/>
          <w:color w:val="auto"/>
          <w:highlight w:val="none"/>
          <w:lang w:val="zh-CN"/>
        </w:rPr>
        <w:t>（本提示内容非磋商文件的组成部分，仅为善意提醒。如有不一致，以磋商文件为准。）</w:t>
      </w:r>
    </w:p>
    <w:p>
      <w:pPr>
        <w:pStyle w:val="26"/>
        <w:widowControl/>
        <w:adjustRightInd w:val="0"/>
        <w:snapToGrid w:val="0"/>
        <w:spacing w:line="360" w:lineRule="auto"/>
        <w:jc w:val="center"/>
        <w:rPr>
          <w:rFonts w:hAnsi="宋体"/>
          <w:bCs/>
          <w:color w:val="auto"/>
          <w:sz w:val="30"/>
          <w:szCs w:val="30"/>
          <w:highlight w:val="none"/>
        </w:rPr>
        <w:sectPr>
          <w:headerReference r:id="rId3" w:type="default"/>
          <w:footerReference r:id="rId4" w:type="default"/>
          <w:footerReference r:id="rId5" w:type="even"/>
          <w:type w:val="continuous"/>
          <w:pgSz w:w="11907" w:h="16840"/>
          <w:pgMar w:top="1985" w:right="1932" w:bottom="1418" w:left="1474" w:header="851" w:footer="851" w:gutter="0"/>
          <w:cols w:space="720" w:num="1"/>
          <w:titlePg/>
          <w:docGrid w:linePitch="380" w:charSpace="-5735"/>
        </w:sectPr>
      </w:pPr>
    </w:p>
    <w:p>
      <w:pPr>
        <w:tabs>
          <w:tab w:val="left" w:pos="2400"/>
          <w:tab w:val="center" w:pos="4479"/>
        </w:tabs>
        <w:jc w:val="left"/>
        <w:rPr>
          <w:rFonts w:ascii="宋体" w:hAnsi="宋体"/>
          <w:bCs/>
          <w:color w:val="auto"/>
          <w:szCs w:val="21"/>
          <w:highlight w:val="none"/>
        </w:rPr>
      </w:pPr>
      <w:r>
        <w:rPr>
          <w:rFonts w:ascii="宋体" w:hAnsi="宋体"/>
          <w:bCs/>
          <w:color w:val="auto"/>
          <w:szCs w:val="21"/>
          <w:highlight w:val="none"/>
        </w:rPr>
        <w:tab/>
      </w:r>
      <w:r>
        <w:rPr>
          <w:rFonts w:ascii="宋体" w:hAnsi="宋体"/>
          <w:bCs/>
          <w:color w:val="auto"/>
          <w:szCs w:val="21"/>
          <w:highlight w:val="none"/>
        </w:rPr>
        <w:tab/>
      </w: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p>
    <w:p>
      <w:pPr>
        <w:tabs>
          <w:tab w:val="left" w:pos="2400"/>
          <w:tab w:val="center" w:pos="4479"/>
        </w:tabs>
        <w:jc w:val="center"/>
        <w:rPr>
          <w:rFonts w:ascii="宋体" w:hAnsi="宋体"/>
          <w:b/>
          <w:bCs/>
          <w:color w:val="auto"/>
          <w:sz w:val="32"/>
          <w:szCs w:val="32"/>
          <w:highlight w:val="none"/>
        </w:rPr>
      </w:pPr>
      <w:r>
        <w:rPr>
          <w:rFonts w:hint="eastAsia" w:ascii="宋体" w:hAnsi="宋体"/>
          <w:b/>
          <w:bCs/>
          <w:color w:val="auto"/>
          <w:sz w:val="32"/>
          <w:szCs w:val="32"/>
          <w:highlight w:val="none"/>
        </w:rPr>
        <w:t>目   录</w:t>
      </w:r>
    </w:p>
    <w:p>
      <w:pPr>
        <w:pStyle w:val="34"/>
        <w:tabs>
          <w:tab w:val="right" w:leader="dot" w:pos="8959"/>
          <w:tab w:val="clear" w:pos="8949"/>
        </w:tabs>
        <w:rPr>
          <w:color w:val="auto"/>
          <w:highlight w:val="none"/>
        </w:rPr>
      </w:pPr>
      <w:r>
        <w:rPr>
          <w:rFonts w:ascii="宋体" w:hAnsi="宋体"/>
          <w:b w:val="0"/>
          <w:bCs w:val="0"/>
          <w:caps w:val="0"/>
          <w:color w:val="auto"/>
          <w:highlight w:val="none"/>
        </w:rPr>
        <w:fldChar w:fldCharType="begin"/>
      </w:r>
      <w:r>
        <w:rPr>
          <w:rFonts w:ascii="宋体" w:hAnsi="宋体"/>
          <w:b w:val="0"/>
          <w:bCs w:val="0"/>
          <w:caps w:val="0"/>
          <w:color w:val="auto"/>
          <w:highlight w:val="none"/>
        </w:rPr>
        <w:instrText xml:space="preserve"> TOC \o "1-3" \h \z \u </w:instrText>
      </w:r>
      <w:r>
        <w:rPr>
          <w:rFonts w:ascii="宋体" w:hAnsi="宋体"/>
          <w:b w:val="0"/>
          <w:bCs w:val="0"/>
          <w:caps w:val="0"/>
          <w:color w:val="auto"/>
          <w:highlight w:val="none"/>
        </w:rPr>
        <w:fldChar w:fldCharType="separate"/>
      </w:r>
      <w:r>
        <w:rPr>
          <w:rFonts w:ascii="宋体" w:hAnsi="宋体"/>
          <w:bCs w:val="0"/>
          <w:caps w:val="0"/>
          <w:color w:val="auto"/>
          <w:highlight w:val="none"/>
        </w:rPr>
        <w:fldChar w:fldCharType="begin"/>
      </w:r>
      <w:r>
        <w:rPr>
          <w:rFonts w:ascii="宋体" w:hAnsi="宋体"/>
          <w:bCs w:val="0"/>
          <w:caps w:val="0"/>
          <w:color w:val="auto"/>
          <w:highlight w:val="none"/>
        </w:rPr>
        <w:instrText xml:space="preserve"> HYPERLINK \l _Toc15008 </w:instrText>
      </w:r>
      <w:r>
        <w:rPr>
          <w:rFonts w:ascii="宋体" w:hAnsi="宋体"/>
          <w:bCs w:val="0"/>
          <w:caps w:val="0"/>
          <w:color w:val="auto"/>
          <w:highlight w:val="none"/>
        </w:rPr>
        <w:fldChar w:fldCharType="separate"/>
      </w:r>
      <w:r>
        <w:rPr>
          <w:rFonts w:hint="eastAsia" w:ascii="宋体" w:hAnsi="宋体" w:eastAsia="宋体"/>
          <w:color w:val="auto"/>
          <w:highlight w:val="none"/>
        </w:rPr>
        <w:t>第一部分 竞争性磋商邀请书</w:t>
      </w:r>
      <w:r>
        <w:rPr>
          <w:color w:val="auto"/>
          <w:highlight w:val="none"/>
        </w:rPr>
        <w:tab/>
      </w:r>
      <w:r>
        <w:rPr>
          <w:color w:val="auto"/>
          <w:highlight w:val="none"/>
        </w:rPr>
        <w:fldChar w:fldCharType="begin"/>
      </w:r>
      <w:r>
        <w:rPr>
          <w:color w:val="auto"/>
          <w:highlight w:val="none"/>
        </w:rPr>
        <w:instrText xml:space="preserve"> PAGEREF _Toc15008 \h </w:instrText>
      </w:r>
      <w:r>
        <w:rPr>
          <w:color w:val="auto"/>
          <w:highlight w:val="none"/>
        </w:rPr>
        <w:fldChar w:fldCharType="separate"/>
      </w:r>
      <w:r>
        <w:rPr>
          <w:color w:val="auto"/>
          <w:highlight w:val="none"/>
        </w:rPr>
        <w:t>4</w:t>
      </w:r>
      <w:r>
        <w:rPr>
          <w:color w:val="auto"/>
          <w:highlight w:val="none"/>
        </w:rPr>
        <w:fldChar w:fldCharType="end"/>
      </w:r>
      <w:r>
        <w:rPr>
          <w:rFonts w:ascii="宋体" w:hAnsi="宋体"/>
          <w:bCs w:val="0"/>
          <w:caps w:val="0"/>
          <w:color w:val="auto"/>
          <w:highlight w:val="none"/>
        </w:rPr>
        <w:fldChar w:fldCharType="end"/>
      </w:r>
    </w:p>
    <w:p>
      <w:pPr>
        <w:pStyle w:val="34"/>
        <w:tabs>
          <w:tab w:val="right" w:leader="dot" w:pos="8959"/>
          <w:tab w:val="clear" w:pos="8949"/>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_Toc22228 </w:instrText>
      </w:r>
      <w:r>
        <w:rPr>
          <w:rFonts w:ascii="宋体" w:hAnsi="宋体"/>
          <w:bCs/>
          <w:caps/>
          <w:color w:val="auto"/>
          <w:szCs w:val="21"/>
          <w:highlight w:val="none"/>
        </w:rPr>
        <w:fldChar w:fldCharType="separate"/>
      </w:r>
      <w:r>
        <w:rPr>
          <w:rFonts w:hint="eastAsia" w:ascii="宋体" w:hAnsi="宋体" w:eastAsia="宋体"/>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_Toc22228 \h </w:instrText>
      </w:r>
      <w:r>
        <w:rPr>
          <w:color w:val="auto"/>
          <w:highlight w:val="none"/>
        </w:rPr>
        <w:fldChar w:fldCharType="separate"/>
      </w:r>
      <w:r>
        <w:rPr>
          <w:color w:val="auto"/>
          <w:highlight w:val="none"/>
        </w:rPr>
        <w:t>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_Toc6653 </w:instrText>
      </w:r>
      <w:r>
        <w:rPr>
          <w:rFonts w:ascii="宋体" w:hAnsi="宋体"/>
          <w:bCs/>
          <w:caps/>
          <w:color w:val="auto"/>
          <w:szCs w:val="21"/>
          <w:highlight w:val="none"/>
        </w:rPr>
        <w:fldChar w:fldCharType="separate"/>
      </w:r>
      <w:r>
        <w:rPr>
          <w:rFonts w:hint="eastAsia" w:ascii="宋体" w:hAnsi="宋体"/>
          <w:color w:val="auto"/>
          <w:szCs w:val="21"/>
          <w:highlight w:val="none"/>
        </w:rPr>
        <w:t>项目编号：</w:t>
      </w:r>
      <w:r>
        <w:rPr>
          <w:rFonts w:hint="eastAsia" w:ascii="宋体" w:hAnsi="宋体"/>
          <w:color w:val="auto"/>
          <w:szCs w:val="21"/>
          <w:highlight w:val="none"/>
          <w:lang w:eastAsia="zh-CN"/>
        </w:rPr>
        <w:t>YXCG-20220622</w:t>
      </w:r>
      <w:r>
        <w:rPr>
          <w:color w:val="auto"/>
          <w:highlight w:val="none"/>
        </w:rPr>
        <w:tab/>
      </w:r>
      <w:r>
        <w:rPr>
          <w:color w:val="auto"/>
          <w:highlight w:val="none"/>
        </w:rPr>
        <w:fldChar w:fldCharType="begin"/>
      </w:r>
      <w:r>
        <w:rPr>
          <w:color w:val="auto"/>
          <w:highlight w:val="none"/>
        </w:rPr>
        <w:instrText xml:space="preserve"> PAGEREF _Toc6653 \h </w:instrText>
      </w:r>
      <w:r>
        <w:rPr>
          <w:color w:val="auto"/>
          <w:highlight w:val="none"/>
        </w:rPr>
        <w:fldChar w:fldCharType="separate"/>
      </w:r>
      <w:r>
        <w:rPr>
          <w:color w:val="auto"/>
          <w:highlight w:val="none"/>
        </w:rPr>
        <w:t>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_Toc25888 </w:instrText>
      </w:r>
      <w:r>
        <w:rPr>
          <w:rFonts w:ascii="宋体" w:hAnsi="宋体"/>
          <w:bCs/>
          <w:caps/>
          <w:color w:val="auto"/>
          <w:szCs w:val="21"/>
          <w:highlight w:val="none"/>
        </w:rPr>
        <w:fldChar w:fldCharType="separate"/>
      </w:r>
      <w:r>
        <w:rPr>
          <w:rFonts w:hint="eastAsia" w:ascii="宋体" w:hAnsi="宋体"/>
          <w:color w:val="auto"/>
          <w:szCs w:val="21"/>
          <w:highlight w:val="none"/>
        </w:rPr>
        <w:t>项目名称：</w:t>
      </w:r>
      <w:r>
        <w:rPr>
          <w:rFonts w:hint="eastAsia"/>
          <w:color w:val="auto"/>
          <w:szCs w:val="21"/>
          <w:highlight w:val="none"/>
          <w:lang w:eastAsia="zh-CN"/>
        </w:rPr>
        <w:t>阳江市阳东区第一职业技术学校风雨长廊建设项目</w:t>
      </w:r>
      <w:r>
        <w:rPr>
          <w:color w:val="auto"/>
          <w:highlight w:val="none"/>
        </w:rPr>
        <w:tab/>
      </w:r>
      <w:r>
        <w:rPr>
          <w:color w:val="auto"/>
          <w:highlight w:val="none"/>
        </w:rPr>
        <w:fldChar w:fldCharType="begin"/>
      </w:r>
      <w:r>
        <w:rPr>
          <w:color w:val="auto"/>
          <w:highlight w:val="none"/>
        </w:rPr>
        <w:instrText xml:space="preserve"> PAGEREF _Toc25888 \h </w:instrText>
      </w:r>
      <w:r>
        <w:rPr>
          <w:color w:val="auto"/>
          <w:highlight w:val="none"/>
        </w:rPr>
        <w:fldChar w:fldCharType="separate"/>
      </w:r>
      <w:r>
        <w:rPr>
          <w:color w:val="auto"/>
          <w:highlight w:val="none"/>
        </w:rPr>
        <w:t>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_Toc29201 </w:instrText>
      </w:r>
      <w:r>
        <w:rPr>
          <w:rFonts w:ascii="宋体" w:hAnsi="宋体"/>
          <w:bCs/>
          <w:caps/>
          <w:color w:val="auto"/>
          <w:szCs w:val="21"/>
          <w:highlight w:val="none"/>
        </w:rPr>
        <w:fldChar w:fldCharType="separate"/>
      </w:r>
      <w:r>
        <w:rPr>
          <w:rFonts w:ascii="宋体" w:hAnsi="宋体"/>
          <w:color w:val="auto"/>
          <w:kern w:val="0"/>
          <w:highlight w:val="none"/>
        </w:rPr>
        <w:t xml:space="preserve">A  </w:t>
      </w:r>
      <w:r>
        <w:rPr>
          <w:rFonts w:hint="eastAsia" w:ascii="宋体" w:hAnsi="宋体"/>
          <w:color w:val="auto"/>
          <w:kern w:val="0"/>
          <w:highlight w:val="none"/>
        </w:rPr>
        <w:t>商务要求</w:t>
      </w:r>
      <w:r>
        <w:rPr>
          <w:color w:val="auto"/>
          <w:highlight w:val="none"/>
        </w:rPr>
        <w:tab/>
      </w:r>
      <w:r>
        <w:rPr>
          <w:color w:val="auto"/>
          <w:highlight w:val="none"/>
        </w:rPr>
        <w:fldChar w:fldCharType="begin"/>
      </w:r>
      <w:r>
        <w:rPr>
          <w:color w:val="auto"/>
          <w:highlight w:val="none"/>
        </w:rPr>
        <w:instrText xml:space="preserve"> PAGEREF _Toc29201 \h </w:instrText>
      </w:r>
      <w:r>
        <w:rPr>
          <w:color w:val="auto"/>
          <w:highlight w:val="none"/>
        </w:rPr>
        <w:fldChar w:fldCharType="separate"/>
      </w:r>
      <w:r>
        <w:rPr>
          <w:color w:val="auto"/>
          <w:highlight w:val="none"/>
        </w:rPr>
        <w:t>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_Toc15268 </w:instrText>
      </w:r>
      <w:r>
        <w:rPr>
          <w:rFonts w:ascii="宋体" w:hAnsi="宋体"/>
          <w:bCs/>
          <w:caps/>
          <w:color w:val="auto"/>
          <w:szCs w:val="21"/>
          <w:highlight w:val="none"/>
        </w:rPr>
        <w:fldChar w:fldCharType="separate"/>
      </w:r>
      <w:r>
        <w:rPr>
          <w:rFonts w:hint="eastAsia" w:ascii="宋体" w:hAnsi="宋体"/>
          <w:color w:val="auto"/>
          <w:kern w:val="0"/>
          <w:highlight w:val="none"/>
        </w:rPr>
        <w:t>B  技术要求</w:t>
      </w:r>
      <w:r>
        <w:rPr>
          <w:color w:val="auto"/>
          <w:highlight w:val="none"/>
        </w:rPr>
        <w:tab/>
      </w:r>
      <w:r>
        <w:rPr>
          <w:color w:val="auto"/>
          <w:highlight w:val="none"/>
        </w:rPr>
        <w:fldChar w:fldCharType="begin"/>
      </w:r>
      <w:r>
        <w:rPr>
          <w:color w:val="auto"/>
          <w:highlight w:val="none"/>
        </w:rPr>
        <w:instrText xml:space="preserve"> PAGEREF _Toc15268 \h </w:instrText>
      </w:r>
      <w:r>
        <w:rPr>
          <w:color w:val="auto"/>
          <w:highlight w:val="none"/>
        </w:rPr>
        <w:fldChar w:fldCharType="separate"/>
      </w:r>
      <w:r>
        <w:rPr>
          <w:color w:val="auto"/>
          <w:highlight w:val="none"/>
        </w:rPr>
        <w:t>9</w:t>
      </w:r>
      <w:r>
        <w:rPr>
          <w:color w:val="auto"/>
          <w:highlight w:val="none"/>
        </w:rPr>
        <w:fldChar w:fldCharType="end"/>
      </w:r>
      <w:r>
        <w:rPr>
          <w:rFonts w:ascii="宋体" w:hAnsi="宋体"/>
          <w:bCs/>
          <w:caps/>
          <w:color w:val="auto"/>
          <w:szCs w:val="21"/>
          <w:highlight w:val="none"/>
        </w:rPr>
        <w:fldChar w:fldCharType="end"/>
      </w:r>
    </w:p>
    <w:p>
      <w:pPr>
        <w:pStyle w:val="34"/>
        <w:tabs>
          <w:tab w:val="right" w:leader="dot" w:pos="8959"/>
          <w:tab w:val="clear" w:pos="8949"/>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_Toc7013 </w:instrText>
      </w:r>
      <w:r>
        <w:rPr>
          <w:rFonts w:ascii="宋体" w:hAnsi="宋体"/>
          <w:bCs/>
          <w:caps/>
          <w:color w:val="auto"/>
          <w:szCs w:val="21"/>
          <w:highlight w:val="none"/>
        </w:rPr>
        <w:fldChar w:fldCharType="separate"/>
      </w:r>
      <w:r>
        <w:rPr>
          <w:rFonts w:hint="eastAsia" w:ascii="宋体" w:hAnsi="宋体" w:eastAsia="宋体"/>
          <w:color w:val="auto"/>
          <w:szCs w:val="21"/>
          <w:highlight w:val="none"/>
        </w:rPr>
        <w:t>第三部分 磋商须知</w:t>
      </w:r>
      <w:r>
        <w:rPr>
          <w:color w:val="auto"/>
          <w:highlight w:val="none"/>
        </w:rPr>
        <w:tab/>
      </w:r>
      <w:r>
        <w:rPr>
          <w:color w:val="auto"/>
          <w:highlight w:val="none"/>
        </w:rPr>
        <w:fldChar w:fldCharType="begin"/>
      </w:r>
      <w:r>
        <w:rPr>
          <w:color w:val="auto"/>
          <w:highlight w:val="none"/>
        </w:rPr>
        <w:instrText xml:space="preserve"> PAGEREF _Toc7013 \h </w:instrText>
      </w:r>
      <w:r>
        <w:rPr>
          <w:color w:val="auto"/>
          <w:highlight w:val="none"/>
        </w:rPr>
        <w:fldChar w:fldCharType="separate"/>
      </w:r>
      <w:r>
        <w:rPr>
          <w:color w:val="auto"/>
          <w:highlight w:val="none"/>
        </w:rPr>
        <w:t>11</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_Toc23973 </w:instrText>
      </w:r>
      <w:r>
        <w:rPr>
          <w:rFonts w:ascii="宋体" w:hAnsi="宋体"/>
          <w:bCs/>
          <w:caps/>
          <w:color w:val="auto"/>
          <w:szCs w:val="21"/>
          <w:highlight w:val="none"/>
        </w:rPr>
        <w:fldChar w:fldCharType="separate"/>
      </w:r>
      <w:r>
        <w:rPr>
          <w:rFonts w:hint="eastAsia" w:ascii="宋体" w:hAnsi="宋体"/>
          <w:color w:val="auto"/>
          <w:szCs w:val="21"/>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_Toc23973 \h </w:instrText>
      </w:r>
      <w:r>
        <w:rPr>
          <w:color w:val="auto"/>
          <w:highlight w:val="none"/>
        </w:rPr>
        <w:fldChar w:fldCharType="separate"/>
      </w:r>
      <w:r>
        <w:rPr>
          <w:color w:val="auto"/>
          <w:highlight w:val="none"/>
        </w:rPr>
        <w:t>11</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_Toc28038 </w:instrText>
      </w:r>
      <w:r>
        <w:rPr>
          <w:rFonts w:ascii="宋体" w:hAnsi="宋体"/>
          <w:bCs/>
          <w:caps/>
          <w:color w:val="auto"/>
          <w:szCs w:val="21"/>
          <w:highlight w:val="none"/>
        </w:rPr>
        <w:fldChar w:fldCharType="separate"/>
      </w:r>
      <w:r>
        <w:rPr>
          <w:rFonts w:hint="eastAsia" w:hAnsi="宋体"/>
          <w:color w:val="auto"/>
          <w:highlight w:val="none"/>
        </w:rPr>
        <w:t>一、说  明</w:t>
      </w:r>
      <w:r>
        <w:rPr>
          <w:color w:val="auto"/>
          <w:highlight w:val="none"/>
        </w:rPr>
        <w:tab/>
      </w:r>
      <w:r>
        <w:rPr>
          <w:color w:val="auto"/>
          <w:highlight w:val="none"/>
        </w:rPr>
        <w:fldChar w:fldCharType="begin"/>
      </w:r>
      <w:r>
        <w:rPr>
          <w:color w:val="auto"/>
          <w:highlight w:val="none"/>
        </w:rPr>
        <w:instrText xml:space="preserve"> PAGEREF _Toc28038 \h </w:instrText>
      </w:r>
      <w:r>
        <w:rPr>
          <w:color w:val="auto"/>
          <w:highlight w:val="none"/>
        </w:rPr>
        <w:fldChar w:fldCharType="separate"/>
      </w:r>
      <w:r>
        <w:rPr>
          <w:color w:val="auto"/>
          <w:highlight w:val="none"/>
        </w:rPr>
        <w:t>12</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_Toc2162 </w:instrText>
      </w:r>
      <w:r>
        <w:rPr>
          <w:rFonts w:ascii="宋体" w:hAnsi="宋体"/>
          <w:bCs/>
          <w:caps/>
          <w:color w:val="auto"/>
          <w:szCs w:val="21"/>
          <w:highlight w:val="none"/>
        </w:rPr>
        <w:fldChar w:fldCharType="separate"/>
      </w:r>
      <w:r>
        <w:rPr>
          <w:rFonts w:hint="eastAsia" w:hAnsi="宋体"/>
          <w:color w:val="auto"/>
          <w:highlight w:val="none"/>
        </w:rPr>
        <w:t>二、磋商文件</w:t>
      </w:r>
      <w:r>
        <w:rPr>
          <w:color w:val="auto"/>
          <w:highlight w:val="none"/>
        </w:rPr>
        <w:tab/>
      </w:r>
      <w:r>
        <w:rPr>
          <w:color w:val="auto"/>
          <w:highlight w:val="none"/>
        </w:rPr>
        <w:fldChar w:fldCharType="begin"/>
      </w:r>
      <w:r>
        <w:rPr>
          <w:color w:val="auto"/>
          <w:highlight w:val="none"/>
        </w:rPr>
        <w:instrText xml:space="preserve"> PAGEREF _Toc2162 \h </w:instrText>
      </w:r>
      <w:r>
        <w:rPr>
          <w:color w:val="auto"/>
          <w:highlight w:val="none"/>
        </w:rPr>
        <w:fldChar w:fldCharType="separate"/>
      </w:r>
      <w:r>
        <w:rPr>
          <w:color w:val="auto"/>
          <w:highlight w:val="none"/>
        </w:rPr>
        <w:t>12</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_Toc11446 </w:instrText>
      </w:r>
      <w:r>
        <w:rPr>
          <w:rFonts w:ascii="宋体" w:hAnsi="宋体"/>
          <w:bCs/>
          <w:caps/>
          <w:color w:val="auto"/>
          <w:szCs w:val="21"/>
          <w:highlight w:val="none"/>
        </w:rPr>
        <w:fldChar w:fldCharType="separate"/>
      </w:r>
      <w:r>
        <w:rPr>
          <w:rFonts w:hint="eastAsia" w:hAnsi="宋体"/>
          <w:color w:val="auto"/>
          <w:highlight w:val="none"/>
        </w:rPr>
        <w:t>三、响应文件的编制</w:t>
      </w:r>
      <w:r>
        <w:rPr>
          <w:color w:val="auto"/>
          <w:highlight w:val="none"/>
        </w:rPr>
        <w:tab/>
      </w:r>
      <w:r>
        <w:rPr>
          <w:color w:val="auto"/>
          <w:highlight w:val="none"/>
        </w:rPr>
        <w:fldChar w:fldCharType="begin"/>
      </w:r>
      <w:r>
        <w:rPr>
          <w:color w:val="auto"/>
          <w:highlight w:val="none"/>
        </w:rPr>
        <w:instrText xml:space="preserve"> PAGEREF _Toc11446 \h </w:instrText>
      </w:r>
      <w:r>
        <w:rPr>
          <w:color w:val="auto"/>
          <w:highlight w:val="none"/>
        </w:rPr>
        <w:fldChar w:fldCharType="separate"/>
      </w:r>
      <w:r>
        <w:rPr>
          <w:color w:val="auto"/>
          <w:highlight w:val="none"/>
        </w:rPr>
        <w:t>13</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_Toc8898 </w:instrText>
      </w:r>
      <w:r>
        <w:rPr>
          <w:rFonts w:ascii="宋体" w:hAnsi="宋体"/>
          <w:bCs/>
          <w:caps/>
          <w:color w:val="auto"/>
          <w:szCs w:val="21"/>
          <w:highlight w:val="none"/>
        </w:rPr>
        <w:fldChar w:fldCharType="separate"/>
      </w:r>
      <w:r>
        <w:rPr>
          <w:rFonts w:hint="eastAsia" w:hAnsi="宋体"/>
          <w:color w:val="auto"/>
          <w:highlight w:val="none"/>
        </w:rPr>
        <w:t>四、磋商报价要求和供应商资格证明文件的要求</w:t>
      </w:r>
      <w:r>
        <w:rPr>
          <w:color w:val="auto"/>
          <w:highlight w:val="none"/>
        </w:rPr>
        <w:tab/>
      </w:r>
      <w:r>
        <w:rPr>
          <w:color w:val="auto"/>
          <w:highlight w:val="none"/>
        </w:rPr>
        <w:fldChar w:fldCharType="begin"/>
      </w:r>
      <w:r>
        <w:rPr>
          <w:color w:val="auto"/>
          <w:highlight w:val="none"/>
        </w:rPr>
        <w:instrText xml:space="preserve"> PAGEREF _Toc8898 \h </w:instrText>
      </w:r>
      <w:r>
        <w:rPr>
          <w:color w:val="auto"/>
          <w:highlight w:val="none"/>
        </w:rPr>
        <w:fldChar w:fldCharType="separate"/>
      </w:r>
      <w:r>
        <w:rPr>
          <w:color w:val="auto"/>
          <w:highlight w:val="none"/>
        </w:rPr>
        <w:t>13</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_Toc4677 </w:instrText>
      </w:r>
      <w:r>
        <w:rPr>
          <w:rFonts w:ascii="宋体" w:hAnsi="宋体"/>
          <w:bCs/>
          <w:caps/>
          <w:color w:val="auto"/>
          <w:szCs w:val="21"/>
          <w:highlight w:val="none"/>
        </w:rPr>
        <w:fldChar w:fldCharType="separate"/>
      </w:r>
      <w:r>
        <w:rPr>
          <w:rFonts w:hint="eastAsia" w:hAnsi="宋体"/>
          <w:color w:val="auto"/>
          <w:highlight w:val="none"/>
        </w:rPr>
        <w:t>五、保证金</w:t>
      </w:r>
      <w:r>
        <w:rPr>
          <w:color w:val="auto"/>
          <w:highlight w:val="none"/>
        </w:rPr>
        <w:tab/>
      </w:r>
      <w:r>
        <w:rPr>
          <w:color w:val="auto"/>
          <w:highlight w:val="none"/>
        </w:rPr>
        <w:fldChar w:fldCharType="begin"/>
      </w:r>
      <w:r>
        <w:rPr>
          <w:color w:val="auto"/>
          <w:highlight w:val="none"/>
        </w:rPr>
        <w:instrText xml:space="preserve"> PAGEREF _Toc4677 \h </w:instrText>
      </w:r>
      <w:r>
        <w:rPr>
          <w:color w:val="auto"/>
          <w:highlight w:val="none"/>
        </w:rPr>
        <w:fldChar w:fldCharType="separate"/>
      </w:r>
      <w:r>
        <w:rPr>
          <w:color w:val="auto"/>
          <w:highlight w:val="none"/>
        </w:rPr>
        <w:t>14</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_Toc8251 </w:instrText>
      </w:r>
      <w:r>
        <w:rPr>
          <w:rFonts w:ascii="宋体" w:hAnsi="宋体"/>
          <w:bCs/>
          <w:caps/>
          <w:color w:val="auto"/>
          <w:szCs w:val="21"/>
          <w:highlight w:val="none"/>
        </w:rPr>
        <w:fldChar w:fldCharType="separate"/>
      </w:r>
      <w:r>
        <w:rPr>
          <w:rFonts w:hint="eastAsia" w:hAnsi="宋体"/>
          <w:color w:val="auto"/>
          <w:highlight w:val="none"/>
        </w:rPr>
        <w:t>六、响应文件的份数、封装和递交</w:t>
      </w:r>
      <w:r>
        <w:rPr>
          <w:color w:val="auto"/>
          <w:highlight w:val="none"/>
        </w:rPr>
        <w:tab/>
      </w:r>
      <w:r>
        <w:rPr>
          <w:color w:val="auto"/>
          <w:highlight w:val="none"/>
        </w:rPr>
        <w:fldChar w:fldCharType="begin"/>
      </w:r>
      <w:r>
        <w:rPr>
          <w:color w:val="auto"/>
          <w:highlight w:val="none"/>
        </w:rPr>
        <w:instrText xml:space="preserve"> PAGEREF _Toc8251 \h </w:instrText>
      </w:r>
      <w:r>
        <w:rPr>
          <w:color w:val="auto"/>
          <w:highlight w:val="none"/>
        </w:rPr>
        <w:fldChar w:fldCharType="separate"/>
      </w:r>
      <w:r>
        <w:rPr>
          <w:color w:val="auto"/>
          <w:highlight w:val="none"/>
        </w:rPr>
        <w:t>14</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_Toc11402 </w:instrText>
      </w:r>
      <w:r>
        <w:rPr>
          <w:rFonts w:ascii="宋体" w:hAnsi="宋体"/>
          <w:bCs/>
          <w:caps/>
          <w:color w:val="auto"/>
          <w:szCs w:val="21"/>
          <w:highlight w:val="none"/>
        </w:rPr>
        <w:fldChar w:fldCharType="separate"/>
      </w:r>
      <w:r>
        <w:rPr>
          <w:rFonts w:hint="eastAsia" w:hAnsi="宋体"/>
          <w:color w:val="auto"/>
          <w:highlight w:val="none"/>
        </w:rPr>
        <w:t>七、磋商的步骤</w:t>
      </w:r>
      <w:r>
        <w:rPr>
          <w:color w:val="auto"/>
          <w:highlight w:val="none"/>
        </w:rPr>
        <w:tab/>
      </w:r>
      <w:r>
        <w:rPr>
          <w:color w:val="auto"/>
          <w:highlight w:val="none"/>
        </w:rPr>
        <w:fldChar w:fldCharType="begin"/>
      </w:r>
      <w:r>
        <w:rPr>
          <w:color w:val="auto"/>
          <w:highlight w:val="none"/>
        </w:rPr>
        <w:instrText xml:space="preserve"> PAGEREF _Toc11402 \h </w:instrText>
      </w:r>
      <w:r>
        <w:rPr>
          <w:color w:val="auto"/>
          <w:highlight w:val="none"/>
        </w:rPr>
        <w:fldChar w:fldCharType="separate"/>
      </w:r>
      <w:r>
        <w:rPr>
          <w:color w:val="auto"/>
          <w:highlight w:val="none"/>
        </w:rPr>
        <w:t>14</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_Toc16886 </w:instrText>
      </w:r>
      <w:r>
        <w:rPr>
          <w:rFonts w:ascii="宋体" w:hAnsi="宋体"/>
          <w:bCs/>
          <w:caps/>
          <w:color w:val="auto"/>
          <w:szCs w:val="21"/>
          <w:highlight w:val="none"/>
        </w:rPr>
        <w:fldChar w:fldCharType="separate"/>
      </w:r>
      <w:r>
        <w:rPr>
          <w:rFonts w:hint="eastAsia" w:hAnsi="宋体"/>
          <w:color w:val="auto"/>
          <w:highlight w:val="none"/>
        </w:rPr>
        <w:t>八、确定成交供应商办法</w:t>
      </w:r>
      <w:r>
        <w:rPr>
          <w:color w:val="auto"/>
          <w:highlight w:val="none"/>
        </w:rPr>
        <w:tab/>
      </w:r>
      <w:r>
        <w:rPr>
          <w:color w:val="auto"/>
          <w:highlight w:val="none"/>
        </w:rPr>
        <w:fldChar w:fldCharType="begin"/>
      </w:r>
      <w:r>
        <w:rPr>
          <w:color w:val="auto"/>
          <w:highlight w:val="none"/>
        </w:rPr>
        <w:instrText xml:space="preserve"> PAGEREF _Toc16886 \h </w:instrText>
      </w:r>
      <w:r>
        <w:rPr>
          <w:color w:val="auto"/>
          <w:highlight w:val="none"/>
        </w:rPr>
        <w:fldChar w:fldCharType="separate"/>
      </w:r>
      <w:r>
        <w:rPr>
          <w:color w:val="auto"/>
          <w:highlight w:val="none"/>
        </w:rPr>
        <w:t>16</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_Toc31704 </w:instrText>
      </w:r>
      <w:r>
        <w:rPr>
          <w:rFonts w:ascii="宋体" w:hAnsi="宋体"/>
          <w:bCs/>
          <w:caps/>
          <w:color w:val="auto"/>
          <w:szCs w:val="21"/>
          <w:highlight w:val="none"/>
        </w:rPr>
        <w:fldChar w:fldCharType="separate"/>
      </w:r>
      <w:r>
        <w:rPr>
          <w:rFonts w:hint="eastAsia" w:ascii="宋体" w:hAnsi="宋体"/>
          <w:color w:val="auto"/>
          <w:szCs w:val="21"/>
          <w:highlight w:val="none"/>
        </w:rPr>
        <w:t>九、质疑</w:t>
      </w:r>
      <w:r>
        <w:rPr>
          <w:color w:val="auto"/>
          <w:highlight w:val="none"/>
        </w:rPr>
        <w:tab/>
      </w:r>
      <w:r>
        <w:rPr>
          <w:color w:val="auto"/>
          <w:highlight w:val="none"/>
        </w:rPr>
        <w:fldChar w:fldCharType="begin"/>
      </w:r>
      <w:r>
        <w:rPr>
          <w:color w:val="auto"/>
          <w:highlight w:val="none"/>
        </w:rPr>
        <w:instrText xml:space="preserve"> PAGEREF _Toc31704 \h </w:instrText>
      </w:r>
      <w:r>
        <w:rPr>
          <w:color w:val="auto"/>
          <w:highlight w:val="none"/>
        </w:rPr>
        <w:fldChar w:fldCharType="separate"/>
      </w:r>
      <w:r>
        <w:rPr>
          <w:color w:val="auto"/>
          <w:highlight w:val="none"/>
        </w:rPr>
        <w:t>17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_Toc9264 </w:instrText>
      </w:r>
      <w:r>
        <w:rPr>
          <w:rFonts w:ascii="宋体" w:hAnsi="宋体"/>
          <w:bCs/>
          <w:caps/>
          <w:color w:val="auto"/>
          <w:szCs w:val="21"/>
          <w:highlight w:val="none"/>
        </w:rPr>
        <w:fldChar w:fldCharType="separate"/>
      </w:r>
      <w:r>
        <w:rPr>
          <w:rFonts w:hint="eastAsia" w:ascii="宋体" w:hAnsi="宋体"/>
          <w:color w:val="auto"/>
          <w:szCs w:val="21"/>
          <w:highlight w:val="none"/>
        </w:rPr>
        <w:t>十、成交服务费</w:t>
      </w:r>
      <w:r>
        <w:rPr>
          <w:color w:val="auto"/>
          <w:highlight w:val="none"/>
        </w:rPr>
        <w:tab/>
      </w:r>
      <w:r>
        <w:rPr>
          <w:color w:val="auto"/>
          <w:highlight w:val="none"/>
        </w:rPr>
        <w:fldChar w:fldCharType="begin"/>
      </w:r>
      <w:r>
        <w:rPr>
          <w:color w:val="auto"/>
          <w:highlight w:val="none"/>
        </w:rPr>
        <w:instrText xml:space="preserve"> PAGEREF _Toc9264 \h </w:instrText>
      </w:r>
      <w:r>
        <w:rPr>
          <w:color w:val="auto"/>
          <w:highlight w:val="none"/>
        </w:rPr>
        <w:fldChar w:fldCharType="separate"/>
      </w:r>
      <w:r>
        <w:rPr>
          <w:color w:val="auto"/>
          <w:highlight w:val="none"/>
        </w:rPr>
        <w:t>17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_Toc7137 </w:instrText>
      </w:r>
      <w:r>
        <w:rPr>
          <w:rFonts w:ascii="宋体" w:hAnsi="宋体"/>
          <w:bCs/>
          <w:caps/>
          <w:color w:val="auto"/>
          <w:szCs w:val="21"/>
          <w:highlight w:val="none"/>
        </w:rPr>
        <w:fldChar w:fldCharType="separate"/>
      </w:r>
      <w:r>
        <w:rPr>
          <w:rFonts w:hint="eastAsia" w:ascii="宋体" w:hAnsi="宋体"/>
          <w:color w:val="auto"/>
          <w:szCs w:val="21"/>
          <w:highlight w:val="none"/>
        </w:rPr>
        <w:t>十一、合同的订立和履行</w:t>
      </w:r>
      <w:r>
        <w:rPr>
          <w:color w:val="auto"/>
          <w:highlight w:val="none"/>
        </w:rPr>
        <w:tab/>
      </w:r>
      <w:r>
        <w:rPr>
          <w:color w:val="auto"/>
          <w:highlight w:val="none"/>
        </w:rPr>
        <w:fldChar w:fldCharType="begin"/>
      </w:r>
      <w:r>
        <w:rPr>
          <w:color w:val="auto"/>
          <w:highlight w:val="none"/>
        </w:rPr>
        <w:instrText xml:space="preserve"> PAGEREF _Toc7137 \h </w:instrText>
      </w:r>
      <w:r>
        <w:rPr>
          <w:color w:val="auto"/>
          <w:highlight w:val="none"/>
        </w:rPr>
        <w:fldChar w:fldCharType="separate"/>
      </w:r>
      <w:r>
        <w:rPr>
          <w:color w:val="auto"/>
          <w:highlight w:val="none"/>
        </w:rPr>
        <w:t>17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_Toc19090 </w:instrText>
      </w:r>
      <w:r>
        <w:rPr>
          <w:rFonts w:ascii="宋体" w:hAnsi="宋体"/>
          <w:bCs/>
          <w:caps/>
          <w:color w:val="auto"/>
          <w:szCs w:val="21"/>
          <w:highlight w:val="none"/>
        </w:rPr>
        <w:fldChar w:fldCharType="separate"/>
      </w:r>
      <w:r>
        <w:rPr>
          <w:rFonts w:hint="eastAsia" w:ascii="宋体" w:hAnsi="宋体"/>
          <w:color w:val="auto"/>
          <w:szCs w:val="21"/>
          <w:highlight w:val="none"/>
        </w:rPr>
        <w:t>十二、适用法律</w:t>
      </w:r>
      <w:r>
        <w:rPr>
          <w:color w:val="auto"/>
          <w:highlight w:val="none"/>
        </w:rPr>
        <w:tab/>
      </w:r>
      <w:r>
        <w:rPr>
          <w:color w:val="auto"/>
          <w:highlight w:val="none"/>
        </w:rPr>
        <w:fldChar w:fldCharType="begin"/>
      </w:r>
      <w:r>
        <w:rPr>
          <w:color w:val="auto"/>
          <w:highlight w:val="none"/>
        </w:rPr>
        <w:instrText xml:space="preserve"> PAGEREF _Toc19090 \h </w:instrText>
      </w:r>
      <w:r>
        <w:rPr>
          <w:color w:val="auto"/>
          <w:highlight w:val="none"/>
        </w:rPr>
        <w:fldChar w:fldCharType="separate"/>
      </w:r>
      <w:r>
        <w:rPr>
          <w:color w:val="auto"/>
          <w:highlight w:val="none"/>
        </w:rPr>
        <w:t>17</w:t>
      </w:r>
      <w:r>
        <w:rPr>
          <w:color w:val="auto"/>
          <w:highlight w:val="none"/>
        </w:rPr>
        <w:fldChar w:fldCharType="end"/>
      </w:r>
      <w:r>
        <w:rPr>
          <w:rFonts w:ascii="宋体" w:hAnsi="宋体"/>
          <w:bCs/>
          <w:caps/>
          <w:color w:val="auto"/>
          <w:szCs w:val="21"/>
          <w:highlight w:val="none"/>
        </w:rPr>
        <w:fldChar w:fldCharType="end"/>
      </w:r>
    </w:p>
    <w:p>
      <w:pPr>
        <w:pStyle w:val="34"/>
        <w:tabs>
          <w:tab w:val="right" w:leader="dot" w:pos="8959"/>
          <w:tab w:val="clear" w:pos="8949"/>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_Toc1379 </w:instrText>
      </w:r>
      <w:r>
        <w:rPr>
          <w:rFonts w:ascii="宋体" w:hAnsi="宋体"/>
          <w:bCs/>
          <w:caps/>
          <w:color w:val="auto"/>
          <w:szCs w:val="21"/>
          <w:highlight w:val="none"/>
        </w:rPr>
        <w:fldChar w:fldCharType="separate"/>
      </w:r>
      <w:r>
        <w:rPr>
          <w:color w:val="auto"/>
          <w:highlight w:val="none"/>
        </w:rPr>
        <w:t>第四部分</w:t>
      </w:r>
      <w:r>
        <w:rPr>
          <w:rFonts w:hint="eastAsia"/>
          <w:color w:val="auto"/>
          <w:highlight w:val="none"/>
        </w:rPr>
        <w:t xml:space="preserve">  </w:t>
      </w:r>
      <w:r>
        <w:rPr>
          <w:color w:val="auto"/>
          <w:highlight w:val="none"/>
        </w:rPr>
        <w:t>磋商、评审、成交</w:t>
      </w:r>
      <w:r>
        <w:rPr>
          <w:color w:val="auto"/>
          <w:highlight w:val="none"/>
        </w:rPr>
        <w:tab/>
      </w:r>
      <w:r>
        <w:rPr>
          <w:color w:val="auto"/>
          <w:highlight w:val="none"/>
        </w:rPr>
        <w:fldChar w:fldCharType="begin"/>
      </w:r>
      <w:r>
        <w:rPr>
          <w:color w:val="auto"/>
          <w:highlight w:val="none"/>
        </w:rPr>
        <w:instrText xml:space="preserve"> PAGEREF _Toc1379 \h </w:instrText>
      </w:r>
      <w:r>
        <w:rPr>
          <w:color w:val="auto"/>
          <w:highlight w:val="none"/>
        </w:rPr>
        <w:fldChar w:fldCharType="separate"/>
      </w:r>
      <w:r>
        <w:rPr>
          <w:color w:val="auto"/>
          <w:highlight w:val="none"/>
        </w:rPr>
        <w:t>18</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_Toc10167 </w:instrText>
      </w:r>
      <w:r>
        <w:rPr>
          <w:rFonts w:ascii="宋体" w:hAnsi="宋体"/>
          <w:bCs/>
          <w:caps/>
          <w:color w:val="auto"/>
          <w:szCs w:val="21"/>
          <w:highlight w:val="none"/>
        </w:rPr>
        <w:fldChar w:fldCharType="separate"/>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_Toc10167 \h </w:instrText>
      </w:r>
      <w:r>
        <w:rPr>
          <w:color w:val="auto"/>
          <w:highlight w:val="none"/>
        </w:rPr>
        <w:fldChar w:fldCharType="separate"/>
      </w:r>
      <w:r>
        <w:rPr>
          <w:color w:val="auto"/>
          <w:highlight w:val="none"/>
        </w:rPr>
        <w:t>22</w:t>
      </w:r>
      <w:r>
        <w:rPr>
          <w:color w:val="auto"/>
          <w:highlight w:val="none"/>
        </w:rPr>
        <w:fldChar w:fldCharType="end"/>
      </w:r>
      <w:r>
        <w:rPr>
          <w:rFonts w:ascii="宋体" w:hAnsi="宋体"/>
          <w:bCs/>
          <w:caps/>
          <w:color w:val="auto"/>
          <w:szCs w:val="21"/>
          <w:highlight w:val="none"/>
        </w:rPr>
        <w:fldChar w:fldCharType="end"/>
      </w:r>
    </w:p>
    <w:p>
      <w:pPr>
        <w:pStyle w:val="34"/>
        <w:tabs>
          <w:tab w:val="right" w:leader="dot" w:pos="8959"/>
          <w:tab w:val="clear" w:pos="8949"/>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_Toc4630 </w:instrText>
      </w:r>
      <w:r>
        <w:rPr>
          <w:rFonts w:ascii="宋体" w:hAnsi="宋体"/>
          <w:bCs/>
          <w:caps/>
          <w:color w:val="auto"/>
          <w:szCs w:val="21"/>
          <w:highlight w:val="none"/>
        </w:rPr>
        <w:fldChar w:fldCharType="separate"/>
      </w:r>
      <w:r>
        <w:rPr>
          <w:rFonts w:hint="eastAsia" w:ascii="宋体" w:hAnsi="宋体" w:eastAsia="宋体"/>
          <w:color w:val="auto"/>
          <w:highlight w:val="none"/>
        </w:rPr>
        <w:t xml:space="preserve">第五部分  </w:t>
      </w:r>
      <w:r>
        <w:rPr>
          <w:rFonts w:hint="eastAsia" w:ascii="宋体" w:hAnsi="宋体"/>
          <w:color w:val="auto"/>
          <w:szCs w:val="21"/>
          <w:highlight w:val="none"/>
        </w:rPr>
        <w:t>合同书格式（参考范本）</w:t>
      </w:r>
      <w:r>
        <w:rPr>
          <w:color w:val="auto"/>
          <w:highlight w:val="none"/>
        </w:rPr>
        <w:tab/>
      </w:r>
      <w:r>
        <w:rPr>
          <w:color w:val="auto"/>
          <w:highlight w:val="none"/>
        </w:rPr>
        <w:fldChar w:fldCharType="begin"/>
      </w:r>
      <w:r>
        <w:rPr>
          <w:color w:val="auto"/>
          <w:highlight w:val="none"/>
        </w:rPr>
        <w:instrText xml:space="preserve"> PAGEREF _Toc4630 \h </w:instrText>
      </w:r>
      <w:r>
        <w:rPr>
          <w:color w:val="auto"/>
          <w:highlight w:val="none"/>
        </w:rPr>
        <w:fldChar w:fldCharType="separate"/>
      </w:r>
      <w:r>
        <w:rPr>
          <w:color w:val="auto"/>
          <w:highlight w:val="none"/>
        </w:rPr>
        <w:t>24</w:t>
      </w:r>
      <w:r>
        <w:rPr>
          <w:color w:val="auto"/>
          <w:highlight w:val="none"/>
        </w:rPr>
        <w:fldChar w:fldCharType="end"/>
      </w:r>
      <w:r>
        <w:rPr>
          <w:rFonts w:ascii="宋体" w:hAnsi="宋体"/>
          <w:bCs/>
          <w:caps/>
          <w:color w:val="auto"/>
          <w:szCs w:val="21"/>
          <w:highlight w:val="none"/>
        </w:rPr>
        <w:fldChar w:fldCharType="end"/>
      </w:r>
    </w:p>
    <w:p>
      <w:pPr>
        <w:pStyle w:val="34"/>
        <w:tabs>
          <w:tab w:val="right" w:leader="dot" w:pos="8959"/>
          <w:tab w:val="clear" w:pos="8949"/>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_Toc16853 </w:instrText>
      </w:r>
      <w:r>
        <w:rPr>
          <w:rFonts w:ascii="宋体" w:hAnsi="宋体"/>
          <w:bCs/>
          <w:caps/>
          <w:color w:val="auto"/>
          <w:szCs w:val="21"/>
          <w:highlight w:val="none"/>
        </w:rPr>
        <w:fldChar w:fldCharType="separate"/>
      </w:r>
      <w:r>
        <w:rPr>
          <w:rFonts w:hint="eastAsia" w:ascii="宋体" w:hAnsi="宋体" w:eastAsia="宋体"/>
          <w:color w:val="auto"/>
          <w:highlight w:val="none"/>
        </w:rPr>
        <w:t xml:space="preserve">第六部分 </w:t>
      </w:r>
      <w:r>
        <w:rPr>
          <w:rFonts w:ascii="宋体" w:hAnsi="宋体" w:eastAsia="宋体"/>
          <w:color w:val="auto"/>
          <w:highlight w:val="none"/>
        </w:rPr>
        <w:t xml:space="preserve"> </w:t>
      </w:r>
      <w:r>
        <w:rPr>
          <w:rFonts w:hint="eastAsia" w:ascii="宋体" w:hAnsi="宋体" w:eastAsia="宋体"/>
          <w:color w:val="auto"/>
          <w:highlight w:val="none"/>
        </w:rPr>
        <w:t>磋商响应文件格式</w:t>
      </w:r>
      <w:r>
        <w:rPr>
          <w:color w:val="auto"/>
          <w:highlight w:val="none"/>
        </w:rPr>
        <w:tab/>
      </w:r>
      <w:r>
        <w:rPr>
          <w:color w:val="auto"/>
          <w:highlight w:val="none"/>
        </w:rPr>
        <w:fldChar w:fldCharType="begin"/>
      </w:r>
      <w:r>
        <w:rPr>
          <w:color w:val="auto"/>
          <w:highlight w:val="none"/>
        </w:rPr>
        <w:instrText xml:space="preserve"> PAGEREF _Toc16853 \h </w:instrText>
      </w:r>
      <w:r>
        <w:rPr>
          <w:color w:val="auto"/>
          <w:highlight w:val="none"/>
        </w:rPr>
        <w:fldChar w:fldCharType="separate"/>
      </w:r>
      <w:r>
        <w:rPr>
          <w:color w:val="auto"/>
          <w:highlight w:val="none"/>
        </w:rPr>
        <w:t>26</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_Toc32052 </w:instrText>
      </w:r>
      <w:r>
        <w:rPr>
          <w:rFonts w:ascii="宋体" w:hAnsi="宋体"/>
          <w:bCs/>
          <w:caps/>
          <w:color w:val="auto"/>
          <w:szCs w:val="21"/>
          <w:highlight w:val="none"/>
        </w:rPr>
        <w:fldChar w:fldCharType="separate"/>
      </w:r>
      <w:r>
        <w:rPr>
          <w:rFonts w:hint="eastAsia" w:ascii="宋体" w:hAnsi="宋体"/>
          <w:color w:val="auto"/>
          <w:highlight w:val="none"/>
        </w:rPr>
        <w:t>封面格式</w:t>
      </w:r>
      <w:r>
        <w:rPr>
          <w:color w:val="auto"/>
          <w:highlight w:val="none"/>
        </w:rPr>
        <w:tab/>
      </w:r>
      <w:r>
        <w:rPr>
          <w:color w:val="auto"/>
          <w:highlight w:val="none"/>
        </w:rPr>
        <w:fldChar w:fldCharType="begin"/>
      </w:r>
      <w:r>
        <w:rPr>
          <w:color w:val="auto"/>
          <w:highlight w:val="none"/>
        </w:rPr>
        <w:instrText xml:space="preserve"> PAGEREF _Toc32052 \h </w:instrText>
      </w:r>
      <w:r>
        <w:rPr>
          <w:color w:val="auto"/>
          <w:highlight w:val="none"/>
        </w:rPr>
        <w:fldChar w:fldCharType="separate"/>
      </w:r>
      <w:r>
        <w:rPr>
          <w:color w:val="auto"/>
          <w:highlight w:val="none"/>
        </w:rPr>
        <w:t>26</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_Toc26035 </w:instrText>
      </w:r>
      <w:r>
        <w:rPr>
          <w:rFonts w:ascii="宋体" w:hAnsi="宋体"/>
          <w:bCs/>
          <w:caps/>
          <w:color w:val="auto"/>
          <w:szCs w:val="21"/>
          <w:highlight w:val="none"/>
        </w:rPr>
        <w:fldChar w:fldCharType="separate"/>
      </w:r>
      <w:r>
        <w:rPr>
          <w:rFonts w:hint="default" w:ascii="宋体" w:hAnsi="宋体"/>
          <w:color w:val="auto"/>
          <w:highlight w:val="none"/>
        </w:rPr>
        <w:t xml:space="preserve">第一章 </w:t>
      </w:r>
      <w:r>
        <w:rPr>
          <w:rFonts w:hint="eastAsia" w:ascii="宋体" w:hAnsi="宋体"/>
          <w:color w:val="auto"/>
          <w:highlight w:val="none"/>
        </w:rPr>
        <w:t>自查表</w:t>
      </w:r>
      <w:r>
        <w:rPr>
          <w:color w:val="auto"/>
          <w:highlight w:val="none"/>
        </w:rPr>
        <w:tab/>
      </w:r>
      <w:r>
        <w:rPr>
          <w:color w:val="auto"/>
          <w:highlight w:val="none"/>
        </w:rPr>
        <w:fldChar w:fldCharType="begin"/>
      </w:r>
      <w:r>
        <w:rPr>
          <w:color w:val="auto"/>
          <w:highlight w:val="none"/>
        </w:rPr>
        <w:instrText xml:space="preserve"> PAGEREF _Toc26035 \h </w:instrText>
      </w:r>
      <w:r>
        <w:rPr>
          <w:color w:val="auto"/>
          <w:highlight w:val="none"/>
        </w:rPr>
        <w:fldChar w:fldCharType="separate"/>
      </w:r>
      <w:r>
        <w:rPr>
          <w:color w:val="auto"/>
          <w:highlight w:val="none"/>
        </w:rPr>
        <w:t>27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_Toc11538 </w:instrText>
      </w:r>
      <w:r>
        <w:rPr>
          <w:rFonts w:ascii="宋体" w:hAnsi="宋体"/>
          <w:bCs/>
          <w:caps/>
          <w:color w:val="auto"/>
          <w:szCs w:val="21"/>
          <w:highlight w:val="none"/>
        </w:rPr>
        <w:fldChar w:fldCharType="separate"/>
      </w:r>
      <w:r>
        <w:rPr>
          <w:rFonts w:hint="eastAsia" w:ascii="宋体"/>
          <w:bCs w:val="0"/>
          <w:color w:val="auto"/>
          <w:szCs w:val="21"/>
          <w:highlight w:val="none"/>
        </w:rPr>
        <w:t>1.1  资格性/符合性自查表</w:t>
      </w:r>
      <w:r>
        <w:rPr>
          <w:color w:val="auto"/>
          <w:highlight w:val="none"/>
        </w:rPr>
        <w:tab/>
      </w:r>
      <w:r>
        <w:rPr>
          <w:color w:val="auto"/>
          <w:highlight w:val="none"/>
        </w:rPr>
        <w:fldChar w:fldCharType="begin"/>
      </w:r>
      <w:r>
        <w:rPr>
          <w:color w:val="auto"/>
          <w:highlight w:val="none"/>
        </w:rPr>
        <w:instrText xml:space="preserve"> PAGEREF _Toc11538 \h </w:instrText>
      </w:r>
      <w:r>
        <w:rPr>
          <w:color w:val="auto"/>
          <w:highlight w:val="none"/>
        </w:rPr>
        <w:fldChar w:fldCharType="separate"/>
      </w:r>
      <w:r>
        <w:rPr>
          <w:color w:val="auto"/>
          <w:highlight w:val="none"/>
        </w:rPr>
        <w:t>27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_Toc8789 </w:instrText>
      </w:r>
      <w:r>
        <w:rPr>
          <w:rFonts w:ascii="宋体" w:hAnsi="宋体"/>
          <w:bCs/>
          <w:caps/>
          <w:color w:val="auto"/>
          <w:szCs w:val="21"/>
          <w:highlight w:val="none"/>
        </w:rPr>
        <w:fldChar w:fldCharType="separate"/>
      </w:r>
      <w:r>
        <w:rPr>
          <w:rFonts w:hint="eastAsia" w:ascii="宋体" w:hAnsi="宋体"/>
          <w:color w:val="auto"/>
          <w:szCs w:val="28"/>
          <w:highlight w:val="none"/>
        </w:rPr>
        <w:t>（一）无重大违法记录声明函</w:t>
      </w:r>
      <w:r>
        <w:rPr>
          <w:color w:val="auto"/>
          <w:highlight w:val="none"/>
        </w:rPr>
        <w:tab/>
      </w:r>
      <w:r>
        <w:rPr>
          <w:color w:val="auto"/>
          <w:highlight w:val="none"/>
        </w:rPr>
        <w:fldChar w:fldCharType="begin"/>
      </w:r>
      <w:r>
        <w:rPr>
          <w:color w:val="auto"/>
          <w:highlight w:val="none"/>
        </w:rPr>
        <w:instrText xml:space="preserve"> PAGEREF _Toc8789 \h </w:instrText>
      </w:r>
      <w:r>
        <w:rPr>
          <w:color w:val="auto"/>
          <w:highlight w:val="none"/>
        </w:rPr>
        <w:fldChar w:fldCharType="separate"/>
      </w:r>
      <w:r>
        <w:rPr>
          <w:color w:val="auto"/>
          <w:highlight w:val="none"/>
        </w:rPr>
        <w:t>29</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_Toc13980 </w:instrText>
      </w:r>
      <w:r>
        <w:rPr>
          <w:rFonts w:ascii="宋体" w:hAnsi="宋体"/>
          <w:bCs/>
          <w:caps/>
          <w:color w:val="auto"/>
          <w:szCs w:val="21"/>
          <w:highlight w:val="none"/>
        </w:rPr>
        <w:fldChar w:fldCharType="separate"/>
      </w:r>
      <w:r>
        <w:rPr>
          <w:rFonts w:hint="eastAsia" w:ascii="宋体" w:hAnsi="宋体"/>
          <w:color w:val="auto"/>
          <w:kern w:val="0"/>
          <w:szCs w:val="28"/>
          <w:highlight w:val="none"/>
        </w:rPr>
        <w:t>（二）法定代表人（负责人）证明书</w:t>
      </w:r>
      <w:r>
        <w:rPr>
          <w:color w:val="auto"/>
          <w:highlight w:val="none"/>
        </w:rPr>
        <w:tab/>
      </w:r>
      <w:r>
        <w:rPr>
          <w:color w:val="auto"/>
          <w:highlight w:val="none"/>
        </w:rPr>
        <w:fldChar w:fldCharType="begin"/>
      </w:r>
      <w:r>
        <w:rPr>
          <w:color w:val="auto"/>
          <w:highlight w:val="none"/>
        </w:rPr>
        <w:instrText xml:space="preserve"> PAGEREF _Toc13980 \h </w:instrText>
      </w:r>
      <w:r>
        <w:rPr>
          <w:color w:val="auto"/>
          <w:highlight w:val="none"/>
        </w:rPr>
        <w:fldChar w:fldCharType="separate"/>
      </w:r>
      <w:r>
        <w:rPr>
          <w:color w:val="auto"/>
          <w:highlight w:val="none"/>
        </w:rPr>
        <w:t>30</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_Toc23301 </w:instrText>
      </w:r>
      <w:r>
        <w:rPr>
          <w:rFonts w:ascii="宋体" w:hAnsi="宋体"/>
          <w:bCs/>
          <w:caps/>
          <w:color w:val="auto"/>
          <w:szCs w:val="21"/>
          <w:highlight w:val="none"/>
        </w:rPr>
        <w:fldChar w:fldCharType="separate"/>
      </w:r>
      <w:r>
        <w:rPr>
          <w:rFonts w:hint="eastAsia" w:ascii="宋体" w:hAnsi="宋体"/>
          <w:color w:val="auto"/>
          <w:szCs w:val="28"/>
          <w:highlight w:val="none"/>
        </w:rPr>
        <w:t>（三）法定代表人（负责人）授权书</w:t>
      </w:r>
      <w:r>
        <w:rPr>
          <w:color w:val="auto"/>
          <w:highlight w:val="none"/>
        </w:rPr>
        <w:tab/>
      </w:r>
      <w:r>
        <w:rPr>
          <w:color w:val="auto"/>
          <w:highlight w:val="none"/>
        </w:rPr>
        <w:fldChar w:fldCharType="begin"/>
      </w:r>
      <w:r>
        <w:rPr>
          <w:color w:val="auto"/>
          <w:highlight w:val="none"/>
        </w:rPr>
        <w:instrText xml:space="preserve"> PAGEREF _Toc23301 \h </w:instrText>
      </w:r>
      <w:r>
        <w:rPr>
          <w:color w:val="auto"/>
          <w:highlight w:val="none"/>
        </w:rPr>
        <w:fldChar w:fldCharType="separate"/>
      </w:r>
      <w:r>
        <w:rPr>
          <w:color w:val="auto"/>
          <w:highlight w:val="none"/>
        </w:rPr>
        <w:t>31</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_Toc20927 </w:instrText>
      </w:r>
      <w:r>
        <w:rPr>
          <w:rFonts w:ascii="宋体" w:hAnsi="宋体"/>
          <w:bCs/>
          <w:caps/>
          <w:color w:val="auto"/>
          <w:szCs w:val="21"/>
          <w:highlight w:val="none"/>
        </w:rPr>
        <w:fldChar w:fldCharType="separate"/>
      </w:r>
      <w:r>
        <w:rPr>
          <w:rFonts w:hint="eastAsia" w:ascii="宋体" w:hAnsi="宋体"/>
          <w:color w:val="auto"/>
          <w:szCs w:val="28"/>
          <w:highlight w:val="none"/>
        </w:rPr>
        <w:t>（四） 资格审查文件要求提交的其它有效证明文件</w:t>
      </w:r>
      <w:r>
        <w:rPr>
          <w:color w:val="auto"/>
          <w:highlight w:val="none"/>
        </w:rPr>
        <w:tab/>
      </w:r>
      <w:r>
        <w:rPr>
          <w:color w:val="auto"/>
          <w:highlight w:val="none"/>
        </w:rPr>
        <w:fldChar w:fldCharType="begin"/>
      </w:r>
      <w:r>
        <w:rPr>
          <w:color w:val="auto"/>
          <w:highlight w:val="none"/>
        </w:rPr>
        <w:instrText xml:space="preserve"> PAGEREF _Toc20927 \h </w:instrText>
      </w:r>
      <w:r>
        <w:rPr>
          <w:color w:val="auto"/>
          <w:highlight w:val="none"/>
        </w:rPr>
        <w:fldChar w:fldCharType="separate"/>
      </w:r>
      <w:r>
        <w:rPr>
          <w:color w:val="auto"/>
          <w:highlight w:val="none"/>
        </w:rPr>
        <w:t>32</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_Toc27296 </w:instrText>
      </w:r>
      <w:r>
        <w:rPr>
          <w:rFonts w:ascii="宋体" w:hAnsi="宋体"/>
          <w:bCs/>
          <w:caps/>
          <w:color w:val="auto"/>
          <w:szCs w:val="21"/>
          <w:highlight w:val="none"/>
        </w:rPr>
        <w:fldChar w:fldCharType="separate"/>
      </w:r>
      <w:r>
        <w:rPr>
          <w:rFonts w:hint="eastAsia" w:ascii="宋体" w:hAnsi="宋体"/>
          <w:color w:val="auto"/>
          <w:szCs w:val="28"/>
          <w:highlight w:val="none"/>
        </w:rPr>
        <w:t>第二章  磋商响应文件商务及技术部分</w:t>
      </w:r>
      <w:r>
        <w:rPr>
          <w:color w:val="auto"/>
          <w:highlight w:val="none"/>
        </w:rPr>
        <w:tab/>
      </w:r>
      <w:r>
        <w:rPr>
          <w:color w:val="auto"/>
          <w:highlight w:val="none"/>
        </w:rPr>
        <w:fldChar w:fldCharType="begin"/>
      </w:r>
      <w:r>
        <w:rPr>
          <w:color w:val="auto"/>
          <w:highlight w:val="none"/>
        </w:rPr>
        <w:instrText xml:space="preserve"> PAGEREF _Toc27296 \h </w:instrText>
      </w:r>
      <w:r>
        <w:rPr>
          <w:color w:val="auto"/>
          <w:highlight w:val="none"/>
        </w:rPr>
        <w:fldChar w:fldCharType="separate"/>
      </w:r>
      <w:r>
        <w:rPr>
          <w:color w:val="auto"/>
          <w:highlight w:val="none"/>
        </w:rPr>
        <w:t>33</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_Toc28157 </w:instrText>
      </w:r>
      <w:r>
        <w:rPr>
          <w:rFonts w:ascii="宋体" w:hAnsi="宋体"/>
          <w:bCs/>
          <w:caps/>
          <w:color w:val="auto"/>
          <w:szCs w:val="21"/>
          <w:highlight w:val="none"/>
        </w:rPr>
        <w:fldChar w:fldCharType="separate"/>
      </w:r>
      <w:r>
        <w:rPr>
          <w:rFonts w:hint="eastAsia" w:ascii="宋体" w:hAnsi="宋体"/>
          <w:color w:val="auto"/>
          <w:szCs w:val="28"/>
          <w:highlight w:val="none"/>
        </w:rPr>
        <w:t>附件一：磋商邀请函</w:t>
      </w:r>
      <w:r>
        <w:rPr>
          <w:color w:val="auto"/>
          <w:highlight w:val="none"/>
        </w:rPr>
        <w:tab/>
      </w:r>
      <w:r>
        <w:rPr>
          <w:color w:val="auto"/>
          <w:highlight w:val="none"/>
        </w:rPr>
        <w:fldChar w:fldCharType="begin"/>
      </w:r>
      <w:r>
        <w:rPr>
          <w:color w:val="auto"/>
          <w:highlight w:val="none"/>
        </w:rPr>
        <w:instrText xml:space="preserve"> PAGEREF _Toc28157 \h </w:instrText>
      </w:r>
      <w:r>
        <w:rPr>
          <w:color w:val="auto"/>
          <w:highlight w:val="none"/>
        </w:rPr>
        <w:fldChar w:fldCharType="separate"/>
      </w:r>
      <w:r>
        <w:rPr>
          <w:color w:val="auto"/>
          <w:highlight w:val="none"/>
        </w:rPr>
        <w:t>33</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_Toc27219 </w:instrText>
      </w:r>
      <w:r>
        <w:rPr>
          <w:rFonts w:ascii="宋体" w:hAnsi="宋体"/>
          <w:bCs/>
          <w:caps/>
          <w:color w:val="auto"/>
          <w:szCs w:val="21"/>
          <w:highlight w:val="none"/>
        </w:rPr>
        <w:fldChar w:fldCharType="separate"/>
      </w:r>
      <w:r>
        <w:rPr>
          <w:rFonts w:hint="eastAsia" w:ascii="宋体" w:hAnsi="宋体"/>
          <w:color w:val="auto"/>
          <w:szCs w:val="28"/>
          <w:highlight w:val="none"/>
        </w:rPr>
        <w:t>附件二：第一次报价一览表</w:t>
      </w:r>
      <w:r>
        <w:rPr>
          <w:color w:val="auto"/>
          <w:highlight w:val="none"/>
        </w:rPr>
        <w:tab/>
      </w:r>
      <w:r>
        <w:rPr>
          <w:color w:val="auto"/>
          <w:highlight w:val="none"/>
        </w:rPr>
        <w:fldChar w:fldCharType="begin"/>
      </w:r>
      <w:r>
        <w:rPr>
          <w:color w:val="auto"/>
          <w:highlight w:val="none"/>
        </w:rPr>
        <w:instrText xml:space="preserve"> PAGEREF _Toc27219 \h </w:instrText>
      </w:r>
      <w:r>
        <w:rPr>
          <w:color w:val="auto"/>
          <w:highlight w:val="none"/>
        </w:rPr>
        <w:fldChar w:fldCharType="separate"/>
      </w:r>
      <w:r>
        <w:rPr>
          <w:color w:val="auto"/>
          <w:highlight w:val="none"/>
        </w:rPr>
        <w:t>34</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_Toc20671 </w:instrText>
      </w:r>
      <w:r>
        <w:rPr>
          <w:rFonts w:ascii="宋体" w:hAnsi="宋体"/>
          <w:bCs/>
          <w:caps/>
          <w:color w:val="auto"/>
          <w:szCs w:val="21"/>
          <w:highlight w:val="none"/>
        </w:rPr>
        <w:fldChar w:fldCharType="separate"/>
      </w:r>
      <w:r>
        <w:rPr>
          <w:rFonts w:hint="eastAsia" w:ascii="宋体" w:hAnsi="宋体"/>
          <w:color w:val="auto"/>
          <w:szCs w:val="28"/>
          <w:highlight w:val="none"/>
        </w:rPr>
        <w:t>附件三：磋商分项报价</w:t>
      </w:r>
      <w:r>
        <w:rPr>
          <w:rFonts w:ascii="宋体" w:hAnsi="宋体"/>
          <w:color w:val="auto"/>
          <w:szCs w:val="28"/>
          <w:highlight w:val="none"/>
        </w:rPr>
        <w:t>表</w:t>
      </w:r>
      <w:r>
        <w:rPr>
          <w:color w:val="auto"/>
          <w:highlight w:val="none"/>
        </w:rPr>
        <w:tab/>
      </w:r>
      <w:r>
        <w:rPr>
          <w:color w:val="auto"/>
          <w:highlight w:val="none"/>
        </w:rPr>
        <w:fldChar w:fldCharType="begin"/>
      </w:r>
      <w:r>
        <w:rPr>
          <w:color w:val="auto"/>
          <w:highlight w:val="none"/>
        </w:rPr>
        <w:instrText xml:space="preserve"> PAGEREF _Toc20671 \h </w:instrText>
      </w:r>
      <w:r>
        <w:rPr>
          <w:color w:val="auto"/>
          <w:highlight w:val="none"/>
        </w:rPr>
        <w:fldChar w:fldCharType="separate"/>
      </w:r>
      <w:r>
        <w:rPr>
          <w:color w:val="auto"/>
          <w:highlight w:val="none"/>
        </w:rPr>
        <w:t>35</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_Toc32548 </w:instrText>
      </w:r>
      <w:r>
        <w:rPr>
          <w:rFonts w:ascii="宋体" w:hAnsi="宋体"/>
          <w:bCs/>
          <w:caps/>
          <w:color w:val="auto"/>
          <w:szCs w:val="21"/>
          <w:highlight w:val="none"/>
        </w:rPr>
        <w:fldChar w:fldCharType="separate"/>
      </w:r>
      <w:r>
        <w:rPr>
          <w:rFonts w:hint="eastAsia" w:ascii="宋体" w:hAnsi="宋体"/>
          <w:color w:val="auto"/>
          <w:szCs w:val="28"/>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_Toc32548 \h </w:instrText>
      </w:r>
      <w:r>
        <w:rPr>
          <w:color w:val="auto"/>
          <w:highlight w:val="none"/>
        </w:rPr>
        <w:fldChar w:fldCharType="separate"/>
      </w:r>
      <w:r>
        <w:rPr>
          <w:color w:val="auto"/>
          <w:highlight w:val="none"/>
        </w:rPr>
        <w:t>36</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_Toc13093 </w:instrText>
      </w:r>
      <w:r>
        <w:rPr>
          <w:rFonts w:ascii="宋体" w:hAnsi="宋体"/>
          <w:bCs/>
          <w:caps/>
          <w:color w:val="auto"/>
          <w:szCs w:val="21"/>
          <w:highlight w:val="none"/>
        </w:rPr>
        <w:fldChar w:fldCharType="separate"/>
      </w:r>
      <w:r>
        <w:rPr>
          <w:rFonts w:hint="eastAsia" w:ascii="宋体" w:hAnsi="宋体"/>
          <w:color w:val="auto"/>
          <w:szCs w:val="28"/>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_Toc13093 \h </w:instrText>
      </w:r>
      <w:r>
        <w:rPr>
          <w:color w:val="auto"/>
          <w:highlight w:val="none"/>
        </w:rPr>
        <w:fldChar w:fldCharType="separate"/>
      </w:r>
      <w:r>
        <w:rPr>
          <w:color w:val="auto"/>
          <w:highlight w:val="none"/>
        </w:rPr>
        <w:t>37</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_Toc27911 </w:instrText>
      </w:r>
      <w:r>
        <w:rPr>
          <w:rFonts w:ascii="宋体" w:hAnsi="宋体"/>
          <w:bCs/>
          <w:caps/>
          <w:color w:val="auto"/>
          <w:szCs w:val="21"/>
          <w:highlight w:val="none"/>
        </w:rPr>
        <w:fldChar w:fldCharType="separate"/>
      </w:r>
      <w:r>
        <w:rPr>
          <w:rFonts w:hint="eastAsia" w:ascii="宋体" w:hAnsi="宋体"/>
          <w:color w:val="auto"/>
          <w:szCs w:val="28"/>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_Toc27911 \h </w:instrText>
      </w:r>
      <w:r>
        <w:rPr>
          <w:color w:val="auto"/>
          <w:highlight w:val="none"/>
        </w:rPr>
        <w:fldChar w:fldCharType="separate"/>
      </w:r>
      <w:r>
        <w:rPr>
          <w:color w:val="auto"/>
          <w:highlight w:val="none"/>
        </w:rPr>
        <w:t>38</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_Toc17247 </w:instrText>
      </w:r>
      <w:r>
        <w:rPr>
          <w:rFonts w:ascii="宋体" w:hAnsi="宋体"/>
          <w:bCs/>
          <w:caps/>
          <w:color w:val="auto"/>
          <w:szCs w:val="21"/>
          <w:highlight w:val="none"/>
        </w:rPr>
        <w:fldChar w:fldCharType="separate"/>
      </w:r>
      <w:r>
        <w:rPr>
          <w:rFonts w:hint="eastAsia"/>
          <w:color w:val="auto"/>
          <w:szCs w:val="28"/>
          <w:highlight w:val="none"/>
        </w:rPr>
        <w:t>附件七：</w:t>
      </w:r>
      <w:r>
        <w:rPr>
          <w:rFonts w:hint="eastAsia" w:hAnsi="黑体" w:cs="黑体"/>
          <w:color w:val="auto"/>
          <w:szCs w:val="28"/>
          <w:highlight w:val="none"/>
        </w:rPr>
        <w:t>中小微企业声明函</w:t>
      </w:r>
      <w:r>
        <w:rPr>
          <w:color w:val="auto"/>
          <w:highlight w:val="none"/>
        </w:rPr>
        <w:tab/>
      </w:r>
      <w:r>
        <w:rPr>
          <w:color w:val="auto"/>
          <w:highlight w:val="none"/>
        </w:rPr>
        <w:fldChar w:fldCharType="begin"/>
      </w:r>
      <w:r>
        <w:rPr>
          <w:color w:val="auto"/>
          <w:highlight w:val="none"/>
        </w:rPr>
        <w:instrText xml:space="preserve"> PAGEREF _Toc17247 \h </w:instrText>
      </w:r>
      <w:r>
        <w:rPr>
          <w:color w:val="auto"/>
          <w:highlight w:val="none"/>
        </w:rPr>
        <w:fldChar w:fldCharType="separate"/>
      </w:r>
      <w:r>
        <w:rPr>
          <w:color w:val="auto"/>
          <w:highlight w:val="none"/>
        </w:rPr>
        <w:t>39</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_Toc25420 </w:instrText>
      </w:r>
      <w:r>
        <w:rPr>
          <w:rFonts w:ascii="宋体" w:hAnsi="宋体"/>
          <w:bCs/>
          <w:caps/>
          <w:color w:val="auto"/>
          <w:szCs w:val="21"/>
          <w:highlight w:val="none"/>
        </w:rPr>
        <w:fldChar w:fldCharType="separate"/>
      </w:r>
      <w:r>
        <w:rPr>
          <w:rFonts w:hint="eastAsia"/>
          <w:color w:val="auto"/>
          <w:szCs w:val="28"/>
          <w:highlight w:val="none"/>
        </w:rPr>
        <w:t>附件八：</w:t>
      </w:r>
      <w:r>
        <w:rPr>
          <w:rFonts w:hint="eastAsia" w:hAnsi="黑体" w:cs="黑体"/>
          <w:color w:val="auto"/>
          <w:szCs w:val="28"/>
          <w:highlight w:val="none"/>
        </w:rPr>
        <w:t>残疾人福利性单位声明函</w:t>
      </w:r>
      <w:r>
        <w:rPr>
          <w:color w:val="auto"/>
          <w:highlight w:val="none"/>
        </w:rPr>
        <w:tab/>
      </w:r>
      <w:r>
        <w:rPr>
          <w:color w:val="auto"/>
          <w:highlight w:val="none"/>
        </w:rPr>
        <w:fldChar w:fldCharType="begin"/>
      </w:r>
      <w:r>
        <w:rPr>
          <w:color w:val="auto"/>
          <w:highlight w:val="none"/>
        </w:rPr>
        <w:instrText xml:space="preserve"> PAGEREF _Toc25420 \h </w:instrText>
      </w:r>
      <w:r>
        <w:rPr>
          <w:color w:val="auto"/>
          <w:highlight w:val="none"/>
        </w:rPr>
        <w:fldChar w:fldCharType="separate"/>
      </w:r>
      <w:r>
        <w:rPr>
          <w:color w:val="auto"/>
          <w:highlight w:val="none"/>
        </w:rPr>
        <w:t>40</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_Toc19930 </w:instrText>
      </w:r>
      <w:r>
        <w:rPr>
          <w:rFonts w:ascii="宋体" w:hAnsi="宋体"/>
          <w:bCs/>
          <w:caps/>
          <w:color w:val="auto"/>
          <w:szCs w:val="21"/>
          <w:highlight w:val="none"/>
        </w:rPr>
        <w:fldChar w:fldCharType="separate"/>
      </w:r>
      <w:r>
        <w:rPr>
          <w:rFonts w:hint="eastAsia" w:ascii="宋体" w:hAnsi="宋体"/>
          <w:color w:val="auto"/>
          <w:szCs w:val="28"/>
          <w:highlight w:val="none"/>
        </w:rPr>
        <w:t>附件九：成交服务费承诺</w:t>
      </w:r>
      <w:r>
        <w:rPr>
          <w:color w:val="auto"/>
          <w:highlight w:val="none"/>
        </w:rPr>
        <w:tab/>
      </w:r>
      <w:r>
        <w:rPr>
          <w:color w:val="auto"/>
          <w:highlight w:val="none"/>
        </w:rPr>
        <w:fldChar w:fldCharType="begin"/>
      </w:r>
      <w:r>
        <w:rPr>
          <w:color w:val="auto"/>
          <w:highlight w:val="none"/>
        </w:rPr>
        <w:instrText xml:space="preserve"> PAGEREF _Toc19930 \h </w:instrText>
      </w:r>
      <w:r>
        <w:rPr>
          <w:color w:val="auto"/>
          <w:highlight w:val="none"/>
        </w:rPr>
        <w:fldChar w:fldCharType="separate"/>
      </w:r>
      <w:r>
        <w:rPr>
          <w:color w:val="auto"/>
          <w:highlight w:val="none"/>
        </w:rPr>
        <w:t>41</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_Toc21915 </w:instrText>
      </w:r>
      <w:r>
        <w:rPr>
          <w:rFonts w:ascii="宋体" w:hAnsi="宋体"/>
          <w:bCs/>
          <w:caps/>
          <w:color w:val="auto"/>
          <w:szCs w:val="21"/>
          <w:highlight w:val="none"/>
        </w:rPr>
        <w:fldChar w:fldCharType="separate"/>
      </w:r>
      <w:r>
        <w:rPr>
          <w:rFonts w:hint="eastAsia" w:ascii="宋体" w:hAnsi="宋体"/>
          <w:color w:val="auto"/>
          <w:szCs w:val="28"/>
          <w:highlight w:val="none"/>
        </w:rPr>
        <w:t>附件十：磋商供应商提交的其他资料</w:t>
      </w:r>
      <w:r>
        <w:rPr>
          <w:color w:val="auto"/>
          <w:highlight w:val="none"/>
        </w:rPr>
        <w:tab/>
      </w:r>
      <w:r>
        <w:rPr>
          <w:color w:val="auto"/>
          <w:highlight w:val="none"/>
        </w:rPr>
        <w:fldChar w:fldCharType="begin"/>
      </w:r>
      <w:r>
        <w:rPr>
          <w:color w:val="auto"/>
          <w:highlight w:val="none"/>
        </w:rPr>
        <w:instrText xml:space="preserve"> PAGEREF _Toc21915 \h </w:instrText>
      </w:r>
      <w:r>
        <w:rPr>
          <w:color w:val="auto"/>
          <w:highlight w:val="none"/>
        </w:rPr>
        <w:fldChar w:fldCharType="separate"/>
      </w:r>
      <w:r>
        <w:rPr>
          <w:color w:val="auto"/>
          <w:highlight w:val="none"/>
        </w:rPr>
        <w:t>42</w:t>
      </w:r>
      <w:r>
        <w:rPr>
          <w:color w:val="auto"/>
          <w:highlight w:val="none"/>
        </w:rPr>
        <w:fldChar w:fldCharType="end"/>
      </w:r>
      <w:r>
        <w:rPr>
          <w:rFonts w:ascii="宋体" w:hAnsi="宋体"/>
          <w:bCs/>
          <w:caps/>
          <w:color w:val="auto"/>
          <w:szCs w:val="21"/>
          <w:highlight w:val="none"/>
        </w:rPr>
        <w:fldChar w:fldCharType="end"/>
      </w:r>
    </w:p>
    <w:p>
      <w:pPr>
        <w:pStyle w:val="42"/>
        <w:tabs>
          <w:tab w:val="right" w:leader="dot" w:pos="8959"/>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_Toc13510 </w:instrText>
      </w:r>
      <w:r>
        <w:rPr>
          <w:rFonts w:ascii="宋体" w:hAnsi="宋体"/>
          <w:bCs/>
          <w:caps/>
          <w:color w:val="auto"/>
          <w:szCs w:val="21"/>
          <w:highlight w:val="none"/>
        </w:rPr>
        <w:fldChar w:fldCharType="separate"/>
      </w:r>
      <w:r>
        <w:rPr>
          <w:rFonts w:hint="eastAsia" w:ascii="宋体" w:hAnsi="宋体"/>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_Toc13510 \h </w:instrText>
      </w:r>
      <w:r>
        <w:rPr>
          <w:color w:val="auto"/>
          <w:highlight w:val="none"/>
        </w:rPr>
        <w:fldChar w:fldCharType="separate"/>
      </w:r>
      <w:r>
        <w:rPr>
          <w:color w:val="auto"/>
          <w:highlight w:val="none"/>
        </w:rPr>
        <w:t>43</w:t>
      </w:r>
      <w:r>
        <w:rPr>
          <w:color w:val="auto"/>
          <w:highlight w:val="none"/>
        </w:rPr>
        <w:fldChar w:fldCharType="end"/>
      </w:r>
      <w:r>
        <w:rPr>
          <w:rFonts w:ascii="宋体" w:hAnsi="宋体"/>
          <w:bCs/>
          <w:caps/>
          <w:color w:val="auto"/>
          <w:szCs w:val="21"/>
          <w:highlight w:val="none"/>
        </w:rPr>
        <w:fldChar w:fldCharType="end"/>
      </w:r>
    </w:p>
    <w:p>
      <w:pPr>
        <w:pStyle w:val="25"/>
        <w:tabs>
          <w:tab w:val="right" w:leader="dot" w:pos="8959"/>
          <w:tab w:val="clear" w:pos="840"/>
          <w:tab w:val="clear" w:pos="1004"/>
          <w:tab w:val="clear" w:pos="8948"/>
        </w:tabs>
        <w:rPr>
          <w:color w:val="auto"/>
          <w:highlight w:val="none"/>
        </w:rPr>
      </w:pPr>
      <w:r>
        <w:rPr>
          <w:rFonts w:ascii="宋体" w:hAnsi="宋体"/>
          <w:bCs/>
          <w:caps/>
          <w:color w:val="auto"/>
          <w:szCs w:val="21"/>
          <w:highlight w:val="none"/>
        </w:rPr>
        <w:fldChar w:fldCharType="begin"/>
      </w:r>
      <w:r>
        <w:rPr>
          <w:rFonts w:ascii="宋体" w:hAnsi="宋体"/>
          <w:bCs/>
          <w:caps/>
          <w:color w:val="auto"/>
          <w:szCs w:val="21"/>
          <w:highlight w:val="none"/>
        </w:rPr>
        <w:instrText xml:space="preserve"> HYPERLINK \l _Toc3564 </w:instrText>
      </w:r>
      <w:r>
        <w:rPr>
          <w:rFonts w:ascii="宋体" w:hAnsi="宋体"/>
          <w:bCs/>
          <w:caps/>
          <w:color w:val="auto"/>
          <w:szCs w:val="21"/>
          <w:highlight w:val="none"/>
        </w:rPr>
        <w:fldChar w:fldCharType="separate"/>
      </w:r>
      <w:r>
        <w:rPr>
          <w:rFonts w:hint="eastAsia" w:ascii="宋体" w:hAnsi="宋体" w:eastAsia="宋体"/>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_Toc3564 \h </w:instrText>
      </w:r>
      <w:r>
        <w:rPr>
          <w:color w:val="auto"/>
          <w:highlight w:val="none"/>
        </w:rPr>
        <w:fldChar w:fldCharType="separate"/>
      </w:r>
      <w:r>
        <w:rPr>
          <w:color w:val="auto"/>
          <w:highlight w:val="none"/>
        </w:rPr>
        <w:t>44</w:t>
      </w:r>
      <w:r>
        <w:rPr>
          <w:color w:val="auto"/>
          <w:highlight w:val="none"/>
        </w:rPr>
        <w:fldChar w:fldCharType="end"/>
      </w:r>
      <w:r>
        <w:rPr>
          <w:rFonts w:ascii="宋体" w:hAnsi="宋体"/>
          <w:bCs/>
          <w:caps/>
          <w:color w:val="auto"/>
          <w:szCs w:val="21"/>
          <w:highlight w:val="none"/>
        </w:rPr>
        <w:fldChar w:fldCharType="end"/>
      </w:r>
    </w:p>
    <w:p>
      <w:pPr>
        <w:rPr>
          <w:rFonts w:ascii="宋体" w:hAnsi="宋体"/>
          <w:color w:val="auto"/>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titlePg/>
          <w:docGrid w:linePitch="462" w:charSpace="0"/>
        </w:sectPr>
      </w:pPr>
      <w:r>
        <w:rPr>
          <w:rFonts w:ascii="宋体" w:hAnsi="宋体"/>
          <w:bCs/>
          <w:caps/>
          <w:color w:val="auto"/>
          <w:szCs w:val="21"/>
          <w:highlight w:val="none"/>
        </w:rPr>
        <w:fldChar w:fldCharType="end"/>
      </w:r>
      <w:bookmarkEnd w:id="0"/>
    </w:p>
    <w:p>
      <w:pPr>
        <w:pStyle w:val="3"/>
        <w:numPr>
          <w:ilvl w:val="0"/>
          <w:numId w:val="0"/>
        </w:numPr>
        <w:spacing w:beforeLines="0"/>
        <w:rPr>
          <w:rFonts w:ascii="宋体" w:hAnsi="宋体" w:eastAsia="宋体"/>
          <w:b/>
          <w:color w:val="auto"/>
          <w:highlight w:val="none"/>
        </w:rPr>
      </w:pPr>
      <w:bookmarkStart w:id="1" w:name="_Toc339019828"/>
      <w:bookmarkStart w:id="2" w:name="_Toc340672830"/>
      <w:bookmarkStart w:id="3" w:name="_Toc340507403"/>
      <w:bookmarkStart w:id="4" w:name="_Toc333237612"/>
      <w:bookmarkStart w:id="5" w:name="_Toc340677031"/>
      <w:bookmarkStart w:id="6" w:name="_Toc341348291"/>
      <w:bookmarkStart w:id="7" w:name="_Toc349127583"/>
      <w:bookmarkStart w:id="8" w:name="_Toc345513762"/>
      <w:bookmarkStart w:id="9" w:name="_Toc339441044"/>
      <w:bookmarkStart w:id="10" w:name="_Toc15008"/>
      <w:bookmarkStart w:id="11" w:name="_Toc350438702"/>
      <w:bookmarkStart w:id="12" w:name="_Toc339019954"/>
      <w:bookmarkStart w:id="13" w:name="_Toc366072457"/>
      <w:bookmarkStart w:id="14" w:name="_Toc342296708"/>
      <w:bookmarkStart w:id="15" w:name="_Toc337632315"/>
      <w:bookmarkStart w:id="16" w:name="_Toc330459945"/>
      <w:bookmarkStart w:id="17" w:name="_Toc349143546"/>
      <w:bookmarkStart w:id="18" w:name="_Toc333237723"/>
      <w:bookmarkStart w:id="19" w:name="_Toc333935278"/>
      <w:bookmarkStart w:id="20" w:name="_Toc336681537"/>
      <w:bookmarkStart w:id="21" w:name="_Toc350756403"/>
      <w:bookmarkStart w:id="22" w:name="_Toc339020048"/>
      <w:bookmarkStart w:id="23" w:name="_Toc333238571"/>
      <w:bookmarkStart w:id="24" w:name="_Toc365967002"/>
      <w:bookmarkStart w:id="25" w:name="_Toc331683994"/>
      <w:bookmarkStart w:id="26" w:name="_Toc332270305"/>
      <w:bookmarkStart w:id="27" w:name="_Toc339362257"/>
      <w:bookmarkStart w:id="28" w:name="_Toc336681892"/>
      <w:bookmarkStart w:id="29" w:name="_Toc332206657"/>
      <w:bookmarkStart w:id="30" w:name="_Toc333935619"/>
      <w:bookmarkStart w:id="31" w:name="_Toc339020186"/>
      <w:bookmarkStart w:id="32" w:name="_Toc331512856"/>
      <w:bookmarkStart w:id="33" w:name="_Toc365985108"/>
      <w:bookmarkStart w:id="34" w:name="_Toc342060322"/>
      <w:bookmarkStart w:id="35" w:name="_Toc500860978"/>
      <w:r>
        <w:rPr>
          <w:rFonts w:hint="eastAsia" w:ascii="宋体" w:hAnsi="宋体" w:eastAsia="宋体"/>
          <w:b/>
          <w:color w:val="auto"/>
          <w:highlight w:val="none"/>
        </w:rPr>
        <w:t>第一</w:t>
      </w:r>
      <w:bookmarkStart w:id="36" w:name="_Hlt23321731"/>
      <w:bookmarkEnd w:id="36"/>
      <w:r>
        <w:rPr>
          <w:rFonts w:hint="eastAsia" w:ascii="宋体" w:hAnsi="宋体" w:eastAsia="宋体"/>
          <w:b/>
          <w:color w:val="auto"/>
          <w:highlight w:val="none"/>
        </w:rPr>
        <w:t>部分 竞争性磋商邀请书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auto"/>
          <w:highlight w:val="none"/>
        </w:rPr>
      </w:pPr>
      <w:r>
        <w:rPr>
          <w:rFonts w:hint="eastAsia" w:ascii="宋体" w:hAnsi="宋体"/>
          <w:bCs/>
          <w:color w:val="auto"/>
          <w:highlight w:val="none"/>
        </w:rPr>
        <w:t>广东业信采购招标有限公司（以下简称“代理采购机构”）受</w:t>
      </w:r>
      <w:r>
        <w:rPr>
          <w:rFonts w:hint="eastAsia" w:ascii="宋体" w:hAnsi="宋体"/>
          <w:bCs/>
          <w:color w:val="auto"/>
          <w:highlight w:val="none"/>
          <w:lang w:eastAsia="zh-CN"/>
        </w:rPr>
        <w:t>阳江市阳东区第一职业技术学校</w:t>
      </w:r>
      <w:r>
        <w:rPr>
          <w:rFonts w:hint="eastAsia" w:ascii="宋体" w:hAnsi="宋体"/>
          <w:bCs/>
          <w:color w:val="auto"/>
          <w:highlight w:val="none"/>
        </w:rPr>
        <w:t>（以下简称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w:t>
      </w:r>
      <w:r>
        <w:rPr>
          <w:rFonts w:hint="eastAsia" w:ascii="宋体" w:hAnsi="宋体"/>
          <w:bCs/>
          <w:color w:val="auto"/>
          <w:highlight w:val="none"/>
          <w:lang w:eastAsia="zh-CN"/>
        </w:rPr>
        <w:t>阳江市阳东区第一职业技术学校风雨长廊建设项目</w:t>
      </w:r>
      <w:r>
        <w:rPr>
          <w:rFonts w:hint="eastAsia" w:ascii="宋体" w:hAnsi="宋体"/>
          <w:bCs/>
          <w:color w:val="auto"/>
          <w:highlight w:val="none"/>
        </w:rPr>
        <w:t>进行竞争性磋商 (项目编号:</w:t>
      </w:r>
      <w:r>
        <w:rPr>
          <w:rFonts w:ascii="宋体" w:hAnsi="宋体"/>
          <w:bCs/>
          <w:color w:val="auto"/>
          <w:highlight w:val="none"/>
        </w:rPr>
        <w:t xml:space="preserve"> </w:t>
      </w:r>
      <w:r>
        <w:rPr>
          <w:rFonts w:hint="eastAsia" w:ascii="宋体" w:hAnsi="宋体"/>
          <w:bCs/>
          <w:color w:val="auto"/>
          <w:highlight w:val="none"/>
          <w:lang w:eastAsia="zh-CN"/>
        </w:rPr>
        <w:t>YXCG-20220622</w:t>
      </w:r>
      <w:r>
        <w:rPr>
          <w:rFonts w:hint="eastAsia" w:ascii="宋体" w:hAnsi="宋体"/>
          <w:bCs/>
          <w:color w:val="auto"/>
          <w:highlight w:val="none"/>
        </w:rPr>
        <w:t>)，欢迎符合条件的投标人参加。有关事项如下：</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highlight w:val="none"/>
        </w:rPr>
        <w:t>一、</w:t>
      </w:r>
      <w:r>
        <w:rPr>
          <w:rFonts w:hint="eastAsia" w:ascii="宋体" w:hAnsi="宋体" w:cs="Tahoma"/>
          <w:b/>
          <w:bCs/>
          <w:color w:val="auto"/>
          <w:szCs w:val="21"/>
          <w:highlight w:val="none"/>
        </w:rPr>
        <w:t>招标项目的名称、用途、数量、采购方式</w:t>
      </w:r>
    </w:p>
    <w:p>
      <w:pPr>
        <w:widowControl/>
        <w:tabs>
          <w:tab w:val="left" w:pos="735"/>
        </w:tabs>
        <w:adjustRightInd w:val="0"/>
        <w:snapToGrid w:val="0"/>
        <w:spacing w:line="360" w:lineRule="auto"/>
        <w:ind w:firstLine="210" w:firstLineChars="100"/>
        <w:rPr>
          <w:rFonts w:hint="eastAsia" w:ascii="宋体" w:hAnsi="宋体" w:eastAsia="宋体"/>
          <w:bCs/>
          <w:color w:val="auto"/>
          <w:highlight w:val="none"/>
          <w:lang w:eastAsia="zh-CN"/>
        </w:rPr>
      </w:pPr>
      <w:r>
        <w:rPr>
          <w:rFonts w:hint="eastAsia" w:ascii="宋体" w:hAnsi="宋体"/>
          <w:bCs/>
          <w:color w:val="auto"/>
          <w:highlight w:val="none"/>
        </w:rPr>
        <w:t>1.项目名称：</w:t>
      </w:r>
      <w:r>
        <w:rPr>
          <w:rFonts w:hint="eastAsia" w:ascii="宋体" w:hAnsi="宋体"/>
          <w:bCs/>
          <w:color w:val="auto"/>
          <w:highlight w:val="none"/>
          <w:lang w:eastAsia="zh-CN"/>
        </w:rPr>
        <w:t>阳江市阳东区第一职业技术学校风雨长廊建设项目</w:t>
      </w:r>
    </w:p>
    <w:p>
      <w:pPr>
        <w:widowControl/>
        <w:tabs>
          <w:tab w:val="left" w:pos="735"/>
        </w:tabs>
        <w:adjustRightInd w:val="0"/>
        <w:snapToGrid w:val="0"/>
        <w:spacing w:line="360" w:lineRule="auto"/>
        <w:ind w:firstLine="210" w:firstLineChars="100"/>
        <w:rPr>
          <w:rFonts w:hint="eastAsia" w:ascii="宋体" w:hAnsi="宋体" w:eastAsia="宋体"/>
          <w:bCs/>
          <w:color w:val="auto"/>
          <w:highlight w:val="none"/>
          <w:lang w:eastAsia="zh-CN"/>
        </w:rPr>
      </w:pPr>
      <w:r>
        <w:rPr>
          <w:rFonts w:hint="eastAsia" w:ascii="宋体" w:hAnsi="宋体"/>
          <w:bCs/>
          <w:color w:val="auto"/>
          <w:highlight w:val="none"/>
        </w:rPr>
        <w:t xml:space="preserve">2.项目编号: </w:t>
      </w:r>
      <w:r>
        <w:rPr>
          <w:rFonts w:hint="eastAsia" w:ascii="宋体" w:hAnsi="宋体"/>
          <w:bCs/>
          <w:color w:val="auto"/>
          <w:highlight w:val="none"/>
          <w:lang w:eastAsia="zh-CN"/>
        </w:rPr>
        <w:t>YXCG-20220622</w:t>
      </w:r>
    </w:p>
    <w:p>
      <w:pPr>
        <w:widowControl/>
        <w:tabs>
          <w:tab w:val="left" w:pos="735"/>
        </w:tabs>
        <w:adjustRightInd w:val="0"/>
        <w:snapToGrid w:val="0"/>
        <w:spacing w:line="360" w:lineRule="auto"/>
        <w:ind w:firstLine="210" w:firstLineChars="100"/>
        <w:rPr>
          <w:rFonts w:ascii="宋体" w:hAnsi="宋体"/>
          <w:bCs/>
          <w:color w:val="auto"/>
          <w:highlight w:val="none"/>
        </w:rPr>
      </w:pPr>
      <w:r>
        <w:rPr>
          <w:rFonts w:hint="eastAsia" w:ascii="宋体" w:hAnsi="宋体"/>
          <w:bCs/>
          <w:color w:val="auto"/>
          <w:highlight w:val="none"/>
        </w:rPr>
        <w:t>3.投标报价上限：人</w:t>
      </w:r>
      <w:r>
        <w:rPr>
          <w:rFonts w:hint="eastAsia" w:ascii="宋体" w:hAnsi="宋体"/>
          <w:bCs/>
          <w:color w:val="auto"/>
          <w:szCs w:val="21"/>
          <w:highlight w:val="none"/>
        </w:rPr>
        <w:t>民币</w:t>
      </w:r>
      <w:r>
        <w:rPr>
          <w:rFonts w:hint="eastAsia" w:ascii="宋体" w:hAnsi="宋体"/>
          <w:color w:val="auto"/>
          <w:szCs w:val="21"/>
          <w:highlight w:val="none"/>
        </w:rPr>
        <w:t>￥</w:t>
      </w:r>
      <w:r>
        <w:rPr>
          <w:rFonts w:hint="eastAsia" w:ascii="宋体" w:hAnsi="宋体"/>
          <w:color w:val="auto"/>
          <w:szCs w:val="21"/>
          <w:highlight w:val="none"/>
          <w:lang w:val="en-US" w:eastAsia="zh-CN"/>
        </w:rPr>
        <w:t>927486.57</w:t>
      </w:r>
      <w:r>
        <w:rPr>
          <w:rFonts w:hint="eastAsia" w:ascii="宋体" w:hAnsi="宋体"/>
          <w:bCs/>
          <w:color w:val="auto"/>
          <w:szCs w:val="21"/>
          <w:highlight w:val="none"/>
        </w:rPr>
        <w:t>元</w:t>
      </w:r>
      <w:r>
        <w:rPr>
          <w:rFonts w:hint="eastAsia" w:ascii="宋体" w:hAnsi="宋体"/>
          <w:bCs/>
          <w:color w:val="auto"/>
          <w:szCs w:val="21"/>
          <w:highlight w:val="none"/>
          <w:lang w:eastAsia="zh-CN"/>
        </w:rPr>
        <w:t>（</w:t>
      </w:r>
      <w:r>
        <w:rPr>
          <w:rFonts w:hint="eastAsia" w:ascii="宋体" w:hAnsi="宋体"/>
          <w:bCs/>
          <w:color w:val="auto"/>
          <w:szCs w:val="21"/>
          <w:highlight w:val="none"/>
          <w:lang w:val="en-US" w:eastAsia="zh-CN"/>
        </w:rPr>
        <w:t>其中</w:t>
      </w:r>
      <w:r>
        <w:rPr>
          <w:rFonts w:hint="eastAsia"/>
          <w:color w:val="auto"/>
          <w:highlight w:val="none"/>
          <w:lang w:val="en-US" w:eastAsia="zh-CN"/>
        </w:rPr>
        <w:t>绿色施工安全防护措</w:t>
      </w:r>
      <w:r>
        <w:rPr>
          <w:rFonts w:hint="eastAsia" w:ascii="宋体" w:hAnsi="宋体" w:eastAsia="宋体" w:cs="宋体"/>
          <w:color w:val="auto"/>
          <w:highlight w:val="none"/>
          <w:lang w:val="en-US" w:eastAsia="zh-CN"/>
        </w:rPr>
        <w:t>施费16123.79元</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rPr>
        <w:t>（</w:t>
      </w:r>
      <w:r>
        <w:rPr>
          <w:rFonts w:hint="eastAsia" w:ascii="宋体" w:hAnsi="宋体" w:eastAsia="宋体" w:cs="宋体"/>
          <w:bCs/>
          <w:color w:val="auto"/>
          <w:highlight w:val="none"/>
        </w:rPr>
        <w:t>超出该</w:t>
      </w:r>
      <w:r>
        <w:rPr>
          <w:rFonts w:hint="eastAsia" w:ascii="宋体" w:hAnsi="宋体"/>
          <w:bCs/>
          <w:color w:val="auto"/>
          <w:highlight w:val="none"/>
        </w:rPr>
        <w:t>上限的投标报价将作为无效投标处理）</w:t>
      </w:r>
    </w:p>
    <w:p>
      <w:pPr>
        <w:widowControl/>
        <w:tabs>
          <w:tab w:val="left" w:pos="735"/>
        </w:tabs>
        <w:adjustRightInd w:val="0"/>
        <w:snapToGrid w:val="0"/>
        <w:spacing w:line="360" w:lineRule="auto"/>
        <w:ind w:firstLine="210" w:firstLineChars="100"/>
        <w:rPr>
          <w:rFonts w:ascii="宋体" w:hAnsi="宋体"/>
          <w:bCs/>
          <w:color w:val="auto"/>
          <w:highlight w:val="none"/>
        </w:rPr>
      </w:pPr>
      <w:r>
        <w:rPr>
          <w:rFonts w:hint="eastAsia" w:ascii="宋体" w:hAnsi="宋体"/>
          <w:bCs/>
          <w:color w:val="auto"/>
          <w:highlight w:val="none"/>
        </w:rPr>
        <w:t>4.数  量：一项</w:t>
      </w:r>
    </w:p>
    <w:p>
      <w:pPr>
        <w:widowControl/>
        <w:tabs>
          <w:tab w:val="left" w:pos="735"/>
        </w:tabs>
        <w:adjustRightInd w:val="0"/>
        <w:snapToGrid w:val="0"/>
        <w:spacing w:line="360" w:lineRule="auto"/>
        <w:ind w:left="525" w:leftChars="100" w:hanging="315" w:hangingChars="150"/>
        <w:rPr>
          <w:rFonts w:ascii="宋体" w:hAnsi="宋体"/>
          <w:bCs/>
          <w:color w:val="auto"/>
          <w:highlight w:val="none"/>
        </w:rPr>
      </w:pPr>
      <w:r>
        <w:rPr>
          <w:rFonts w:hint="eastAsia" w:ascii="宋体" w:hAnsi="宋体"/>
          <w:bCs/>
          <w:color w:val="auto"/>
          <w:highlight w:val="none"/>
        </w:rPr>
        <w:t>5</w:t>
      </w:r>
      <w:r>
        <w:rPr>
          <w:rFonts w:hint="eastAsia" w:ascii="宋体" w:hAnsi="宋体"/>
          <w:bCs/>
          <w:color w:val="auto"/>
          <w:highlight w:val="none"/>
          <w:lang w:eastAsia="zh-CN"/>
        </w:rPr>
        <w:t>.</w:t>
      </w:r>
      <w:r>
        <w:rPr>
          <w:rFonts w:hint="eastAsia" w:ascii="宋体" w:hAnsi="宋体"/>
          <w:bCs/>
          <w:color w:val="auto"/>
          <w:szCs w:val="21"/>
          <w:highlight w:val="none"/>
          <w:lang w:val="en-US" w:eastAsia="zh-CN"/>
        </w:rPr>
        <w:t>完工</w:t>
      </w:r>
      <w:r>
        <w:rPr>
          <w:rFonts w:hint="eastAsia" w:ascii="宋体" w:hAnsi="宋体"/>
          <w:bCs/>
          <w:color w:val="auto"/>
          <w:szCs w:val="21"/>
          <w:highlight w:val="none"/>
        </w:rPr>
        <w:t>期：</w:t>
      </w:r>
      <w:r>
        <w:rPr>
          <w:rFonts w:hint="eastAsia" w:ascii="宋体" w:hAnsi="宋体"/>
          <w:color w:val="auto"/>
          <w:szCs w:val="21"/>
          <w:highlight w:val="none"/>
          <w:lang w:val="en-US" w:eastAsia="zh-CN"/>
        </w:rPr>
        <w:t>合同签订生效后，30个日历天内完工（超出该完工期作为无效投标处理）</w:t>
      </w:r>
      <w:r>
        <w:rPr>
          <w:rFonts w:hint="eastAsia" w:ascii="宋体" w:hAnsi="宋体"/>
          <w:color w:val="auto"/>
          <w:szCs w:val="21"/>
          <w:highlight w:val="none"/>
        </w:rPr>
        <w:t>。</w:t>
      </w:r>
    </w:p>
    <w:p>
      <w:pPr>
        <w:widowControl/>
        <w:tabs>
          <w:tab w:val="left" w:pos="315"/>
          <w:tab w:val="left" w:pos="735"/>
        </w:tabs>
        <w:adjustRightInd w:val="0"/>
        <w:snapToGrid w:val="0"/>
        <w:spacing w:line="360" w:lineRule="auto"/>
        <w:ind w:firstLine="210" w:firstLineChars="100"/>
        <w:rPr>
          <w:rFonts w:ascii="宋体" w:hAnsi="宋体" w:cs="Tahoma"/>
          <w:color w:val="auto"/>
          <w:kern w:val="28"/>
          <w:szCs w:val="21"/>
          <w:highlight w:val="none"/>
        </w:rPr>
      </w:pPr>
      <w:r>
        <w:rPr>
          <w:rFonts w:hint="eastAsia" w:ascii="宋体" w:hAnsi="宋体" w:cs="Tahoma"/>
          <w:color w:val="auto"/>
          <w:kern w:val="28"/>
          <w:szCs w:val="21"/>
          <w:highlight w:val="none"/>
        </w:rPr>
        <w:t>6.项目采购方式：竞争性磋商</w:t>
      </w:r>
    </w:p>
    <w:p>
      <w:pPr>
        <w:widowControl/>
        <w:tabs>
          <w:tab w:val="left" w:pos="502"/>
        </w:tabs>
        <w:adjustRightInd w:val="0"/>
        <w:snapToGrid w:val="0"/>
        <w:spacing w:line="360" w:lineRule="auto"/>
        <w:rPr>
          <w:rFonts w:ascii="宋体" w:hAnsi="宋体" w:cs="Tahoma"/>
          <w:b/>
          <w:bCs/>
          <w:color w:val="auto"/>
          <w:highlight w:val="none"/>
        </w:rPr>
      </w:pPr>
      <w:r>
        <w:rPr>
          <w:rFonts w:hint="eastAsia" w:ascii="宋体" w:hAnsi="宋体" w:cs="Tahoma"/>
          <w:b/>
          <w:bCs/>
          <w:color w:val="auto"/>
          <w:highlight w:val="none"/>
        </w:rPr>
        <w:t>二、投标人资格要求为：</w:t>
      </w:r>
    </w:p>
    <w:p>
      <w:pPr>
        <w:spacing w:line="360" w:lineRule="auto"/>
        <w:ind w:firstLine="210" w:firstLineChars="100"/>
        <w:rPr>
          <w:rFonts w:ascii="宋体" w:hAnsi="宋体"/>
          <w:color w:val="auto"/>
          <w:highlight w:val="none"/>
        </w:rPr>
      </w:pPr>
      <w:r>
        <w:rPr>
          <w:rFonts w:ascii="宋体" w:hAnsi="宋体"/>
          <w:color w:val="auto"/>
          <w:highlight w:val="none"/>
        </w:rPr>
        <w:t>1.投标人应具备《中华人民共和国政府采购法》第二十二条规定的条件</w:t>
      </w:r>
      <w:r>
        <w:rPr>
          <w:rFonts w:hint="eastAsia" w:ascii="宋体" w:hAnsi="宋体"/>
          <w:color w:val="auto"/>
          <w:highlight w:val="none"/>
        </w:rPr>
        <w:t>：</w:t>
      </w:r>
    </w:p>
    <w:p>
      <w:pPr>
        <w:spacing w:line="360" w:lineRule="auto"/>
        <w:ind w:left="420" w:leftChars="200"/>
        <w:rPr>
          <w:rFonts w:hint="eastAsia" w:ascii="宋体" w:hAnsi="宋体" w:eastAsia="宋体"/>
          <w:color w:val="auto"/>
          <w:highlight w:val="none"/>
          <w:lang w:eastAsia="zh-CN"/>
        </w:rPr>
      </w:pPr>
      <w:r>
        <w:rPr>
          <w:rFonts w:ascii="宋体" w:hAnsi="宋体"/>
          <w:color w:val="auto"/>
          <w:highlight w:val="none"/>
        </w:rPr>
        <w:t>1）具有独立承担民事责任的能力；</w:t>
      </w:r>
    </w:p>
    <w:p>
      <w:pPr>
        <w:spacing w:line="360" w:lineRule="auto"/>
        <w:ind w:left="420" w:leftChars="200"/>
        <w:rPr>
          <w:rFonts w:hint="eastAsia" w:ascii="宋体" w:hAnsi="宋体" w:eastAsia="宋体"/>
          <w:color w:val="auto"/>
          <w:highlight w:val="none"/>
          <w:lang w:eastAsia="zh-CN"/>
        </w:rPr>
      </w:pPr>
      <w:r>
        <w:rPr>
          <w:rFonts w:ascii="宋体" w:hAnsi="宋体"/>
          <w:color w:val="auto"/>
          <w:highlight w:val="none"/>
        </w:rPr>
        <w:t>2）具有良好的商业信誉和健全的财务会计制度；</w:t>
      </w:r>
    </w:p>
    <w:p>
      <w:pPr>
        <w:spacing w:line="360" w:lineRule="auto"/>
        <w:ind w:left="420" w:leftChars="200"/>
        <w:rPr>
          <w:rFonts w:hint="eastAsia" w:ascii="宋体" w:hAnsi="宋体" w:eastAsia="宋体"/>
          <w:color w:val="auto"/>
          <w:highlight w:val="none"/>
          <w:lang w:eastAsia="zh-CN"/>
        </w:rPr>
      </w:pPr>
      <w:r>
        <w:rPr>
          <w:rFonts w:ascii="宋体" w:hAnsi="宋体"/>
          <w:color w:val="auto"/>
          <w:highlight w:val="none"/>
        </w:rPr>
        <w:t>3）具有履行合同所必需的设备和专业技术能力；</w:t>
      </w:r>
    </w:p>
    <w:p>
      <w:pPr>
        <w:spacing w:line="360" w:lineRule="auto"/>
        <w:ind w:left="420" w:leftChars="200"/>
        <w:rPr>
          <w:rFonts w:hint="eastAsia" w:ascii="宋体" w:hAnsi="宋体" w:eastAsia="宋体"/>
          <w:color w:val="auto"/>
          <w:szCs w:val="21"/>
          <w:highlight w:val="none"/>
          <w:lang w:eastAsia="zh-CN"/>
        </w:rPr>
      </w:pPr>
      <w:r>
        <w:rPr>
          <w:rFonts w:ascii="宋体" w:hAnsi="宋体"/>
          <w:color w:val="auto"/>
          <w:szCs w:val="21"/>
          <w:highlight w:val="none"/>
        </w:rPr>
        <w:t>4）有依法缴纳税收和社会保障资金的良好记录；</w:t>
      </w:r>
    </w:p>
    <w:p>
      <w:pPr>
        <w:spacing w:line="360" w:lineRule="auto"/>
        <w:ind w:left="420" w:leftChars="200"/>
        <w:rPr>
          <w:rFonts w:hint="eastAsia" w:ascii="宋体" w:hAnsi="宋体" w:eastAsia="宋体"/>
          <w:color w:val="auto"/>
          <w:szCs w:val="21"/>
          <w:highlight w:val="none"/>
          <w:lang w:eastAsia="zh-CN"/>
        </w:rPr>
      </w:pPr>
      <w:r>
        <w:rPr>
          <w:rFonts w:ascii="宋体" w:hAnsi="宋体"/>
          <w:color w:val="auto"/>
          <w:szCs w:val="21"/>
          <w:highlight w:val="none"/>
        </w:rPr>
        <w:t>5）参加政府采购活动前三年内，在经营活动中没有重大违法记录；</w:t>
      </w:r>
    </w:p>
    <w:p>
      <w:pPr>
        <w:spacing w:line="360" w:lineRule="auto"/>
        <w:ind w:left="420" w:leftChars="200"/>
        <w:rPr>
          <w:rFonts w:ascii="宋体" w:hAnsi="宋体"/>
          <w:color w:val="auto"/>
          <w:szCs w:val="21"/>
          <w:highlight w:val="none"/>
        </w:rPr>
      </w:pPr>
      <w:r>
        <w:rPr>
          <w:rFonts w:ascii="宋体" w:hAnsi="宋体"/>
          <w:color w:val="auto"/>
          <w:szCs w:val="21"/>
          <w:highlight w:val="none"/>
        </w:rPr>
        <w:t>6）法律、行政法规规定的其他条件。</w:t>
      </w:r>
    </w:p>
    <w:p>
      <w:pPr>
        <w:spacing w:line="360" w:lineRule="auto"/>
        <w:ind w:firstLine="210" w:firstLineChars="100"/>
        <w:rPr>
          <w:rFonts w:hint="eastAsia" w:ascii="宋体" w:hAnsi="宋体"/>
          <w:color w:val="auto"/>
          <w:highlight w:val="none"/>
          <w:lang w:eastAsia="zh-CN"/>
        </w:rPr>
      </w:pPr>
      <w:r>
        <w:rPr>
          <w:rFonts w:hint="eastAsia" w:ascii="宋体" w:hAnsi="宋体"/>
          <w:color w:val="auto"/>
          <w:highlight w:val="none"/>
          <w:lang w:val="en-US" w:eastAsia="zh-CN"/>
        </w:rPr>
        <w:t>2.</w:t>
      </w:r>
      <w:r>
        <w:rPr>
          <w:rFonts w:hint="eastAsia" w:ascii="宋体" w:hAnsi="宋体"/>
          <w:color w:val="auto"/>
          <w:highlight w:val="none"/>
        </w:rPr>
        <w:t>投标人持有建设行政主管部门颁发的安全生产许可证</w:t>
      </w:r>
      <w:r>
        <w:rPr>
          <w:rFonts w:hint="eastAsia" w:ascii="宋体" w:hAnsi="宋体"/>
          <w:color w:val="auto"/>
          <w:highlight w:val="none"/>
          <w:lang w:eastAsia="zh-CN"/>
        </w:rPr>
        <w:t>。</w:t>
      </w:r>
    </w:p>
    <w:p>
      <w:pPr>
        <w:shd w:val="clear"/>
        <w:spacing w:line="360" w:lineRule="auto"/>
        <w:ind w:firstLine="210" w:firstLineChars="100"/>
        <w:rPr>
          <w:rFonts w:hint="eastAsia" w:ascii="宋体" w:hAnsi="宋体"/>
          <w:color w:val="auto"/>
          <w:highlight w:val="none"/>
          <w:lang w:eastAsia="zh-CN"/>
        </w:rPr>
      </w:pPr>
      <w:r>
        <w:rPr>
          <w:rFonts w:hint="eastAsia" w:ascii="宋体" w:hAnsi="宋体"/>
          <w:color w:val="auto"/>
          <w:highlight w:val="none"/>
          <w:lang w:val="en-US" w:eastAsia="zh-CN"/>
        </w:rPr>
        <w:t>3.</w:t>
      </w:r>
      <w:r>
        <w:rPr>
          <w:rFonts w:hint="eastAsia" w:ascii="宋体" w:hAnsi="宋体"/>
          <w:color w:val="auto"/>
          <w:highlight w:val="none"/>
        </w:rPr>
        <w:t>投标人具有承接本工程所需的建筑装修装饰工程专业承包二级或以上级别资质</w:t>
      </w:r>
      <w:r>
        <w:rPr>
          <w:rFonts w:hint="eastAsia" w:ascii="宋体" w:hAnsi="宋体"/>
          <w:color w:val="auto"/>
          <w:highlight w:val="none"/>
          <w:lang w:eastAsia="zh-CN"/>
        </w:rPr>
        <w:t>。</w:t>
      </w:r>
    </w:p>
    <w:p>
      <w:pPr>
        <w:spacing w:line="360" w:lineRule="auto"/>
        <w:ind w:firstLine="210" w:firstLineChars="100"/>
        <w:rPr>
          <w:rFonts w:hint="eastAsia" w:ascii="宋体" w:hAnsi="宋体"/>
          <w:color w:val="auto"/>
          <w:highlight w:val="none"/>
          <w:lang w:eastAsia="zh-CN"/>
        </w:rPr>
      </w:pPr>
      <w:r>
        <w:rPr>
          <w:rFonts w:hint="eastAsia" w:ascii="宋体" w:hAnsi="宋体"/>
          <w:color w:val="auto"/>
          <w:highlight w:val="none"/>
          <w:lang w:val="en-US" w:eastAsia="zh-CN"/>
        </w:rPr>
        <w:t>4.</w:t>
      </w:r>
      <w:r>
        <w:rPr>
          <w:rFonts w:hint="eastAsia" w:ascii="宋体" w:hAnsi="宋体"/>
          <w:color w:val="auto"/>
          <w:highlight w:val="none"/>
        </w:rPr>
        <w:t>项目负责人持有安全培训考核合格证（B类）或能够提供广东省建筑施工企业管理人员安全生产考核信息系统安全生产管理人员证书信息的网页截图</w:t>
      </w:r>
      <w:r>
        <w:rPr>
          <w:rFonts w:hint="eastAsia" w:ascii="宋体" w:hAnsi="宋体"/>
          <w:color w:val="auto"/>
          <w:highlight w:val="none"/>
          <w:lang w:eastAsia="zh-CN"/>
        </w:rPr>
        <w:t>。</w:t>
      </w:r>
    </w:p>
    <w:p>
      <w:pPr>
        <w:spacing w:line="360" w:lineRule="auto"/>
        <w:ind w:firstLine="211" w:firstLineChars="100"/>
        <w:rPr>
          <w:rFonts w:hint="eastAsia"/>
          <w:b/>
          <w:bCs/>
          <w:color w:val="auto"/>
          <w:highlight w:val="none"/>
        </w:rPr>
      </w:pPr>
      <w:r>
        <w:rPr>
          <w:rFonts w:hint="eastAsia" w:ascii="宋体" w:hAnsi="宋体"/>
          <w:b/>
          <w:bCs/>
          <w:color w:val="auto"/>
          <w:highlight w:val="none"/>
          <w:lang w:val="en-US" w:eastAsia="zh-CN"/>
        </w:rPr>
        <w:t>注：</w:t>
      </w:r>
      <w:r>
        <w:rPr>
          <w:rFonts w:hint="eastAsia" w:ascii="宋体" w:hAnsi="宋体"/>
          <w:b/>
          <w:bCs/>
          <w:color w:val="auto"/>
          <w:highlight w:val="none"/>
        </w:rPr>
        <w:t>项目负责人在任职期间不得担任专职安全员，项目专职安全员在任职期间也不得担任项目负责人，项目负责人和安全员不为同一人。</w:t>
      </w:r>
    </w:p>
    <w:p>
      <w:pPr>
        <w:spacing w:line="360" w:lineRule="auto"/>
        <w:ind w:firstLine="210" w:firstLineChars="100"/>
        <w:rPr>
          <w:rFonts w:hint="eastAsia" w:ascii="宋体" w:hAnsi="宋体"/>
          <w:color w:val="auto"/>
          <w:highlight w:val="none"/>
        </w:rPr>
      </w:pPr>
      <w:r>
        <w:rPr>
          <w:rFonts w:hint="eastAsia" w:ascii="宋体" w:hAnsi="宋体"/>
          <w:color w:val="auto"/>
          <w:highlight w:val="none"/>
          <w:lang w:val="en-US" w:eastAsia="zh-CN"/>
        </w:rPr>
        <w:t>5.</w:t>
      </w:r>
      <w:r>
        <w:rPr>
          <w:rFonts w:hint="eastAsia" w:ascii="宋体" w:hAnsi="宋体"/>
          <w:color w:val="auto"/>
          <w:highlight w:val="none"/>
        </w:rPr>
        <w:t>本项目不接受联合体投标。</w:t>
      </w:r>
    </w:p>
    <w:p>
      <w:pPr>
        <w:spacing w:line="360" w:lineRule="auto"/>
        <w:ind w:firstLine="210" w:firstLineChars="100"/>
        <w:rPr>
          <w:rFonts w:hint="eastAsia" w:ascii="宋体" w:hAnsi="宋体"/>
          <w:color w:val="auto"/>
          <w:highlight w:val="none"/>
        </w:rPr>
      </w:pPr>
      <w:r>
        <w:rPr>
          <w:rFonts w:hint="eastAsia" w:ascii="宋体" w:hAnsi="宋体"/>
          <w:color w:val="auto"/>
          <w:highlight w:val="none"/>
          <w:lang w:val="en-US" w:eastAsia="zh-CN"/>
        </w:rPr>
        <w:t>6.</w:t>
      </w:r>
      <w:r>
        <w:rPr>
          <w:rFonts w:hint="eastAsia" w:ascii="宋体" w:hAnsi="宋体"/>
          <w:color w:val="auto"/>
          <w:highlight w:val="none"/>
        </w:rPr>
        <w:t>投标人须在招标代理机构登记并购买</w:t>
      </w:r>
      <w:r>
        <w:rPr>
          <w:rFonts w:hint="eastAsia" w:ascii="宋体" w:hAnsi="宋体"/>
          <w:color w:val="auto"/>
          <w:highlight w:val="none"/>
          <w:lang w:val="en-US" w:eastAsia="zh-CN"/>
        </w:rPr>
        <w:t>磋商</w:t>
      </w:r>
      <w:r>
        <w:rPr>
          <w:rFonts w:hint="eastAsia" w:ascii="宋体" w:hAnsi="宋体"/>
          <w:color w:val="auto"/>
          <w:highlight w:val="none"/>
        </w:rPr>
        <w:t>文件。</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三、</w:t>
      </w:r>
      <w:r>
        <w:rPr>
          <w:rFonts w:ascii="宋体" w:hAnsi="宋体" w:cs="Tahoma"/>
          <w:b/>
          <w:bCs/>
          <w:color w:val="auto"/>
          <w:szCs w:val="21"/>
          <w:highlight w:val="none"/>
        </w:rPr>
        <w:t>磋商文件的公示</w:t>
      </w:r>
    </w:p>
    <w:p>
      <w:pPr>
        <w:widowControl/>
        <w:spacing w:line="360" w:lineRule="auto"/>
        <w:jc w:val="left"/>
        <w:rPr>
          <w:rFonts w:ascii="宋体" w:hAnsi="宋体"/>
          <w:bCs/>
          <w:color w:val="auto"/>
          <w:highlight w:val="none"/>
        </w:rPr>
      </w:pPr>
      <w:r>
        <w:rPr>
          <w:rFonts w:hint="eastAsia" w:ascii="宋体" w:hAnsi="宋体" w:cs="宋体"/>
          <w:color w:val="auto"/>
          <w:kern w:val="0"/>
          <w:szCs w:val="21"/>
          <w:highlight w:val="none"/>
        </w:rPr>
        <w:t xml:space="preserve">  1．</w:t>
      </w:r>
      <w:r>
        <w:rPr>
          <w:rFonts w:hint="eastAsia" w:ascii="宋体" w:hAnsi="宋体" w:cs="Arial"/>
          <w:color w:val="auto"/>
          <w:highlight w:val="none"/>
        </w:rPr>
        <w:t>磋商文件公示时</w:t>
      </w:r>
      <w:r>
        <w:rPr>
          <w:rFonts w:hint="eastAsia" w:ascii="宋体" w:hAnsi="宋体"/>
          <w:bCs/>
          <w:color w:val="auto"/>
          <w:highlight w:val="none"/>
        </w:rPr>
        <w:t>间及下载：</w:t>
      </w:r>
      <w:r>
        <w:rPr>
          <w:rFonts w:hint="eastAsia" w:ascii="宋体" w:hAnsi="宋体" w:eastAsia="宋体" w:cs="Times New Roman"/>
          <w:bCs/>
          <w:color w:val="auto"/>
          <w:kern w:val="2"/>
          <w:sz w:val="21"/>
          <w:szCs w:val="24"/>
          <w:highlight w:val="none"/>
          <w:lang w:val="en-US" w:eastAsia="zh-CN" w:bidi="ar-SA"/>
        </w:rPr>
        <w:t>2022年7月4日</w:t>
      </w:r>
      <w:r>
        <w:rPr>
          <w:rFonts w:hint="eastAsia" w:ascii="宋体" w:hAnsi="宋体"/>
          <w:color w:val="auto"/>
          <w:szCs w:val="21"/>
          <w:highlight w:val="none"/>
        </w:rPr>
        <w:t>至</w:t>
      </w:r>
      <w:r>
        <w:rPr>
          <w:rFonts w:hint="eastAsia" w:ascii="宋体" w:hAnsi="宋体" w:eastAsia="宋体" w:cs="Times New Roman"/>
          <w:bCs/>
          <w:color w:val="auto"/>
          <w:kern w:val="2"/>
          <w:sz w:val="21"/>
          <w:szCs w:val="24"/>
          <w:highlight w:val="none"/>
          <w:lang w:val="en-US" w:eastAsia="zh-CN" w:bidi="ar-SA"/>
        </w:rPr>
        <w:t>2022年7月11日</w:t>
      </w:r>
      <w:r>
        <w:rPr>
          <w:rFonts w:hint="eastAsia" w:ascii="宋体" w:hAnsi="宋体"/>
          <w:bCs/>
          <w:color w:val="auto"/>
          <w:highlight w:val="none"/>
        </w:rPr>
        <w:t>。</w:t>
      </w:r>
    </w:p>
    <w:p>
      <w:pPr>
        <w:widowControl/>
        <w:adjustRightInd w:val="0"/>
        <w:snapToGrid w:val="0"/>
        <w:spacing w:line="360" w:lineRule="auto"/>
        <w:ind w:left="105" w:leftChars="50"/>
        <w:rPr>
          <w:rFonts w:ascii="宋体" w:hAnsi="宋体" w:cs="宋体"/>
          <w:color w:val="auto"/>
          <w:kern w:val="0"/>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四、购买磋商文件的时间、地点、方式及磋商文件售价</w:t>
      </w:r>
    </w:p>
    <w:p>
      <w:pPr>
        <w:widowControl/>
        <w:tabs>
          <w:tab w:val="left" w:pos="735"/>
        </w:tabs>
        <w:adjustRightInd w:val="0"/>
        <w:snapToGrid w:val="0"/>
        <w:spacing w:line="360" w:lineRule="auto"/>
        <w:ind w:left="210" w:hanging="210" w:hangingChars="100"/>
        <w:rPr>
          <w:rFonts w:ascii="宋体" w:hAnsi="宋体" w:cs="Arial"/>
          <w:color w:val="auto"/>
          <w:highlight w:val="none"/>
        </w:rPr>
      </w:pPr>
      <w:r>
        <w:rPr>
          <w:rFonts w:hint="eastAsia" w:ascii="宋体" w:hAnsi="宋体" w:cs="Tahoma"/>
          <w:color w:val="auto"/>
          <w:highlight w:val="none"/>
        </w:rPr>
        <w:t xml:space="preserve"> 1.购买磋商文件</w:t>
      </w:r>
      <w:r>
        <w:rPr>
          <w:rFonts w:hint="eastAsia" w:ascii="宋体" w:hAnsi="宋体"/>
          <w:bCs/>
          <w:color w:val="auto"/>
          <w:highlight w:val="none"/>
        </w:rPr>
        <w:t>时间：</w:t>
      </w:r>
      <w:r>
        <w:rPr>
          <w:rFonts w:hint="eastAsia" w:ascii="宋体" w:hAnsi="宋体" w:eastAsia="宋体" w:cs="Times New Roman"/>
          <w:bCs/>
          <w:color w:val="auto"/>
          <w:kern w:val="2"/>
          <w:sz w:val="21"/>
          <w:szCs w:val="24"/>
          <w:highlight w:val="none"/>
          <w:lang w:val="en-US" w:eastAsia="zh-CN" w:bidi="ar-SA"/>
        </w:rPr>
        <w:t>2022年7月4日</w:t>
      </w:r>
      <w:r>
        <w:rPr>
          <w:rFonts w:hint="eastAsia" w:ascii="宋体" w:hAnsi="宋体"/>
          <w:color w:val="auto"/>
          <w:szCs w:val="21"/>
          <w:highlight w:val="none"/>
        </w:rPr>
        <w:t>至</w:t>
      </w:r>
      <w:r>
        <w:rPr>
          <w:rFonts w:hint="eastAsia" w:ascii="宋体" w:hAnsi="宋体" w:eastAsia="宋体" w:cs="Times New Roman"/>
          <w:bCs/>
          <w:color w:val="auto"/>
          <w:kern w:val="2"/>
          <w:sz w:val="21"/>
          <w:szCs w:val="24"/>
          <w:highlight w:val="none"/>
          <w:lang w:val="en-US" w:eastAsia="zh-CN" w:bidi="ar-SA"/>
        </w:rPr>
        <w:t>2022年7月11日</w:t>
      </w:r>
      <w:r>
        <w:rPr>
          <w:rFonts w:hint="eastAsia" w:ascii="宋体" w:hAnsi="宋体"/>
          <w:bCs/>
          <w:color w:val="auto"/>
          <w:highlight w:val="none"/>
        </w:rPr>
        <w:t>，上午9:00～12:00，下午2:30～5:30（节假日除外）（北</w:t>
      </w:r>
      <w:r>
        <w:rPr>
          <w:rFonts w:hint="eastAsia" w:ascii="宋体" w:hAnsi="宋体" w:cs="Arial"/>
          <w:color w:val="auto"/>
          <w:highlight w:val="none"/>
        </w:rPr>
        <w:t>京时间）。</w:t>
      </w:r>
    </w:p>
    <w:p>
      <w:pPr>
        <w:widowControl/>
        <w:tabs>
          <w:tab w:val="left" w:pos="735"/>
        </w:tabs>
        <w:adjustRightInd w:val="0"/>
        <w:snapToGrid w:val="0"/>
        <w:spacing w:line="360" w:lineRule="auto"/>
        <w:rPr>
          <w:rFonts w:ascii="宋体" w:hAnsi="宋体"/>
          <w:bCs/>
          <w:color w:val="auto"/>
          <w:highlight w:val="none"/>
        </w:rPr>
      </w:pPr>
      <w:r>
        <w:rPr>
          <w:rFonts w:hint="eastAsia" w:ascii="宋体" w:hAnsi="宋体" w:cs="Tahoma"/>
          <w:color w:val="auto"/>
          <w:highlight w:val="none"/>
        </w:rPr>
        <w:t xml:space="preserve"> 2.购买磋商文件地点：阳江市江城区猫山四街33号A座2楼</w:t>
      </w:r>
      <w:r>
        <w:rPr>
          <w:rFonts w:hint="eastAsia" w:ascii="宋体" w:hAnsi="宋体"/>
          <w:color w:val="auto"/>
          <w:szCs w:val="21"/>
          <w:highlight w:val="none"/>
          <w:lang w:val="en-US" w:eastAsia="zh-CN"/>
        </w:rPr>
        <w:t>2</w:t>
      </w:r>
      <w:r>
        <w:rPr>
          <w:rFonts w:hint="eastAsia" w:ascii="宋体" w:hAnsi="宋体"/>
          <w:color w:val="auto"/>
          <w:szCs w:val="21"/>
          <w:highlight w:val="none"/>
        </w:rPr>
        <w:t>05室。</w:t>
      </w:r>
    </w:p>
    <w:p>
      <w:pPr>
        <w:widowControl/>
        <w:tabs>
          <w:tab w:val="left" w:pos="735"/>
        </w:tabs>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 3.磋商文件售价：</w:t>
      </w:r>
      <w:r>
        <w:rPr>
          <w:rFonts w:hint="eastAsia" w:ascii="宋体" w:hAnsi="宋体"/>
          <w:bCs/>
          <w:color w:val="auto"/>
          <w:szCs w:val="21"/>
          <w:highlight w:val="none"/>
        </w:rPr>
        <w:t>磋商文件每套人民币200元，售后不退</w:t>
      </w:r>
      <w:r>
        <w:rPr>
          <w:rFonts w:hint="eastAsia" w:ascii="宋体" w:hAnsi="宋体"/>
          <w:bCs/>
          <w:color w:val="auto"/>
          <w:highlight w:val="none"/>
        </w:rPr>
        <w:t>。</w:t>
      </w:r>
    </w:p>
    <w:p>
      <w:pPr>
        <w:widowControl/>
        <w:tabs>
          <w:tab w:val="left" w:pos="735"/>
        </w:tabs>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 4.磋商文件获取方式：现场发售。</w:t>
      </w:r>
    </w:p>
    <w:p>
      <w:pPr>
        <w:widowControl/>
        <w:tabs>
          <w:tab w:val="left" w:pos="735"/>
        </w:tabs>
        <w:adjustRightInd w:val="0"/>
        <w:snapToGrid w:val="0"/>
        <w:spacing w:line="360" w:lineRule="auto"/>
        <w:ind w:firstLine="105" w:firstLineChars="50"/>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购买磋商文件必须携带：</w:t>
      </w:r>
    </w:p>
    <w:p>
      <w:pPr>
        <w:widowControl/>
        <w:tabs>
          <w:tab w:val="left" w:pos="735"/>
        </w:tabs>
        <w:adjustRightInd w:val="0"/>
        <w:snapToGrid w:val="0"/>
        <w:spacing w:line="360" w:lineRule="auto"/>
        <w:ind w:left="420" w:leftChars="100" w:hanging="210" w:hangingChars="100"/>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1）法定代表人（负责人）证明书原件、法定代表人（负责人）授权委托书原件、法定代表人（负责人）身份证复印件、授权委托人身份证复印件和企业法人营业执照副本复印件及《购买标书登记表》（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59"/>
          <w:rFonts w:hint="eastAsia" w:ascii="宋体" w:hAnsi="宋体"/>
          <w:bCs/>
          <w:color w:val="auto"/>
          <w:szCs w:val="21"/>
          <w:highlight w:val="none"/>
        </w:rPr>
        <w:t>http://www.yjcg.cc</w:t>
      </w:r>
      <w:r>
        <w:rPr>
          <w:rStyle w:val="59"/>
          <w:rFonts w:hint="eastAsia" w:ascii="宋体" w:hAnsi="宋体"/>
          <w:bCs/>
          <w:color w:val="auto"/>
          <w:szCs w:val="21"/>
          <w:highlight w:val="none"/>
        </w:rPr>
        <w:fldChar w:fldCharType="end"/>
      </w:r>
      <w:r>
        <w:rPr>
          <w:rFonts w:hint="eastAsia" w:ascii="宋体" w:hAnsi="宋体"/>
          <w:bCs/>
          <w:color w:val="auto"/>
          <w:szCs w:val="21"/>
          <w:highlight w:val="none"/>
        </w:rPr>
        <w:t>政府采购资料下载专区）加盖公章到指定地址购买。</w:t>
      </w:r>
      <w:r>
        <w:rPr>
          <w:rFonts w:hint="eastAsia" w:ascii="宋体" w:hAnsi="宋体"/>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tabs>
          <w:tab w:val="left" w:pos="735"/>
        </w:tabs>
        <w:adjustRightInd w:val="0"/>
        <w:snapToGrid w:val="0"/>
        <w:spacing w:line="360" w:lineRule="auto"/>
        <w:ind w:left="388" w:leftChars="135" w:hanging="105" w:hangingChars="50"/>
        <w:rPr>
          <w:rFonts w:ascii="宋体" w:hAnsi="宋体" w:cs="Arial"/>
          <w:b/>
          <w:color w:val="auto"/>
          <w:highlight w:val="none"/>
        </w:rPr>
      </w:pPr>
      <w:r>
        <w:rPr>
          <w:rFonts w:hint="eastAsia" w:ascii="宋体" w:hAnsi="宋体"/>
          <w:bCs/>
          <w:color w:val="auto"/>
          <w:highlight w:val="none"/>
        </w:rPr>
        <w:t>2）</w:t>
      </w:r>
      <w:r>
        <w:rPr>
          <w:rFonts w:hint="eastAsia" w:ascii="宋体" w:hAnsi="宋体"/>
          <w:b/>
          <w:bCs/>
          <w:color w:val="auto"/>
          <w:highlight w:val="none"/>
        </w:rPr>
        <w:t>供应商须提供未被列入“信用中国”网站(</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Style w:val="59"/>
          <w:rFonts w:hint="eastAsia" w:ascii="宋体" w:hAnsi="宋体"/>
          <w:b/>
          <w:bCs/>
          <w:color w:val="auto"/>
          <w:highlight w:val="none"/>
        </w:rPr>
        <w:t>www.creditchina.gov.cn)“记录失信被执行人或重大</w:t>
      </w:r>
      <w:r>
        <w:rPr>
          <w:rStyle w:val="59"/>
          <w:rFonts w:hint="eastAsia" w:ascii="宋体" w:hAnsi="宋体"/>
          <w:b/>
          <w:bCs/>
          <w:color w:val="auto"/>
          <w:highlight w:val="none"/>
        </w:rPr>
        <w:fldChar w:fldCharType="end"/>
      </w:r>
      <w:r>
        <w:rPr>
          <w:rFonts w:hint="eastAsia" w:ascii="宋体" w:hAnsi="宋体"/>
          <w:b/>
          <w:bCs/>
          <w:color w:val="auto"/>
          <w:highlight w:val="none"/>
        </w:rPr>
        <w:t>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numPr>
          <w:ilvl w:val="0"/>
          <w:numId w:val="22"/>
        </w:numPr>
        <w:tabs>
          <w:tab w:val="left" w:pos="502"/>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投标截止时间、开标时间及地点</w:t>
      </w:r>
    </w:p>
    <w:p>
      <w:pPr>
        <w:widowControl/>
        <w:tabs>
          <w:tab w:val="left" w:pos="735"/>
        </w:tabs>
        <w:adjustRightInd w:val="0"/>
        <w:snapToGrid w:val="0"/>
        <w:spacing w:line="360" w:lineRule="auto"/>
        <w:rPr>
          <w:rFonts w:ascii="宋体" w:hAnsi="宋体" w:cs="Arial"/>
          <w:color w:val="auto"/>
          <w:highlight w:val="none"/>
        </w:rPr>
      </w:pPr>
      <w:r>
        <w:rPr>
          <w:rFonts w:hint="eastAsia" w:ascii="宋体" w:hAnsi="宋体" w:cs="Tahoma"/>
          <w:color w:val="auto"/>
          <w:highlight w:val="none"/>
        </w:rPr>
        <w:t xml:space="preserve"> 1.递交磋商响应文件时间：</w:t>
      </w:r>
      <w:r>
        <w:rPr>
          <w:rFonts w:hint="eastAsia" w:ascii="宋体" w:hAnsi="宋体" w:eastAsia="宋体" w:cs="Times New Roman"/>
          <w:bCs/>
          <w:color w:val="auto"/>
          <w:kern w:val="2"/>
          <w:sz w:val="21"/>
          <w:szCs w:val="24"/>
          <w:highlight w:val="none"/>
          <w:lang w:val="en-US" w:eastAsia="zh-CN" w:bidi="ar-SA"/>
        </w:rPr>
        <w:t>2022年7月15日</w:t>
      </w:r>
      <w:r>
        <w:rPr>
          <w:rFonts w:hint="eastAsia" w:ascii="宋体" w:hAnsi="宋体"/>
          <w:color w:val="auto"/>
          <w:highlight w:val="none"/>
        </w:rPr>
        <w:t xml:space="preserve"> </w:t>
      </w:r>
      <w:r>
        <w:rPr>
          <w:rFonts w:hint="eastAsia" w:ascii="宋体" w:hAnsi="宋体"/>
          <w:color w:val="auto"/>
          <w:highlight w:val="none"/>
          <w:lang w:val="en-US" w:eastAsia="zh-CN"/>
        </w:rPr>
        <w:t>14</w:t>
      </w:r>
      <w:r>
        <w:rPr>
          <w:rFonts w:hint="eastAsia" w:ascii="宋体" w:hAnsi="宋体"/>
          <w:color w:val="auto"/>
          <w:highlight w:val="none"/>
        </w:rPr>
        <w:t>:30-1</w:t>
      </w:r>
      <w:r>
        <w:rPr>
          <w:rFonts w:hint="eastAsia" w:ascii="宋体" w:hAnsi="宋体"/>
          <w:color w:val="auto"/>
          <w:highlight w:val="none"/>
          <w:lang w:val="en-US" w:eastAsia="zh-CN"/>
        </w:rPr>
        <w:t>5</w:t>
      </w:r>
      <w:r>
        <w:rPr>
          <w:rFonts w:hint="eastAsia" w:ascii="宋体" w:hAnsi="宋体"/>
          <w:color w:val="auto"/>
          <w:highlight w:val="none"/>
        </w:rPr>
        <w:t>:00</w:t>
      </w:r>
      <w:r>
        <w:rPr>
          <w:rFonts w:ascii="宋体" w:hAnsi="宋体" w:cs="Arial"/>
          <w:color w:val="auto"/>
          <w:highlight w:val="none"/>
        </w:rPr>
        <w:t xml:space="preserve"> (</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widowControl/>
        <w:tabs>
          <w:tab w:val="left" w:pos="735"/>
        </w:tabs>
        <w:adjustRightInd w:val="0"/>
        <w:snapToGrid w:val="0"/>
        <w:spacing w:line="360" w:lineRule="auto"/>
        <w:rPr>
          <w:rFonts w:ascii="宋体" w:hAnsi="宋体"/>
          <w:bCs/>
          <w:color w:val="auto"/>
          <w:highlight w:val="none"/>
        </w:rPr>
      </w:pPr>
      <w:r>
        <w:rPr>
          <w:rFonts w:hint="eastAsia" w:ascii="宋体" w:hAnsi="宋体" w:cs="Tahoma"/>
          <w:color w:val="auto"/>
          <w:highlight w:val="none"/>
        </w:rPr>
        <w:t xml:space="preserve"> 2.投标截止时间、开标时间：</w:t>
      </w:r>
      <w:r>
        <w:rPr>
          <w:rFonts w:hint="eastAsia" w:ascii="宋体" w:hAnsi="宋体" w:eastAsia="宋体" w:cs="Times New Roman"/>
          <w:bCs/>
          <w:color w:val="auto"/>
          <w:kern w:val="2"/>
          <w:sz w:val="21"/>
          <w:szCs w:val="24"/>
          <w:highlight w:val="none"/>
          <w:lang w:val="en-US" w:eastAsia="zh-CN" w:bidi="ar-SA"/>
        </w:rPr>
        <w:t>2022年7月15日</w:t>
      </w:r>
      <w:r>
        <w:rPr>
          <w:rFonts w:hint="eastAsia" w:ascii="宋体" w:hAnsi="宋体"/>
          <w:color w:val="auto"/>
          <w:highlight w:val="none"/>
        </w:rPr>
        <w:t>1</w:t>
      </w:r>
      <w:r>
        <w:rPr>
          <w:rFonts w:hint="eastAsia" w:ascii="宋体" w:hAnsi="宋体"/>
          <w:color w:val="auto"/>
          <w:highlight w:val="none"/>
          <w:lang w:val="en-US" w:eastAsia="zh-CN"/>
        </w:rPr>
        <w:t>5</w:t>
      </w:r>
      <w:r>
        <w:rPr>
          <w:rFonts w:hint="eastAsia" w:ascii="宋体" w:hAnsi="宋体"/>
          <w:color w:val="auto"/>
          <w:highlight w:val="none"/>
        </w:rPr>
        <w:t>:00</w:t>
      </w:r>
      <w:r>
        <w:rPr>
          <w:rFonts w:hint="eastAsia" w:ascii="宋体" w:hAnsi="宋体" w:cs="Arial"/>
          <w:color w:val="auto"/>
          <w:szCs w:val="21"/>
          <w:highlight w:val="none"/>
        </w:rPr>
        <w:t xml:space="preserve"> </w:t>
      </w:r>
      <w:r>
        <w:rPr>
          <w:rFonts w:ascii="宋体" w:hAnsi="宋体" w:cs="Arial"/>
          <w:color w:val="auto"/>
          <w:highlight w:val="none"/>
        </w:rPr>
        <w:t>(</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widowControl/>
        <w:tabs>
          <w:tab w:val="left" w:pos="735"/>
        </w:tabs>
        <w:adjustRightInd w:val="0"/>
        <w:snapToGrid w:val="0"/>
        <w:spacing w:line="360" w:lineRule="auto"/>
        <w:ind w:firstLine="105" w:firstLineChars="50"/>
        <w:rPr>
          <w:rFonts w:ascii="宋体" w:hAnsi="宋体" w:cs="Tahoma"/>
          <w:b/>
          <w:bCs/>
          <w:color w:val="auto"/>
          <w:szCs w:val="21"/>
          <w:highlight w:val="none"/>
        </w:rPr>
      </w:pPr>
      <w:r>
        <w:rPr>
          <w:rFonts w:hint="eastAsia" w:ascii="宋体" w:hAnsi="宋体" w:cs="Tahoma"/>
          <w:color w:val="auto"/>
          <w:highlight w:val="none"/>
        </w:rPr>
        <w:t>3.递交磋商响应文件地点、开标地点：阳江市江城区猫山四街33号A座2楼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p>
    <w:p>
      <w:pPr>
        <w:widowControl/>
        <w:tabs>
          <w:tab w:val="left" w:pos="735"/>
        </w:tabs>
        <w:adjustRightInd w:val="0"/>
        <w:snapToGrid w:val="0"/>
        <w:spacing w:line="360" w:lineRule="auto"/>
        <w:rPr>
          <w:rFonts w:ascii="宋体" w:hAnsi="宋体" w:cs="Tahoma"/>
          <w:b/>
          <w:bCs/>
          <w:color w:val="auto"/>
          <w:szCs w:val="21"/>
          <w:highlight w:val="none"/>
        </w:rPr>
      </w:pPr>
      <w:r>
        <w:rPr>
          <w:rFonts w:hint="eastAsia" w:ascii="宋体" w:hAnsi="宋体" w:cs="Tahoma"/>
          <w:b/>
          <w:bCs/>
          <w:color w:val="auto"/>
          <w:szCs w:val="21"/>
          <w:highlight w:val="none"/>
        </w:rPr>
        <w:t>六、采购人、代理采购机构的名称、地址和联系方式</w:t>
      </w:r>
    </w:p>
    <w:p>
      <w:pPr>
        <w:widowControl/>
        <w:tabs>
          <w:tab w:val="left" w:pos="630"/>
        </w:tabs>
        <w:adjustRightInd w:val="0"/>
        <w:snapToGrid w:val="0"/>
        <w:spacing w:line="360" w:lineRule="auto"/>
        <w:ind w:firstLine="105" w:firstLineChars="50"/>
        <w:rPr>
          <w:rFonts w:ascii="宋体" w:hAnsi="宋体"/>
          <w:bCs/>
          <w:color w:val="auto"/>
          <w:highlight w:val="none"/>
        </w:rPr>
      </w:pPr>
      <w:r>
        <w:rPr>
          <w:rFonts w:hint="eastAsia" w:ascii="宋体" w:hAnsi="宋体" w:cs="Tahoma"/>
          <w:color w:val="auto"/>
          <w:highlight w:val="none"/>
        </w:rPr>
        <w:t>1．采购人联系方式：</w:t>
      </w:r>
    </w:p>
    <w:p>
      <w:pPr>
        <w:tabs>
          <w:tab w:val="left" w:pos="735"/>
          <w:tab w:val="left" w:pos="4680"/>
        </w:tabs>
        <w:adjustRightInd w:val="0"/>
        <w:snapToGrid w:val="0"/>
        <w:spacing w:line="360" w:lineRule="auto"/>
        <w:ind w:firstLine="420" w:firstLineChars="200"/>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阳江市阳东区第一职业技术学校</w:t>
      </w:r>
    </w:p>
    <w:p>
      <w:pPr>
        <w:tabs>
          <w:tab w:val="left" w:pos="735"/>
          <w:tab w:val="left" w:pos="4680"/>
        </w:tabs>
        <w:adjustRightInd w:val="0"/>
        <w:snapToGrid w:val="0"/>
        <w:spacing w:line="360" w:lineRule="auto"/>
        <w:ind w:firstLine="420" w:firstLineChars="200"/>
        <w:rPr>
          <w:rFonts w:hint="default" w:ascii="宋体" w:hAnsi="宋体" w:cs="Tahoma"/>
          <w:color w:val="auto"/>
          <w:kern w:val="28"/>
          <w:szCs w:val="21"/>
          <w:highlight w:val="none"/>
          <w:lang w:val="en-US" w:eastAsia="zh-CN"/>
        </w:rPr>
      </w:pPr>
      <w:r>
        <w:rPr>
          <w:rFonts w:hint="eastAsia" w:ascii="宋体" w:hAnsi="宋体" w:cs="Tahoma"/>
          <w:color w:val="auto"/>
          <w:kern w:val="28"/>
          <w:szCs w:val="21"/>
          <w:highlight w:val="none"/>
          <w:lang w:val="en-US" w:eastAsia="zh-CN"/>
        </w:rPr>
        <w:t>地   址：广东省阳江市阳东区塘坪镇麒麟路55号</w:t>
      </w:r>
    </w:p>
    <w:p>
      <w:pPr>
        <w:tabs>
          <w:tab w:val="left" w:pos="735"/>
          <w:tab w:val="left" w:pos="4680"/>
        </w:tabs>
        <w:adjustRightInd w:val="0"/>
        <w:snapToGrid w:val="0"/>
        <w:spacing w:line="360" w:lineRule="auto"/>
        <w:ind w:firstLine="420" w:firstLineChars="200"/>
        <w:rPr>
          <w:rFonts w:hint="default" w:ascii="宋体" w:hAnsi="宋体" w:cs="Tahoma"/>
          <w:color w:val="auto"/>
          <w:kern w:val="28"/>
          <w:szCs w:val="21"/>
          <w:highlight w:val="none"/>
          <w:lang w:val="en-US" w:eastAsia="zh-CN"/>
        </w:rPr>
      </w:pPr>
      <w:r>
        <w:rPr>
          <w:rFonts w:hint="eastAsia" w:ascii="宋体" w:hAnsi="宋体" w:cs="Tahoma"/>
          <w:color w:val="auto"/>
          <w:kern w:val="28"/>
          <w:szCs w:val="21"/>
          <w:highlight w:val="none"/>
        </w:rPr>
        <w:t xml:space="preserve">联 系 人： </w:t>
      </w:r>
      <w:r>
        <w:rPr>
          <w:rFonts w:hint="eastAsia" w:ascii="宋体" w:hAnsi="宋体" w:cs="Tahoma"/>
          <w:color w:val="auto"/>
          <w:kern w:val="28"/>
          <w:szCs w:val="21"/>
          <w:highlight w:val="none"/>
          <w:lang w:val="en-US" w:eastAsia="zh-CN"/>
        </w:rPr>
        <w:t>冯宏杰</w:t>
      </w:r>
    </w:p>
    <w:p>
      <w:pPr>
        <w:tabs>
          <w:tab w:val="left" w:pos="735"/>
          <w:tab w:val="left" w:pos="4680"/>
        </w:tabs>
        <w:adjustRightInd w:val="0"/>
        <w:snapToGrid w:val="0"/>
        <w:spacing w:line="360" w:lineRule="auto"/>
        <w:ind w:firstLine="420" w:firstLineChars="200"/>
        <w:rPr>
          <w:rFonts w:ascii="宋体" w:hAnsi="宋体" w:cs="Tahoma"/>
          <w:color w:val="auto"/>
          <w:kern w:val="28"/>
          <w:szCs w:val="21"/>
          <w:highlight w:val="none"/>
        </w:rPr>
      </w:pPr>
      <w:r>
        <w:rPr>
          <w:rFonts w:hint="eastAsia" w:ascii="宋体" w:hAnsi="宋体" w:cs="Tahoma"/>
          <w:color w:val="auto"/>
          <w:kern w:val="28"/>
          <w:szCs w:val="21"/>
          <w:highlight w:val="none"/>
        </w:rPr>
        <w:t>联系电话：0662-6252265</w:t>
      </w:r>
    </w:p>
    <w:p>
      <w:pPr>
        <w:tabs>
          <w:tab w:val="left" w:pos="735"/>
          <w:tab w:val="left" w:pos="4680"/>
        </w:tabs>
        <w:adjustRightInd w:val="0"/>
        <w:snapToGrid w:val="0"/>
        <w:spacing w:line="360" w:lineRule="auto"/>
        <w:ind w:firstLine="105" w:firstLineChars="50"/>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widowControl/>
        <w:tabs>
          <w:tab w:val="left" w:pos="735"/>
        </w:tabs>
        <w:adjustRightInd w:val="0"/>
        <w:snapToGrid w:val="0"/>
        <w:spacing w:line="360" w:lineRule="auto"/>
        <w:ind w:firstLine="420" w:firstLineChars="200"/>
        <w:rPr>
          <w:rFonts w:ascii="宋体" w:hAnsi="宋体" w:cs="Tahoma"/>
          <w:color w:val="auto"/>
          <w:highlight w:val="none"/>
        </w:rPr>
      </w:pPr>
      <w:r>
        <w:rPr>
          <w:rFonts w:hint="eastAsia" w:ascii="宋体" w:hAnsi="宋体" w:cs="Tahoma"/>
          <w:color w:val="auto"/>
          <w:highlight w:val="none"/>
        </w:rPr>
        <w:t>名    称：广东业信采购招标有限公司</w:t>
      </w:r>
    </w:p>
    <w:p>
      <w:pPr>
        <w:widowControl/>
        <w:tabs>
          <w:tab w:val="left" w:pos="735"/>
        </w:tabs>
        <w:adjustRightInd w:val="0"/>
        <w:snapToGrid w:val="0"/>
        <w:spacing w:line="360" w:lineRule="auto"/>
        <w:ind w:firstLine="420" w:firstLineChars="200"/>
        <w:rPr>
          <w:rFonts w:ascii="宋体" w:hAnsi="宋体" w:cs="Tahoma"/>
          <w:color w:val="auto"/>
          <w:highlight w:val="none"/>
        </w:rPr>
      </w:pPr>
      <w:r>
        <w:rPr>
          <w:rFonts w:hint="eastAsia" w:ascii="宋体" w:hAnsi="宋体" w:cs="Tahoma"/>
          <w:color w:val="auto"/>
          <w:highlight w:val="none"/>
        </w:rPr>
        <w:t>地    址：阳江市江城区猫山四街33号A座2楼</w:t>
      </w:r>
    </w:p>
    <w:p>
      <w:pPr>
        <w:widowControl/>
        <w:tabs>
          <w:tab w:val="left" w:pos="735"/>
        </w:tabs>
        <w:adjustRightInd w:val="0"/>
        <w:snapToGrid w:val="0"/>
        <w:spacing w:line="360" w:lineRule="auto"/>
        <w:ind w:firstLine="420" w:firstLineChars="200"/>
        <w:rPr>
          <w:rFonts w:ascii="宋体" w:hAnsi="宋体" w:cs="Tahoma"/>
          <w:color w:val="auto"/>
          <w:highlight w:val="none"/>
        </w:rPr>
      </w:pPr>
      <w:r>
        <w:rPr>
          <w:rFonts w:hint="eastAsia" w:ascii="宋体" w:hAnsi="宋体" w:cs="Tahoma"/>
          <w:color w:val="auto"/>
          <w:highlight w:val="none"/>
        </w:rPr>
        <w:t>联 系 人：冯国辉</w:t>
      </w:r>
    </w:p>
    <w:p>
      <w:pPr>
        <w:widowControl/>
        <w:tabs>
          <w:tab w:val="left" w:pos="735"/>
        </w:tabs>
        <w:adjustRightInd w:val="0"/>
        <w:snapToGrid w:val="0"/>
        <w:spacing w:line="360" w:lineRule="auto"/>
        <w:ind w:firstLine="420" w:firstLineChars="200"/>
        <w:rPr>
          <w:rFonts w:ascii="宋体" w:hAnsi="宋体" w:cs="Tahoma"/>
          <w:color w:val="auto"/>
          <w:highlight w:val="none"/>
        </w:rPr>
      </w:pPr>
      <w:r>
        <w:rPr>
          <w:rFonts w:hint="eastAsia" w:ascii="宋体" w:hAnsi="宋体" w:cs="Tahoma"/>
          <w:color w:val="auto"/>
          <w:highlight w:val="none"/>
        </w:rPr>
        <w:t>联系电话：0662-3167266</w:t>
      </w:r>
    </w:p>
    <w:p>
      <w:pPr>
        <w:widowControl/>
        <w:tabs>
          <w:tab w:val="left" w:pos="735"/>
        </w:tabs>
        <w:adjustRightInd w:val="0"/>
        <w:snapToGrid w:val="0"/>
        <w:spacing w:line="360" w:lineRule="auto"/>
        <w:ind w:firstLine="420" w:firstLineChars="200"/>
        <w:rPr>
          <w:rFonts w:ascii="宋体" w:hAnsi="宋体" w:cs="Tahoma"/>
          <w:color w:val="auto"/>
          <w:highlight w:val="none"/>
        </w:rPr>
      </w:pPr>
      <w:r>
        <w:rPr>
          <w:rFonts w:hint="eastAsia" w:ascii="宋体" w:hAnsi="宋体" w:cs="Tahoma"/>
          <w:color w:val="auto"/>
          <w:highlight w:val="none"/>
        </w:rPr>
        <w:t>传    真：0662-2669666</w:t>
      </w:r>
    </w:p>
    <w:p>
      <w:pPr>
        <w:tabs>
          <w:tab w:val="left" w:pos="4680"/>
        </w:tabs>
        <w:adjustRightInd w:val="0"/>
        <w:snapToGrid w:val="0"/>
        <w:spacing w:line="360" w:lineRule="auto"/>
        <w:ind w:firstLine="420" w:firstLineChars="200"/>
        <w:rPr>
          <w:rFonts w:ascii="宋体" w:hAnsi="宋体"/>
          <w:bCs/>
          <w:color w:val="auto"/>
          <w:highlight w:val="none"/>
        </w:rPr>
      </w:pPr>
      <w:r>
        <w:rPr>
          <w:rFonts w:hint="eastAsia" w:ascii="宋体" w:hAnsi="宋体" w:cs="Tahoma"/>
          <w:color w:val="auto"/>
          <w:highlight w:val="none"/>
        </w:rPr>
        <w:t>网    址：</w:t>
      </w:r>
      <w:r>
        <w:rPr>
          <w:rFonts w:ascii="宋体" w:hAnsi="宋体"/>
          <w:bCs/>
          <w:color w:val="auto"/>
          <w:highlight w:val="none"/>
        </w:rPr>
        <w:t>http://www.</w:t>
      </w:r>
      <w:r>
        <w:rPr>
          <w:rFonts w:hint="eastAsia" w:ascii="宋体" w:hAnsi="宋体"/>
          <w:bCs/>
          <w:color w:val="auto"/>
          <w:highlight w:val="none"/>
        </w:rPr>
        <w:t>yjcg</w:t>
      </w:r>
      <w:r>
        <w:rPr>
          <w:rFonts w:ascii="宋体" w:hAnsi="宋体"/>
          <w:bCs/>
          <w:color w:val="auto"/>
          <w:highlight w:val="none"/>
        </w:rPr>
        <w:t>.</w:t>
      </w:r>
      <w:r>
        <w:rPr>
          <w:rFonts w:hint="eastAsia" w:ascii="宋体" w:hAnsi="宋体"/>
          <w:bCs/>
          <w:color w:val="auto"/>
          <w:highlight w:val="none"/>
        </w:rPr>
        <w:t>cc</w:t>
      </w:r>
    </w:p>
    <w:p>
      <w:pPr>
        <w:widowControl/>
        <w:tabs>
          <w:tab w:val="left" w:pos="4769"/>
        </w:tabs>
        <w:adjustRightInd w:val="0"/>
        <w:snapToGrid w:val="0"/>
        <w:spacing w:line="360" w:lineRule="auto"/>
        <w:ind w:left="105" w:leftChars="50" w:firstLine="420" w:firstLineChars="200"/>
        <w:jc w:val="center"/>
        <w:rPr>
          <w:rFonts w:ascii="宋体" w:hAnsi="宋体"/>
          <w:bCs/>
          <w:color w:val="auto"/>
          <w:highlight w:val="none"/>
        </w:rPr>
      </w:pPr>
      <w:r>
        <w:rPr>
          <w:rFonts w:hint="eastAsia" w:ascii="宋体" w:hAnsi="宋体"/>
          <w:bCs/>
          <w:color w:val="auto"/>
          <w:highlight w:val="none"/>
        </w:rPr>
        <w:t xml:space="preserve">                                                   </w:t>
      </w:r>
    </w:p>
    <w:p>
      <w:pPr>
        <w:widowControl/>
        <w:tabs>
          <w:tab w:val="left" w:pos="4769"/>
        </w:tabs>
        <w:adjustRightInd w:val="0"/>
        <w:snapToGrid w:val="0"/>
        <w:spacing w:line="360" w:lineRule="auto"/>
        <w:ind w:left="105" w:leftChars="50" w:firstLine="420" w:firstLineChars="200"/>
        <w:jc w:val="center"/>
        <w:rPr>
          <w:rFonts w:ascii="宋体" w:hAnsi="宋体"/>
          <w:bCs/>
          <w:color w:val="auto"/>
          <w:highlight w:val="none"/>
        </w:rPr>
      </w:pPr>
      <w:r>
        <w:rPr>
          <w:rFonts w:hint="eastAsia" w:ascii="宋体" w:hAnsi="宋体"/>
          <w:bCs/>
          <w:color w:val="auto"/>
          <w:highlight w:val="none"/>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auto"/>
          <w:highlight w:val="none"/>
        </w:rPr>
      </w:pPr>
      <w:r>
        <w:rPr>
          <w:rFonts w:hint="eastAsia" w:ascii="宋体" w:hAnsi="宋体"/>
          <w:bCs/>
          <w:color w:val="auto"/>
          <w:highlight w:val="none"/>
        </w:rPr>
        <w:t xml:space="preserve">                                                               </w:t>
      </w:r>
      <w:bookmarkStart w:id="37" w:name="_Toc339362258"/>
      <w:bookmarkStart w:id="38" w:name="_Toc365985109"/>
      <w:bookmarkStart w:id="39" w:name="_Toc332206658"/>
      <w:bookmarkStart w:id="40" w:name="_Toc336681538"/>
      <w:bookmarkStart w:id="41" w:name="_Toc331512857"/>
      <w:bookmarkStart w:id="42" w:name="_Toc331683995"/>
      <w:bookmarkStart w:id="43" w:name="_Toc341348292"/>
      <w:bookmarkStart w:id="44" w:name="_Toc339020187"/>
      <w:bookmarkStart w:id="45" w:name="_Toc350438703"/>
      <w:bookmarkStart w:id="46" w:name="_Toc339019955"/>
      <w:bookmarkStart w:id="47" w:name="_Toc336681893"/>
      <w:bookmarkStart w:id="48" w:name="_Toc330459946"/>
      <w:bookmarkStart w:id="49" w:name="_Toc339019829"/>
      <w:bookmarkStart w:id="50" w:name="_Toc333237613"/>
      <w:bookmarkStart w:id="51" w:name="_Toc349143547"/>
      <w:bookmarkStart w:id="52" w:name="_Toc340672831"/>
      <w:bookmarkStart w:id="53" w:name="_Toc340677032"/>
      <w:bookmarkStart w:id="54" w:name="_Toc333935620"/>
      <w:bookmarkStart w:id="55" w:name="_Toc350756404"/>
      <w:bookmarkStart w:id="56" w:name="_Toc342296709"/>
      <w:bookmarkStart w:id="57" w:name="_Toc365967003"/>
      <w:bookmarkStart w:id="58" w:name="_Toc349127584"/>
      <w:bookmarkStart w:id="59" w:name="_Toc366072458"/>
      <w:bookmarkStart w:id="60" w:name="_Toc342060323"/>
      <w:bookmarkStart w:id="61" w:name="_Toc333238572"/>
      <w:bookmarkStart w:id="62" w:name="_Toc339020049"/>
      <w:bookmarkStart w:id="63" w:name="_Toc333237724"/>
      <w:bookmarkStart w:id="64" w:name="_Toc333935279"/>
      <w:bookmarkStart w:id="65" w:name="_Toc340507404"/>
      <w:bookmarkStart w:id="66" w:name="_Toc337632316"/>
      <w:bookmarkStart w:id="67" w:name="_Toc332270306"/>
      <w:bookmarkStart w:id="68" w:name="_Toc339441045"/>
      <w:bookmarkStart w:id="69" w:name="_Toc345513763"/>
      <w:r>
        <w:rPr>
          <w:rFonts w:hint="eastAsia" w:ascii="宋体" w:hAnsi="宋体" w:eastAsia="宋体" w:cs="Times New Roman"/>
          <w:bCs/>
          <w:color w:val="auto"/>
          <w:kern w:val="2"/>
          <w:sz w:val="21"/>
          <w:szCs w:val="24"/>
          <w:highlight w:val="none"/>
          <w:lang w:val="en-US" w:eastAsia="zh-CN" w:bidi="ar-SA"/>
        </w:rPr>
        <w:t>2022年7月4日</w:t>
      </w:r>
    </w:p>
    <w:p>
      <w:pPr>
        <w:widowControl/>
        <w:tabs>
          <w:tab w:val="left" w:pos="4769"/>
        </w:tabs>
        <w:adjustRightInd w:val="0"/>
        <w:snapToGrid w:val="0"/>
        <w:spacing w:line="360" w:lineRule="auto"/>
        <w:rPr>
          <w:rFonts w:ascii="宋体" w:hAnsi="宋体"/>
          <w:bCs/>
          <w:color w:val="auto"/>
          <w:highlight w:val="none"/>
        </w:rPr>
      </w:pPr>
    </w:p>
    <w:p>
      <w:pPr>
        <w:rPr>
          <w:rFonts w:hint="eastAsia" w:ascii="宋体" w:hAnsi="宋体" w:eastAsia="宋体"/>
          <w:b/>
          <w:color w:val="auto"/>
          <w:highlight w:val="none"/>
        </w:rPr>
      </w:pPr>
      <w:r>
        <w:rPr>
          <w:rFonts w:hint="eastAsia" w:ascii="宋体" w:hAnsi="宋体" w:eastAsia="宋体"/>
          <w:b/>
          <w:color w:val="auto"/>
          <w:highlight w:val="none"/>
        </w:rPr>
        <w:br w:type="page"/>
      </w:r>
    </w:p>
    <w:p>
      <w:pPr>
        <w:pStyle w:val="3"/>
        <w:numPr>
          <w:ilvl w:val="0"/>
          <w:numId w:val="0"/>
        </w:numPr>
        <w:spacing w:beforeLines="0" w:afterLines="50" w:line="390" w:lineRule="exact"/>
        <w:ind w:left="105" w:leftChars="50" w:firstLine="482" w:firstLineChars="200"/>
        <w:rPr>
          <w:rFonts w:ascii="宋体" w:hAnsi="宋体" w:eastAsia="宋体"/>
          <w:b/>
          <w:color w:val="auto"/>
          <w:highlight w:val="none"/>
        </w:rPr>
      </w:pPr>
      <w:bookmarkStart w:id="70" w:name="_Toc22228"/>
      <w:r>
        <w:rPr>
          <w:rFonts w:hint="eastAsia" w:ascii="宋体" w:hAnsi="宋体" w:eastAsia="宋体"/>
          <w:b/>
          <w:color w:val="auto"/>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3237614"/>
      <w:bookmarkStart w:id="74" w:name="_Toc333935280"/>
      <w:bookmarkStart w:id="75" w:name="_Toc330459949"/>
      <w:bookmarkStart w:id="76" w:name="_Toc75570886"/>
      <w:bookmarkStart w:id="77" w:name="_Toc333237725"/>
      <w:bookmarkStart w:id="78" w:name="_Toc333238573"/>
      <w:r>
        <w:rPr>
          <w:rFonts w:hint="eastAsia" w:ascii="宋体" w:hAnsi="宋体" w:eastAsia="宋体"/>
          <w:b/>
          <w:color w:val="auto"/>
          <w:highlight w:val="none"/>
        </w:rPr>
        <w:t>采购项目内容</w:t>
      </w:r>
      <w:bookmarkEnd w:id="70"/>
      <w:bookmarkEnd w:id="72"/>
      <w:bookmarkEnd w:id="73"/>
      <w:bookmarkEnd w:id="74"/>
      <w:bookmarkEnd w:id="75"/>
      <w:bookmarkEnd w:id="76"/>
      <w:bookmarkEnd w:id="77"/>
      <w:bookmarkEnd w:id="78"/>
    </w:p>
    <w:p>
      <w:pPr>
        <w:pStyle w:val="4"/>
        <w:numPr>
          <w:ilvl w:val="1"/>
          <w:numId w:val="0"/>
        </w:numPr>
        <w:spacing w:beforeLines="150" w:after="0" w:line="360" w:lineRule="auto"/>
        <w:jc w:val="left"/>
        <w:rPr>
          <w:rFonts w:ascii="宋体" w:hAnsi="宋体"/>
          <w:color w:val="auto"/>
          <w:sz w:val="21"/>
          <w:szCs w:val="21"/>
          <w:highlight w:val="none"/>
        </w:rPr>
      </w:pPr>
      <w:bookmarkStart w:id="79" w:name="_Toc6653"/>
      <w:bookmarkStart w:id="80" w:name="_Toc339019982"/>
      <w:bookmarkStart w:id="81" w:name="_Toc339020200"/>
      <w:bookmarkStart w:id="82" w:name="_Toc339362267"/>
      <w:bookmarkStart w:id="83" w:name="_Toc332206675"/>
      <w:bookmarkStart w:id="84" w:name="_Toc365985146"/>
      <w:bookmarkStart w:id="85" w:name="_Toc340672836"/>
      <w:bookmarkStart w:id="86" w:name="_Toc336681547"/>
      <w:bookmarkStart w:id="87" w:name="_Toc336681902"/>
      <w:bookmarkStart w:id="88" w:name="_Toc366072495"/>
      <w:bookmarkStart w:id="89" w:name="_Toc365967040"/>
      <w:bookmarkStart w:id="90" w:name="_Toc349127593"/>
      <w:bookmarkStart w:id="91" w:name="_Toc339441054"/>
      <w:bookmarkStart w:id="92" w:name="_Toc342060341"/>
      <w:bookmarkStart w:id="93" w:name="_Toc340507409"/>
      <w:bookmarkStart w:id="94" w:name="_Toc331512865"/>
      <w:bookmarkStart w:id="95" w:name="_Toc331684005"/>
      <w:bookmarkStart w:id="96" w:name="_Toc349143556"/>
      <w:bookmarkStart w:id="97" w:name="_Toc333238600"/>
      <w:bookmarkStart w:id="98" w:name="_Toc332270313"/>
      <w:bookmarkStart w:id="99" w:name="_Toc333935313"/>
      <w:bookmarkStart w:id="100" w:name="_Toc340677037"/>
      <w:bookmarkStart w:id="101" w:name="_Toc341348305"/>
      <w:bookmarkStart w:id="102" w:name="_Toc333237644"/>
      <w:bookmarkStart w:id="103" w:name="_Toc350756417"/>
      <w:bookmarkStart w:id="104" w:name="_Toc333237755"/>
      <w:bookmarkStart w:id="105" w:name="_Toc350438716"/>
      <w:bookmarkStart w:id="106" w:name="_Toc333935654"/>
      <w:bookmarkStart w:id="107" w:name="_Toc339020062"/>
      <w:bookmarkStart w:id="108" w:name="_Toc330459952"/>
      <w:bookmarkStart w:id="109" w:name="_Toc345513834"/>
      <w:bookmarkStart w:id="110" w:name="_Toc339019856"/>
      <w:bookmarkStart w:id="111" w:name="_Toc337632325"/>
      <w:bookmarkStart w:id="112" w:name="_Toc342296727"/>
      <w:r>
        <w:rPr>
          <w:rFonts w:hint="eastAsia" w:ascii="宋体" w:hAnsi="宋体"/>
          <w:color w:val="auto"/>
          <w:sz w:val="21"/>
          <w:szCs w:val="21"/>
          <w:highlight w:val="none"/>
        </w:rPr>
        <w:t>项目编号：</w:t>
      </w:r>
      <w:r>
        <w:rPr>
          <w:rFonts w:hint="eastAsia" w:ascii="宋体" w:hAnsi="宋体"/>
          <w:color w:val="auto"/>
          <w:sz w:val="21"/>
          <w:szCs w:val="21"/>
          <w:highlight w:val="none"/>
          <w:u w:val="single"/>
          <w:lang w:eastAsia="zh-CN"/>
        </w:rPr>
        <w:t>YXCG-20220622</w:t>
      </w:r>
      <w:bookmarkEnd w:id="79"/>
      <w:r>
        <w:rPr>
          <w:rFonts w:hint="eastAsia" w:ascii="宋体" w:hAnsi="宋体"/>
          <w:color w:val="auto"/>
          <w:sz w:val="21"/>
          <w:szCs w:val="21"/>
          <w:highlight w:val="none"/>
        </w:rPr>
        <w:t xml:space="preserve"> </w:t>
      </w:r>
    </w:p>
    <w:p>
      <w:pPr>
        <w:pStyle w:val="4"/>
        <w:numPr>
          <w:ilvl w:val="1"/>
          <w:numId w:val="0"/>
        </w:numPr>
        <w:spacing w:before="0" w:after="0" w:line="360" w:lineRule="auto"/>
        <w:ind w:left="1107" w:hanging="1107" w:hangingChars="525"/>
        <w:jc w:val="left"/>
        <w:rPr>
          <w:rFonts w:hint="eastAsia" w:ascii="宋体" w:hAnsi="宋体" w:eastAsia="宋体"/>
          <w:b w:val="0"/>
          <w:color w:val="auto"/>
          <w:szCs w:val="21"/>
          <w:highlight w:val="none"/>
          <w:u w:val="single"/>
          <w:lang w:eastAsia="zh-CN"/>
        </w:rPr>
      </w:pPr>
      <w:bookmarkStart w:id="113" w:name="_Toc25888"/>
      <w:r>
        <w:rPr>
          <w:rFonts w:hint="eastAsia" w:ascii="宋体" w:hAnsi="宋体"/>
          <w:color w:val="auto"/>
          <w:sz w:val="21"/>
          <w:szCs w:val="21"/>
          <w:highlight w:val="none"/>
        </w:rPr>
        <w:t>项目名称：</w:t>
      </w:r>
      <w:bookmarkEnd w:id="113"/>
      <w:r>
        <w:rPr>
          <w:rFonts w:hint="eastAsia" w:ascii="宋体" w:hAnsi="宋体"/>
          <w:color w:val="auto"/>
          <w:sz w:val="21"/>
          <w:szCs w:val="21"/>
          <w:highlight w:val="none"/>
          <w:u w:val="single"/>
          <w:lang w:eastAsia="zh-CN"/>
        </w:rPr>
        <w:t>阳江市阳东区第一职业技术学校风雨长廊建设项目</w:t>
      </w:r>
    </w:p>
    <w:p>
      <w:pPr>
        <w:pStyle w:val="4"/>
        <w:numPr>
          <w:ilvl w:val="1"/>
          <w:numId w:val="0"/>
        </w:numPr>
        <w:spacing w:beforeLines="150" w:after="0" w:line="360" w:lineRule="auto"/>
        <w:rPr>
          <w:rFonts w:ascii="宋体" w:hAnsi="宋体"/>
          <w:color w:val="auto"/>
          <w:kern w:val="0"/>
          <w:sz w:val="24"/>
          <w:highlight w:val="none"/>
        </w:rPr>
      </w:pPr>
      <w:bookmarkStart w:id="114" w:name="_Toc29201"/>
      <w:r>
        <w:rPr>
          <w:rFonts w:ascii="宋体" w:hAnsi="宋体"/>
          <w:color w:val="auto"/>
          <w:kern w:val="0"/>
          <w:sz w:val="24"/>
          <w:highlight w:val="none"/>
        </w:rPr>
        <w:t xml:space="preserve">A  </w:t>
      </w:r>
      <w:r>
        <w:rPr>
          <w:rFonts w:hint="eastAsia" w:ascii="宋体" w:hAnsi="宋体"/>
          <w:color w:val="auto"/>
          <w:kern w:val="0"/>
          <w:sz w:val="24"/>
          <w:highlight w:val="none"/>
        </w:rPr>
        <w:t>商务要求</w:t>
      </w:r>
      <w:bookmarkEnd w:id="114"/>
    </w:p>
    <w:tbl>
      <w:tblPr>
        <w:tblStyle w:val="52"/>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sz w:val="21"/>
                <w:szCs w:val="21"/>
                <w:highlight w:val="none"/>
              </w:rPr>
            </w:pPr>
            <w:r>
              <w:rPr>
                <w:rFonts w:hint="eastAsia"/>
                <w:color w:val="auto"/>
                <w:sz w:val="21"/>
                <w:szCs w:val="2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sz w:val="21"/>
                <w:szCs w:val="21"/>
                <w:highlight w:val="none"/>
              </w:rPr>
            </w:pPr>
            <w:r>
              <w:rPr>
                <w:rFonts w:hint="eastAsia"/>
                <w:color w:val="auto"/>
                <w:sz w:val="21"/>
                <w:szCs w:val="21"/>
                <w:highlight w:val="none"/>
              </w:rPr>
              <w:t>项  目</w:t>
            </w:r>
          </w:p>
        </w:tc>
        <w:tc>
          <w:tcPr>
            <w:tcW w:w="6095"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sz w:val="21"/>
                <w:szCs w:val="21"/>
                <w:highlight w:val="none"/>
              </w:rPr>
            </w:pPr>
            <w:r>
              <w:rPr>
                <w:rFonts w:hint="eastAsia"/>
                <w:color w:val="auto"/>
                <w:sz w:val="2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color w:val="auto"/>
                <w:sz w:val="21"/>
                <w:szCs w:val="2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投标人投标资格要求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详见第一部份《竞争性磋商邀请书》。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sz w:val="21"/>
                <w:szCs w:val="21"/>
                <w:highlight w:val="none"/>
              </w:rPr>
            </w:pPr>
            <w:r>
              <w:rPr>
                <w:rFonts w:hint="eastAsia"/>
                <w:color w:val="auto"/>
                <w:sz w:val="21"/>
                <w:szCs w:val="2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lang w:val="en-US" w:eastAsia="zh-CN"/>
              </w:rPr>
              <w:t>完工</w:t>
            </w:r>
            <w:r>
              <w:rPr>
                <w:rFonts w:hint="eastAsia"/>
                <w:b/>
                <w:color w:val="auto"/>
                <w:sz w:val="21"/>
                <w:szCs w:val="21"/>
                <w:highlight w:val="none"/>
              </w:rPr>
              <w:t>期</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sz w:val="21"/>
                <w:szCs w:val="21"/>
                <w:highlight w:val="none"/>
              </w:rPr>
            </w:pPr>
            <w:r>
              <w:rPr>
                <w:rFonts w:hint="eastAsia"/>
                <w:color w:val="auto"/>
                <w:sz w:val="21"/>
                <w:szCs w:val="21"/>
                <w:highlight w:val="none"/>
              </w:rPr>
              <w:t>详见第一部份《竞争性磋商邀请书》。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sz w:val="21"/>
                <w:szCs w:val="21"/>
                <w:highlight w:val="none"/>
              </w:rPr>
            </w:pPr>
            <w:r>
              <w:rPr>
                <w:rFonts w:hint="eastAsia"/>
                <w:b/>
                <w:color w:val="auto"/>
                <w:sz w:val="21"/>
                <w:szCs w:val="21"/>
                <w:highlight w:val="none"/>
              </w:rPr>
              <w:t>投标报价包括</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sz w:val="21"/>
                <w:szCs w:val="21"/>
                <w:highlight w:val="none"/>
                <w:lang w:val="en-US" w:eastAsia="zh-CN"/>
              </w:rPr>
            </w:pPr>
            <w:r>
              <w:rPr>
                <w:rFonts w:hint="eastAsia"/>
                <w:color w:val="auto"/>
                <w:sz w:val="21"/>
                <w:szCs w:val="21"/>
                <w:highlight w:val="none"/>
                <w:lang w:val="en-US" w:eastAsia="zh-CN"/>
              </w:rPr>
              <w:t>本项目采用总价包干，投标报价中应包括工程量清单项目所发生的所有施工工序的施工设备费技术措施费、劳务费、材料费、安装费、临时工程费、施工水电费、设计费、缺陷修复费、管理费、利润、税金及风险费等一切费用，供应商漏报或不报，采购人将视为有关费用已包括在工程量清单项目的综合单价及合价中而不予支付。成交金额以响应文件总价为准，采购人不再作出调整。</w:t>
            </w:r>
          </w:p>
          <w:p>
            <w:pPr>
              <w:pStyle w:val="2"/>
              <w:rPr>
                <w:rFonts w:hint="default"/>
                <w:color w:val="auto"/>
                <w:sz w:val="21"/>
                <w:szCs w:val="21"/>
                <w:highlight w:val="none"/>
                <w:lang w:val="en-US"/>
              </w:rPr>
            </w:pPr>
            <w:r>
              <w:rPr>
                <w:rFonts w:ascii="宋体" w:hAnsi="宋体"/>
                <w:b/>
                <w:color w:val="auto"/>
                <w:sz w:val="21"/>
                <w:szCs w:val="21"/>
                <w:highlight w:val="none"/>
                <w:u w:val="none"/>
              </w:rPr>
              <w:t>★</w:t>
            </w:r>
            <w:r>
              <w:rPr>
                <w:rFonts w:hint="eastAsia"/>
                <w:color w:val="auto"/>
                <w:sz w:val="21"/>
                <w:szCs w:val="21"/>
                <w:highlight w:val="none"/>
                <w:lang w:val="en-US" w:eastAsia="zh-CN"/>
              </w:rPr>
              <w:t>注：绿色施工安全防护措施费及暂列金不作为竞争性费用，供应商在报价中需包含且不得更改该费用，否则报价无效。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合同签订要求</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s="宋体"/>
                <w:color w:val="auto"/>
                <w:highlight w:val="none"/>
                <w:lang w:val="en-US" w:eastAsia="zh-CN"/>
              </w:rPr>
              <w:t>采购合同由成交供应商与采购人双方签订，签订时间为《成交通知书》发出之日起30个日历天内。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lang w:val="en-US" w:eastAsia="zh-CN"/>
              </w:rPr>
              <w:t>施工地点</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lang w:val="en-US" w:eastAsia="zh-CN"/>
              </w:rPr>
              <w:t>阳江市阳东区第一职业技术学校内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付款方式</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highlight w:val="none"/>
                <w:lang w:val="en-US" w:eastAsia="zh-CN"/>
              </w:rPr>
            </w:pPr>
            <w:r>
              <w:rPr>
                <w:rFonts w:hint="eastAsia"/>
                <w:color w:val="auto"/>
                <w:highlight w:val="none"/>
                <w:lang w:val="en-US" w:eastAsia="zh-CN"/>
              </w:rPr>
              <w:t>1.进场开始施工后10个工作日内，采购人向成交供应商支付至合同价款的30%；项目竣工验收合格后，采购人在10个工作日内向成交供应商支付至合同价款的100%；</w:t>
            </w:r>
          </w:p>
          <w:p>
            <w:pPr>
              <w:spacing w:line="320" w:lineRule="exact"/>
              <w:rPr>
                <w:color w:val="auto"/>
                <w:highlight w:val="none"/>
              </w:rPr>
            </w:pPr>
            <w:r>
              <w:rPr>
                <w:rFonts w:hint="eastAsia"/>
                <w:color w:val="auto"/>
                <w:highlight w:val="none"/>
                <w:lang w:val="en-US" w:eastAsia="zh-CN"/>
              </w:rPr>
              <w:t>2.结算价要经审核部门审核，若经审核的结算价大于合同价，最终结算价以合同价为准，若经审核的结算价小于合同价，最终结算价以经审核的结算价最准。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auto"/>
                <w:highlight w:val="none"/>
                <w:lang w:val="en-US" w:eastAsia="zh-CN"/>
              </w:rPr>
            </w:pPr>
            <w:r>
              <w:rPr>
                <w:rFonts w:hint="eastAsia"/>
                <w:color w:val="auto"/>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auto"/>
                <w:highlight w:val="none"/>
              </w:rPr>
            </w:pPr>
            <w:r>
              <w:rPr>
                <w:rFonts w:hint="eastAsia"/>
                <w:b/>
                <w:color w:val="auto"/>
                <w:highlight w:val="none"/>
                <w:lang w:val="en-US" w:eastAsia="zh-CN"/>
              </w:rPr>
              <w:t>质量、安全文明标准和工程保修期</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auto"/>
                <w:highlight w:val="none"/>
                <w:lang w:val="en-US" w:eastAsia="zh-CN"/>
              </w:rPr>
            </w:pPr>
            <w:r>
              <w:rPr>
                <w:rFonts w:hint="eastAsia"/>
                <w:color w:val="auto"/>
                <w:highlight w:val="none"/>
                <w:lang w:val="en-US" w:eastAsia="zh-CN"/>
              </w:rPr>
              <w:t>1.工程质量标准：达到合格工程质量标准。</w:t>
            </w:r>
          </w:p>
          <w:p>
            <w:pPr>
              <w:spacing w:line="320" w:lineRule="exact"/>
              <w:rPr>
                <w:rFonts w:hint="eastAsia"/>
                <w:color w:val="auto"/>
                <w:highlight w:val="none"/>
                <w:lang w:val="en-US" w:eastAsia="zh-CN"/>
              </w:rPr>
            </w:pPr>
            <w:r>
              <w:rPr>
                <w:rFonts w:hint="eastAsia"/>
                <w:color w:val="auto"/>
                <w:highlight w:val="none"/>
                <w:lang w:val="en-US" w:eastAsia="zh-CN"/>
              </w:rPr>
              <w:t>2.安全文明施工标准：杜绝一般事故等级及以上的伤亡事故且工伤责任事故死亡人数为零。</w:t>
            </w:r>
          </w:p>
          <w:p>
            <w:pPr>
              <w:spacing w:line="320" w:lineRule="exact"/>
              <w:rPr>
                <w:rFonts w:hint="eastAsia"/>
                <w:color w:val="auto"/>
                <w:highlight w:val="none"/>
                <w:lang w:val="en-US" w:eastAsia="zh-CN"/>
              </w:rPr>
            </w:pPr>
            <w:r>
              <w:rPr>
                <w:rFonts w:hint="eastAsia"/>
                <w:color w:val="auto"/>
                <w:highlight w:val="none"/>
                <w:lang w:val="en-US" w:eastAsia="zh-CN"/>
              </w:rPr>
              <w:t>3.工程保修期要求：工程保修期按《建设工程质量管理条例》规定，保修期为两年。保修期</w:t>
            </w:r>
            <w:bookmarkStart w:id="384" w:name="_GoBack"/>
            <w:bookmarkEnd w:id="384"/>
            <w:r>
              <w:rPr>
                <w:rFonts w:hint="eastAsia"/>
                <w:color w:val="auto"/>
                <w:highlight w:val="none"/>
                <w:lang w:val="en-US" w:eastAsia="zh-CN"/>
              </w:rPr>
              <w:t>自工程验收合格之日起计，在保修期内因施工质量而造成返修，其费用和因此而造成的损失由成交供应商负责，费用包含在投标报价中。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8</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22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highlight w:val="none"/>
              </w:rPr>
            </w:pPr>
            <w:r>
              <w:rPr>
                <w:rFonts w:hint="eastAsia" w:ascii="宋体" w:hAnsi="宋体"/>
                <w:b/>
                <w:color w:val="auto"/>
                <w:szCs w:val="21"/>
                <w:highlight w:val="none"/>
              </w:rPr>
              <w:t>人民币</w:t>
            </w:r>
            <w:r>
              <w:rPr>
                <w:rFonts w:hint="eastAsia" w:ascii="宋体" w:hAnsi="宋体"/>
                <w:b/>
                <w:color w:val="auto"/>
                <w:szCs w:val="21"/>
                <w:highlight w:val="none"/>
                <w:lang w:val="en-US" w:eastAsia="zh-CN"/>
              </w:rPr>
              <w:t>壹万</w:t>
            </w:r>
            <w:r>
              <w:rPr>
                <w:rFonts w:hint="eastAsia" w:ascii="宋体" w:hAnsi="宋体"/>
                <w:b/>
                <w:color w:val="auto"/>
                <w:szCs w:val="21"/>
                <w:highlight w:val="none"/>
              </w:rPr>
              <w:t>元整（￥</w:t>
            </w:r>
            <w:r>
              <w:rPr>
                <w:rFonts w:hint="eastAsia" w:ascii="宋体" w:hAnsi="宋体"/>
                <w:b/>
                <w:color w:val="auto"/>
                <w:szCs w:val="21"/>
                <w:highlight w:val="none"/>
                <w:lang w:val="en-US" w:eastAsia="zh-CN"/>
              </w:rPr>
              <w:t>100</w:t>
            </w:r>
            <w:r>
              <w:rPr>
                <w:rFonts w:hint="eastAsia" w:ascii="宋体" w:hAnsi="宋体"/>
                <w:b/>
                <w:color w:val="auto"/>
                <w:szCs w:val="21"/>
                <w:highlight w:val="none"/>
              </w:rPr>
              <w:t>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22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22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b/>
                <w:bCs/>
                <w:color w:val="auto"/>
                <w:szCs w:val="21"/>
                <w:highlight w:val="none"/>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auto"/>
                <w:szCs w:val="21"/>
                <w:highlight w:val="none"/>
              </w:rPr>
            </w:pPr>
            <w:r>
              <w:rPr>
                <w:rFonts w:hint="eastAsia" w:ascii="宋体" w:hAnsi="宋体"/>
                <w:color w:val="auto"/>
                <w:szCs w:val="21"/>
                <w:highlight w:val="none"/>
              </w:rPr>
              <w:t>交纳时间</w:t>
            </w:r>
          </w:p>
        </w:tc>
        <w:tc>
          <w:tcPr>
            <w:tcW w:w="4224"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auto"/>
                <w:highlight w:val="none"/>
                <w:lang w:eastAsia="zh-CN"/>
              </w:rPr>
            </w:pPr>
            <w:r>
              <w:rPr>
                <w:rFonts w:hint="eastAsia"/>
                <w:color w:val="auto"/>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成交服务费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Cs/>
                <w:color w:val="auto"/>
                <w:szCs w:val="21"/>
                <w:highlight w:val="none"/>
                <w:lang w:val="en-US" w:eastAsia="zh-CN"/>
              </w:rPr>
              <w:t>参考</w:t>
            </w:r>
            <w:r>
              <w:rPr>
                <w:rFonts w:hint="eastAsia" w:ascii="宋体" w:hAnsi="宋体"/>
                <w:bCs/>
                <w:color w:val="auto"/>
                <w:szCs w:val="21"/>
                <w:highlight w:val="none"/>
              </w:rPr>
              <w:t>发改价格[2011]534号文的规定</w:t>
            </w:r>
            <w:r>
              <w:rPr>
                <w:rFonts w:hint="eastAsia" w:ascii="宋体" w:hAnsi="宋体"/>
                <w:color w:val="auto"/>
                <w:szCs w:val="21"/>
                <w:highlight w:val="none"/>
              </w:rPr>
              <w:t>，招标代理服务费按差额定率累进法计算。成交服务费由成交供应商在领取成交通知书前以银行转账方式一次性支付。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22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中国农业银行股份有限公司阳江</w:t>
            </w:r>
            <w:r>
              <w:rPr>
                <w:rFonts w:hint="eastAsia" w:ascii="宋体" w:hAnsi="宋体"/>
                <w:b/>
                <w:bCs/>
                <w:color w:val="auto"/>
                <w:szCs w:val="21"/>
                <w:highlight w:val="none"/>
                <w:lang w:val="en-US" w:eastAsia="zh-CN"/>
              </w:rPr>
              <w:t>江城</w:t>
            </w:r>
            <w:r>
              <w:rPr>
                <w:rFonts w:hint="eastAsia" w:ascii="宋体" w:hAnsi="宋体"/>
                <w:b/>
                <w:bCs/>
                <w:color w:val="auto"/>
                <w:szCs w:val="21"/>
                <w:highlight w:val="none"/>
              </w:rPr>
              <w:t>支行</w:t>
            </w:r>
          </w:p>
        </w:tc>
      </w:tr>
    </w:tbl>
    <w:p>
      <w:pPr>
        <w:pStyle w:val="5"/>
        <w:rPr>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rPr>
          <w:rFonts w:hint="eastAsia" w:ascii="宋体" w:hAnsi="宋体"/>
          <w:color w:val="auto"/>
          <w:kern w:val="0"/>
          <w:sz w:val="24"/>
          <w:highlight w:val="none"/>
        </w:rPr>
      </w:pPr>
      <w:r>
        <w:rPr>
          <w:rFonts w:hint="eastAsia" w:ascii="宋体" w:hAnsi="宋体"/>
          <w:color w:val="auto"/>
          <w:kern w:val="0"/>
          <w:sz w:val="24"/>
          <w:highlight w:val="none"/>
        </w:rPr>
        <w:br w:type="page"/>
      </w:r>
    </w:p>
    <w:p>
      <w:pPr>
        <w:pStyle w:val="4"/>
        <w:numPr>
          <w:ilvl w:val="1"/>
          <w:numId w:val="0"/>
        </w:numPr>
        <w:spacing w:beforeLines="150" w:after="0" w:line="360" w:lineRule="auto"/>
        <w:rPr>
          <w:rFonts w:ascii="宋体" w:hAnsi="宋体"/>
          <w:color w:val="auto"/>
          <w:kern w:val="0"/>
          <w:sz w:val="24"/>
          <w:highlight w:val="none"/>
        </w:rPr>
      </w:pPr>
      <w:bookmarkStart w:id="115" w:name="_Toc15268"/>
      <w:r>
        <w:rPr>
          <w:rFonts w:hint="eastAsia" w:ascii="宋体" w:hAnsi="宋体"/>
          <w:color w:val="auto"/>
          <w:kern w:val="0"/>
          <w:sz w:val="24"/>
          <w:highlight w:val="none"/>
        </w:rPr>
        <w:t>B  技术要求</w:t>
      </w:r>
      <w:bookmarkEnd w:id="115"/>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r>
        <w:rPr>
          <w:rFonts w:hint="eastAsia"/>
          <w:b/>
          <w:bCs/>
          <w:color w:val="auto"/>
          <w:highlight w:val="none"/>
          <w:lang w:val="en-US" w:eastAsia="zh-CN"/>
        </w:rPr>
        <w:t>一、项目简介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1、项目名称：阳江市阳东区第一职业技术学校风雨长廊建设项目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2、项目地址：阳江市阳东区第一职业技术学校内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3、项目性质：新建</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r>
        <w:rPr>
          <w:rFonts w:hint="eastAsia"/>
          <w:b/>
          <w:bCs/>
          <w:color w:val="auto"/>
          <w:highlight w:val="none"/>
          <w:lang w:val="en-US" w:eastAsia="zh-CN"/>
        </w:rPr>
        <w:t>二、建设规模及内容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eastAsia"/>
          <w:color w:val="auto"/>
          <w:highlight w:val="none"/>
          <w:lang w:val="en-US" w:eastAsia="zh-CN"/>
        </w:rPr>
        <w:t>建设一条长约70米占地面积约210平方米的风雨长廊以及长廊相关校园文化建设。具体详见工程量清单及图纸（另附）</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r>
        <w:rPr>
          <w:rFonts w:hint="eastAsia"/>
          <w:b/>
          <w:bCs/>
          <w:color w:val="auto"/>
          <w:highlight w:val="none"/>
          <w:lang w:val="en-US" w:eastAsia="zh-CN"/>
        </w:rPr>
        <w:t>三、承包方式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1.本次施工范围：按工程量清单和施工图纸。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2.本次工程承包方式和包干范围：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①承包方式：包人工、材料、机械，包工期、包质量，包安全生产，包文明施工。按设计图纸及子目清单项目施工，综合单价包干、项目措施费包干。本工程不得转包、分包。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②工程施工用水、用电由采购人提供驳接口，工程用水、用电费由供应商按政府指导价按实际使用量向采购人结算。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③施工范围场外道路可通行各种施工车辆，供施工设备及材料进场，但需按采购人指定路线行驶，并执行采购人施工时间的安排及项目管理人员的有关施工管理工作。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④工程按设计图纸要求进行施工和验收。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⑤项目工程清单以外的工程施工前，须得到采购人的签字认可，否则不进行结算。</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b/>
          <w:bCs/>
          <w:color w:val="auto"/>
          <w:highlight w:val="none"/>
          <w:lang w:val="en-US" w:eastAsia="zh-CN"/>
        </w:rPr>
      </w:pPr>
      <w:r>
        <w:rPr>
          <w:rFonts w:hint="eastAsia"/>
          <w:b/>
          <w:bCs/>
          <w:color w:val="auto"/>
          <w:highlight w:val="none"/>
          <w:lang w:val="en-US" w:eastAsia="zh-CN"/>
        </w:rPr>
        <w:t>四、成交供应商的管理要求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成交供应商在施工期间应严格遵守国家、省、市有关防火、爆破和施工安全以及文明施工、深夜施工、环卫和城管等规定，建立规章制度和防护措施。否则，由此造成的损失或被有关部门处罚，均由成交供应商负责。供应商应按安全施工的要求，采取严格科学的安全措施，确保施工安全和第三者的安全，承担由于自身安全措施不力造成事故责任和发生的费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合同约定的工程项目，成交供应商不得转包；必须分包的专业工程，事先需取得采购人的同意并在施工合同中确认。否则，采购人有权单方面终止合同，并令其立即退场，工程项目另行处理，由此而造成的经济损失由成交供应商负责赔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3.施工场区内各承建单位需服从采购人依法管理及协调工作。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4.成交供应商承接本项目需负责承担与本项目相关的城市报建、办理施工许可证、协调周边群众关系等各方面工作，以保证按工期要求完工。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5.成交供应商要充分理解施工文件并进行施工现场勘察，若存在矛盾问题应在进场施工前和图纸会审时提出，否则采购人有权要求成交供应商自行负责。</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6.成交供应商施工人员的吃饭、住宿由成交供应商自行解决，由此产生的费用由成交供应商负责。</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r>
        <w:rPr>
          <w:rFonts w:hint="eastAsia"/>
          <w:b/>
          <w:bCs/>
          <w:color w:val="auto"/>
          <w:highlight w:val="none"/>
          <w:lang w:val="en-US" w:eastAsia="zh-CN"/>
        </w:rPr>
        <w:t>五、材料及设备要求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1.成交供应商采购供应的材料、设备等，其规格及质量均应符合国家、地方及行业有关规范及要求，并能满足采购人的要求。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2.本工程承包范围内所需的材料、成品、未成品的采购、运输、保管、质量及设备使用安全等责任均由成交供应商承担，采购人不提供任何材料。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3.由于成交供应商提供的伪劣、假冒等所有不合格材料而导致的损失、事故及一切后果，均由成交供应商负责并赔偿采购人所以损失，并负责更换所有已施工的不合格材料。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4.采购人保留对本工程使用之主要材料品质确认审查的权利及保留另行委托专业单位对本工程进行独立检测的权利。</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r>
        <w:rPr>
          <w:rFonts w:hint="eastAsia"/>
          <w:b/>
          <w:bCs/>
          <w:color w:val="auto"/>
          <w:highlight w:val="none"/>
          <w:lang w:val="en-US" w:eastAsia="zh-CN"/>
        </w:rPr>
        <w:t>六、资料与归档</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1、项目竣工验收30天内提供工程结算书及相关资料统一送采购人审核，确认后办理结算手续。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2、成交供应商向采购人提交竣工验收报告时，应当向采购人出具工程质量保修书；质量保修书应明确工程的保修范围、保修期限和保修责任等。</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b/>
          <w:bCs/>
          <w:color w:val="auto"/>
          <w:highlight w:val="none"/>
          <w:lang w:val="en-US" w:eastAsia="zh-CN"/>
        </w:rPr>
      </w:pPr>
      <w:r>
        <w:rPr>
          <w:rFonts w:hint="eastAsia"/>
          <w:b/>
          <w:bCs/>
          <w:color w:val="auto"/>
          <w:highlight w:val="none"/>
          <w:lang w:val="en-US" w:eastAsia="zh-CN"/>
        </w:rPr>
        <w:t>七</w:t>
      </w:r>
      <w:r>
        <w:rPr>
          <w:rFonts w:hint="default"/>
          <w:b/>
          <w:bCs/>
          <w:color w:val="auto"/>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default"/>
          <w:color w:val="auto"/>
          <w:highlight w:val="none"/>
          <w:lang w:val="en-US" w:eastAsia="zh-CN"/>
        </w:rPr>
        <w:t>工程量清单（详见电子版）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color w:val="auto"/>
          <w:highlight w:val="none"/>
          <w:lang w:val="en-US" w:eastAsia="zh-CN"/>
        </w:rPr>
      </w:pPr>
      <w:r>
        <w:rPr>
          <w:rFonts w:hint="default"/>
          <w:color w:val="auto"/>
          <w:highlight w:val="none"/>
          <w:lang w:val="en-US" w:eastAsia="zh-CN"/>
        </w:rPr>
        <w:t>图纸（详见电子版）</w:t>
      </w:r>
    </w:p>
    <w:p>
      <w:pPr>
        <w:rPr>
          <w:color w:val="auto"/>
          <w:highlight w:val="none"/>
        </w:rPr>
      </w:pPr>
    </w:p>
    <w:p>
      <w:pPr>
        <w:rPr>
          <w:color w:val="auto"/>
          <w:highlight w:val="none"/>
        </w:rPr>
      </w:pPr>
    </w:p>
    <w:p>
      <w:pPr>
        <w:rPr>
          <w:color w:val="auto"/>
          <w:highlight w:val="none"/>
        </w:rPr>
      </w:pPr>
    </w:p>
    <w:p>
      <w:pPr>
        <w:rPr>
          <w:color w:val="auto"/>
          <w:highlight w:val="none"/>
        </w:rPr>
      </w:pPr>
    </w:p>
    <w:p>
      <w:pP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br w:type="page"/>
      </w:r>
    </w:p>
    <w:p>
      <w:pPr>
        <w:pStyle w:val="3"/>
        <w:numPr>
          <w:ilvl w:val="0"/>
          <w:numId w:val="0"/>
        </w:numPr>
        <w:spacing w:beforeLines="0" w:line="240" w:lineRule="auto"/>
        <w:rPr>
          <w:rFonts w:ascii="宋体" w:hAnsi="宋体" w:eastAsia="宋体"/>
          <w:b/>
          <w:color w:val="auto"/>
          <w:sz w:val="21"/>
          <w:szCs w:val="21"/>
          <w:highlight w:val="none"/>
        </w:rPr>
      </w:pPr>
      <w:bookmarkStart w:id="116" w:name="_Toc7013"/>
      <w:r>
        <w:rPr>
          <w:rFonts w:hint="eastAsia" w:ascii="宋体" w:hAnsi="宋体" w:eastAsia="宋体"/>
          <w:b/>
          <w:color w:val="auto"/>
          <w:sz w:val="21"/>
          <w:szCs w:val="21"/>
          <w:highlight w:val="none"/>
        </w:rPr>
        <w:t>第三部分 磋商须知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4"/>
        <w:numPr>
          <w:ilvl w:val="1"/>
          <w:numId w:val="0"/>
        </w:numPr>
        <w:rPr>
          <w:rFonts w:ascii="宋体" w:hAnsi="宋体"/>
          <w:color w:val="auto"/>
          <w:sz w:val="21"/>
          <w:szCs w:val="21"/>
          <w:highlight w:val="none"/>
        </w:rPr>
      </w:pPr>
      <w:bookmarkStart w:id="117" w:name="_Toc456272919"/>
      <w:bookmarkStart w:id="118" w:name="_Toc456648358"/>
      <w:bookmarkStart w:id="119" w:name="_Toc23973"/>
      <w:bookmarkStart w:id="120" w:name="_Toc434832495"/>
      <w:r>
        <w:rPr>
          <w:rFonts w:hint="eastAsia" w:ascii="宋体" w:hAnsi="宋体"/>
          <w:color w:val="auto"/>
          <w:sz w:val="21"/>
          <w:szCs w:val="21"/>
          <w:highlight w:val="none"/>
        </w:rPr>
        <w:t>投标人须知前附表</w:t>
      </w:r>
      <w:bookmarkEnd w:id="117"/>
      <w:bookmarkEnd w:id="118"/>
      <w:bookmarkEnd w:id="119"/>
      <w:bookmarkEnd w:id="120"/>
    </w:p>
    <w:tbl>
      <w:tblPr>
        <w:tblStyle w:val="52"/>
        <w:tblW w:w="938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127"/>
        <w:gridCol w:w="3442"/>
        <w:gridCol w:w="3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序号</w:t>
            </w:r>
          </w:p>
        </w:tc>
        <w:tc>
          <w:tcPr>
            <w:tcW w:w="2127"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657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6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1</w:t>
            </w:r>
          </w:p>
        </w:tc>
        <w:tc>
          <w:tcPr>
            <w:tcW w:w="212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lang w:val="en-GB"/>
              </w:rPr>
            </w:pPr>
            <w:r>
              <w:rPr>
                <w:rFonts w:hint="eastAsia"/>
                <w:color w:val="auto"/>
                <w:highlight w:val="none"/>
              </w:rPr>
              <w:t>磋商小组</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auto"/>
                <w:szCs w:val="21"/>
                <w:highlight w:val="none"/>
              </w:rPr>
            </w:pPr>
            <w:r>
              <w:rPr>
                <w:rFonts w:hint="eastAsia" w:ascii="宋体"/>
                <w:bCs/>
                <w:color w:val="auto"/>
                <w:highlight w:val="none"/>
              </w:rPr>
              <w:t>根据相关法律法规及政府采购管理部门按照法律程序依据本次采购活动的特点和需要在政府指定的专家库中随机抽取产生,其中技术、经济等方面的专家不少于成员总数的三分之二。</w:t>
            </w:r>
            <w:r>
              <w:rPr>
                <w:rFonts w:hint="eastAsia" w:ascii="宋体"/>
                <w:b/>
                <w:bCs/>
                <w:color w:val="auto"/>
                <w:highlight w:val="none"/>
              </w:rPr>
              <w:t>专家数量共</w:t>
            </w:r>
            <w:r>
              <w:rPr>
                <w:rFonts w:hint="eastAsia" w:ascii="宋体"/>
                <w:b/>
                <w:bCs/>
                <w:color w:val="auto"/>
                <w:highlight w:val="none"/>
                <w:u w:val="single"/>
              </w:rPr>
              <w:t xml:space="preserve"> </w:t>
            </w:r>
            <w:r>
              <w:rPr>
                <w:rFonts w:ascii="宋体"/>
                <w:b/>
                <w:bCs/>
                <w:color w:val="auto"/>
                <w:highlight w:val="none"/>
                <w:u w:val="single"/>
              </w:rPr>
              <w:t xml:space="preserve">3 </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360" w:lineRule="exact"/>
              <w:jc w:val="center"/>
              <w:rPr>
                <w:rFonts w:ascii="宋体" w:hAnsi="宋体"/>
                <w:b/>
                <w:color w:val="auto"/>
                <w:szCs w:val="21"/>
                <w:highlight w:val="none"/>
              </w:rPr>
            </w:pPr>
            <w:r>
              <w:rPr>
                <w:rFonts w:hint="eastAsia" w:ascii="宋体" w:hAnsi="宋体"/>
                <w:b/>
                <w:color w:val="auto"/>
                <w:szCs w:val="21"/>
                <w:highlight w:val="none"/>
              </w:rPr>
              <w:t>2</w:t>
            </w:r>
          </w:p>
        </w:tc>
        <w:tc>
          <w:tcPr>
            <w:tcW w:w="212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olor w:val="auto"/>
                <w:szCs w:val="21"/>
                <w:highlight w:val="none"/>
              </w:rPr>
            </w:pPr>
            <w:r>
              <w:rPr>
                <w:rFonts w:hint="eastAsia" w:ascii="宋体" w:hAnsi="宋体"/>
                <w:color w:val="auto"/>
                <w:szCs w:val="21"/>
                <w:highlight w:val="none"/>
              </w:rPr>
              <w:t>投标资料数量和封装</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left"/>
              <w:rPr>
                <w:color w:val="auto"/>
                <w:szCs w:val="21"/>
                <w:highlight w:val="none"/>
              </w:rPr>
            </w:pPr>
            <w:r>
              <w:rPr>
                <w:rFonts w:hint="eastAsia" w:ascii="宋体"/>
                <w:bCs/>
                <w:color w:val="auto"/>
                <w:highlight w:val="none"/>
              </w:rPr>
              <w:t>投标人在每一份磋商响应文件上明确标明 “正本”或“副本”。将正本及副本分别</w:t>
            </w:r>
            <w:r>
              <w:rPr>
                <w:rFonts w:hint="eastAsia" w:ascii="宋体" w:hAnsi="宋体"/>
                <w:bCs/>
                <w:color w:val="auto"/>
                <w:highlight w:val="none"/>
              </w:rPr>
              <w:t>密封在不透明的外层封装中，</w:t>
            </w:r>
            <w:r>
              <w:rPr>
                <w:rFonts w:hint="eastAsia"/>
                <w:color w:val="auto"/>
                <w:szCs w:val="21"/>
                <w:highlight w:val="none"/>
              </w:rPr>
              <w:t>封面需按文件封面格式要求标注并加盖公章。电子文件单独密封</w:t>
            </w:r>
            <w:r>
              <w:rPr>
                <w:rFonts w:hint="eastAsia" w:ascii="宋体" w:hAnsi="宋体"/>
                <w:bCs/>
                <w:color w:val="auto"/>
                <w:szCs w:val="21"/>
                <w:highlight w:val="none"/>
              </w:rPr>
              <w:t>不透明的外层封装中</w:t>
            </w:r>
            <w:r>
              <w:rPr>
                <w:rFonts w:hint="eastAsia"/>
                <w:color w:val="auto"/>
                <w:szCs w:val="21"/>
                <w:highlight w:val="none"/>
              </w:rPr>
              <w:t>，在封面上注明“（公司名称）投标电子版”，</w:t>
            </w:r>
            <w:r>
              <w:rPr>
                <w:color w:val="auto"/>
                <w:szCs w:val="21"/>
                <w:highlight w:val="none"/>
              </w:rPr>
              <w:t>所有文件密封袋的封口处应加盖投标人</w:t>
            </w:r>
            <w:r>
              <w:rPr>
                <w:rFonts w:hint="eastAsia"/>
                <w:color w:val="auto"/>
                <w:szCs w:val="21"/>
                <w:highlight w:val="none"/>
              </w:rPr>
              <w:t>公章或密封章。</w:t>
            </w:r>
          </w:p>
          <w:p>
            <w:pPr>
              <w:spacing w:line="360" w:lineRule="exact"/>
              <w:jc w:val="left"/>
              <w:rPr>
                <w:rFonts w:ascii="宋体" w:hAnsi="宋体"/>
                <w:b/>
                <w:color w:val="auto"/>
                <w:szCs w:val="21"/>
                <w:highlight w:val="none"/>
                <w:shd w:val="pct10" w:color="auto" w:fill="FFFFFF"/>
              </w:rPr>
            </w:pPr>
            <w:r>
              <w:rPr>
                <w:rFonts w:hint="eastAsia"/>
                <w:b/>
                <w:color w:val="auto"/>
                <w:szCs w:val="21"/>
                <w:highlight w:val="none"/>
              </w:rPr>
              <w:t>正本</w:t>
            </w:r>
            <w:r>
              <w:rPr>
                <w:rFonts w:hint="eastAsia" w:ascii="宋体"/>
                <w:b/>
                <w:bCs/>
                <w:color w:val="auto"/>
                <w:highlight w:val="none"/>
                <w:u w:val="single"/>
              </w:rPr>
              <w:t>1</w:t>
            </w:r>
            <w:r>
              <w:rPr>
                <w:rFonts w:hint="eastAsia" w:ascii="宋体"/>
                <w:b/>
                <w:bCs/>
                <w:color w:val="auto"/>
                <w:highlight w:val="none"/>
              </w:rPr>
              <w:t>份,</w:t>
            </w:r>
            <w:r>
              <w:rPr>
                <w:rFonts w:hint="eastAsia" w:ascii="宋体" w:hAnsi="宋体"/>
                <w:b/>
                <w:bCs/>
                <w:color w:val="auto"/>
                <w:highlight w:val="none"/>
              </w:rPr>
              <w:t xml:space="preserve"> 副本</w:t>
            </w:r>
            <w:r>
              <w:rPr>
                <w:rFonts w:ascii="宋体" w:hAnsi="宋体"/>
                <w:b/>
                <w:bCs/>
                <w:color w:val="auto"/>
                <w:highlight w:val="none"/>
                <w:u w:val="single"/>
              </w:rPr>
              <w:t>2</w:t>
            </w:r>
            <w:r>
              <w:rPr>
                <w:rFonts w:hint="eastAsia" w:ascii="宋体" w:hAnsi="宋体"/>
                <w:b/>
                <w:bCs/>
                <w:color w:val="auto"/>
                <w:highlight w:val="none"/>
              </w:rPr>
              <w:t>份,</w:t>
            </w:r>
            <w:r>
              <w:rPr>
                <w:rFonts w:hint="eastAsia"/>
                <w:b/>
                <w:color w:val="auto"/>
                <w:szCs w:val="21"/>
                <w:highlight w:val="none"/>
              </w:rPr>
              <w:t>电子文件</w:t>
            </w:r>
            <w:r>
              <w:rPr>
                <w:rFonts w:hint="eastAsia" w:ascii="宋体"/>
                <w:b/>
                <w:bCs/>
                <w:color w:val="auto"/>
                <w:highlight w:val="none"/>
                <w:u w:val="single"/>
              </w:rPr>
              <w:t>1</w:t>
            </w:r>
            <w:r>
              <w:rPr>
                <w:rFonts w:hint="eastAsia" w:ascii="宋体"/>
                <w:b/>
                <w:bCs/>
                <w:color w:val="auto"/>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color w:val="auto"/>
                <w:highlight w:val="none"/>
              </w:rPr>
              <w:t>为了方便唱标，投标人在递交磋商响应文件的同时，向代理采购机构提交包含“第一次报价一览表”、“投标保证金”、“分项报价表”、“保证金退付书”</w:t>
            </w:r>
            <w:r>
              <w:rPr>
                <w:rFonts w:hint="eastAsia" w:ascii="宋体" w:hAnsi="宋体"/>
                <w:color w:val="auto"/>
                <w:szCs w:val="21"/>
                <w:highlight w:val="none"/>
              </w:rPr>
              <w:t>、“法定代表人（负责人）证明书”</w:t>
            </w:r>
            <w:r>
              <w:rPr>
                <w:rFonts w:hint="eastAsia"/>
                <w:color w:val="auto"/>
                <w:highlight w:val="none"/>
              </w:rPr>
              <w:t>和</w:t>
            </w:r>
            <w:r>
              <w:rPr>
                <w:rFonts w:hint="eastAsia" w:ascii="宋体" w:hAnsi="宋体"/>
                <w:color w:val="auto"/>
                <w:szCs w:val="21"/>
                <w:highlight w:val="none"/>
              </w:rPr>
              <w:t>“法定代表人（负责人）</w:t>
            </w:r>
            <w:r>
              <w:rPr>
                <w:rFonts w:ascii="宋体" w:hAnsi="宋体"/>
                <w:color w:val="auto"/>
                <w:szCs w:val="21"/>
                <w:highlight w:val="none"/>
              </w:rPr>
              <w:t>授权书</w:t>
            </w:r>
            <w:r>
              <w:rPr>
                <w:rFonts w:hint="eastAsia" w:ascii="宋体" w:hAnsi="宋体"/>
                <w:color w:val="auto"/>
                <w:szCs w:val="21"/>
                <w:highlight w:val="none"/>
              </w:rPr>
              <w:t>”</w:t>
            </w:r>
            <w:r>
              <w:rPr>
                <w:rFonts w:hint="eastAsia"/>
                <w:color w:val="auto"/>
                <w:highlight w:val="none"/>
              </w:rPr>
              <w:t>的密封袋，</w:t>
            </w:r>
            <w:r>
              <w:rPr>
                <w:rFonts w:hint="eastAsia"/>
                <w:color w:val="auto"/>
                <w:szCs w:val="21"/>
                <w:highlight w:val="none"/>
              </w:rPr>
              <w:t>在封面上注明“开标信封”。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color w:val="auto"/>
                <w:highlight w:val="none"/>
              </w:rPr>
            </w:pPr>
            <w:r>
              <w:rPr>
                <w:rFonts w:hint="eastAsia" w:ascii="宋体"/>
                <w:bCs/>
                <w:color w:val="auto"/>
                <w:highlight w:val="none"/>
              </w:rPr>
              <w:t>每一密封信封上均注明“于</w:t>
            </w:r>
            <w:r>
              <w:rPr>
                <w:rFonts w:hint="eastAsia" w:ascii="宋体"/>
                <w:bCs/>
                <w:color w:val="auto"/>
                <w:highlight w:val="none"/>
                <w:u w:val="single"/>
              </w:rPr>
              <w:t xml:space="preserve">     （磋商响应截止时间）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宋体" w:hAnsi="宋体"/>
                <w:color w:val="auto"/>
                <w:szCs w:val="21"/>
                <w:highlight w:val="none"/>
              </w:rPr>
            </w:pPr>
          </w:p>
        </w:tc>
        <w:tc>
          <w:tcPr>
            <w:tcW w:w="657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highlight w:val="none"/>
              </w:rPr>
            </w:pPr>
            <w:r>
              <w:rPr>
                <w:rFonts w:hint="eastAsia" w:ascii="宋体"/>
                <w:bCs/>
                <w:color w:val="auto"/>
                <w:highlight w:val="none"/>
              </w:rPr>
              <w:t>投标人未按上述规定对磋商响应文件进行密封和加写标记，</w:t>
            </w:r>
            <w:r>
              <w:rPr>
                <w:rFonts w:hint="eastAsia" w:ascii="宋体" w:hAnsi="宋体"/>
                <w:color w:val="auto"/>
                <w:highlight w:val="none"/>
              </w:rPr>
              <w:t>代理采购机构有权予以拒收，并退回给投标人。电报、电话、传真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r>
              <w:rPr>
                <w:rFonts w:hint="eastAsia" w:ascii="宋体" w:hAnsi="宋体"/>
                <w:b/>
                <w:color w:val="auto"/>
                <w:szCs w:val="21"/>
                <w:highlight w:val="none"/>
              </w:rPr>
              <w:t>3</w:t>
            </w:r>
          </w:p>
        </w:tc>
        <w:tc>
          <w:tcPr>
            <w:tcW w:w="212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highlight w:val="none"/>
              </w:rPr>
            </w:pPr>
            <w:r>
              <w:rPr>
                <w:rFonts w:hint="eastAsia" w:ascii="宋体" w:hAnsi="宋体"/>
                <w:color w:val="auto"/>
                <w:szCs w:val="21"/>
                <w:highlight w:val="none"/>
              </w:rPr>
              <w:t>其他说明</w:t>
            </w:r>
          </w:p>
        </w:tc>
        <w:tc>
          <w:tcPr>
            <w:tcW w:w="6578" w:type="dxa"/>
            <w:gridSpan w:val="2"/>
            <w:tcBorders>
              <w:top w:val="single" w:color="auto" w:sz="4" w:space="0"/>
              <w:left w:val="single" w:color="auto" w:sz="4" w:space="0"/>
              <w:bottom w:val="single" w:color="auto" w:sz="4" w:space="0"/>
              <w:right w:val="single" w:color="auto" w:sz="4" w:space="0"/>
            </w:tcBorders>
            <w:vAlign w:val="center"/>
          </w:tcPr>
          <w:p>
            <w:pPr>
              <w:pStyle w:val="5"/>
              <w:tabs>
                <w:tab w:val="left" w:pos="26"/>
              </w:tabs>
              <w:ind w:left="26" w:firstLine="0"/>
              <w:jc w:val="both"/>
              <w:rPr>
                <w:b/>
                <w:color w:val="auto"/>
                <w:sz w:val="21"/>
                <w:szCs w:val="21"/>
                <w:highlight w:val="none"/>
              </w:rPr>
            </w:pPr>
            <w:r>
              <w:rPr>
                <w:rFonts w:hint="eastAsia"/>
                <w:b/>
                <w:color w:val="auto"/>
                <w:sz w:val="21"/>
                <w:szCs w:val="21"/>
                <w:highlight w:val="none"/>
              </w:rPr>
              <w:t>1、磋商响应文件中打“★”号条款必须实质性响应，负偏离（不满足要求）将导致投标无效。</w:t>
            </w:r>
          </w:p>
          <w:p>
            <w:pPr>
              <w:pStyle w:val="5"/>
              <w:tabs>
                <w:tab w:val="left" w:pos="26"/>
              </w:tabs>
              <w:ind w:left="26" w:firstLine="0"/>
              <w:jc w:val="both"/>
              <w:rPr>
                <w:bCs/>
                <w:color w:val="auto"/>
                <w:highlight w:val="none"/>
              </w:rPr>
            </w:pPr>
            <w:r>
              <w:rPr>
                <w:rFonts w:hint="eastAsia"/>
                <w:b/>
                <w:color w:val="auto"/>
                <w:sz w:val="21"/>
                <w:szCs w:val="21"/>
                <w:highlight w:val="none"/>
              </w:rPr>
              <w:t>2、磋商响应文件中带“▲”为实质性参数要求响应,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5"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r>
              <w:rPr>
                <w:rFonts w:ascii="宋体" w:hAnsi="宋体"/>
                <w:b/>
                <w:color w:val="auto"/>
                <w:szCs w:val="21"/>
                <w:highlight w:val="none"/>
              </w:rPr>
              <w:t>4</w:t>
            </w:r>
          </w:p>
        </w:tc>
        <w:tc>
          <w:tcPr>
            <w:tcW w:w="2127"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442" w:type="dxa"/>
            <w:vMerge w:val="restart"/>
            <w:tcBorders>
              <w:top w:val="single" w:color="auto" w:sz="4" w:space="0"/>
              <w:left w:val="single" w:color="auto" w:sz="4" w:space="0"/>
              <w:right w:val="single" w:color="auto" w:sz="4" w:space="0"/>
            </w:tcBorders>
            <w:vAlign w:val="center"/>
          </w:tcPr>
          <w:p>
            <w:pPr>
              <w:spacing w:line="360" w:lineRule="exact"/>
              <w:rPr>
                <w:rFonts w:ascii="宋体"/>
                <w:bCs/>
                <w:color w:val="auto"/>
                <w:highlight w:val="none"/>
              </w:rPr>
            </w:pPr>
            <w:r>
              <w:rPr>
                <w:rFonts w:hint="eastAsia" w:ascii="宋体" w:hAnsi="宋体"/>
                <w:color w:val="auto"/>
                <w:szCs w:val="21"/>
                <w:highlight w:val="none"/>
              </w:rPr>
              <w:t>广东业信采购招标有限公司网</w:t>
            </w:r>
          </w:p>
        </w:tc>
        <w:tc>
          <w:tcPr>
            <w:tcW w:w="3136"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bCs/>
                <w:color w:val="auto"/>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lang w:val="en-US" w:eastAsia="zh-CN"/>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75" w:type="dxa"/>
            <w:vMerge w:val="continue"/>
            <w:tcBorders>
              <w:left w:val="single" w:color="auto" w:sz="4" w:space="0"/>
              <w:right w:val="single" w:color="auto" w:sz="4" w:space="0"/>
            </w:tcBorders>
            <w:vAlign w:val="center"/>
          </w:tcPr>
          <w:p>
            <w:pPr>
              <w:widowControl/>
              <w:spacing w:line="360" w:lineRule="exact"/>
              <w:jc w:val="center"/>
              <w:rPr>
                <w:rFonts w:ascii="宋体" w:hAnsi="宋体"/>
                <w:b/>
                <w:color w:val="auto"/>
                <w:szCs w:val="21"/>
                <w:highlight w:val="none"/>
              </w:rPr>
            </w:pPr>
          </w:p>
        </w:tc>
        <w:tc>
          <w:tcPr>
            <w:tcW w:w="2127" w:type="dxa"/>
            <w:vMerge w:val="continue"/>
            <w:tcBorders>
              <w:left w:val="single" w:color="auto" w:sz="4" w:space="0"/>
              <w:right w:val="single" w:color="auto" w:sz="4" w:space="0"/>
            </w:tcBorders>
            <w:vAlign w:val="center"/>
          </w:tcPr>
          <w:p>
            <w:pPr>
              <w:widowControl/>
              <w:spacing w:line="360" w:lineRule="exact"/>
              <w:jc w:val="center"/>
              <w:rPr>
                <w:rFonts w:hint="eastAsia" w:ascii="宋体" w:hAnsi="宋体"/>
                <w:color w:val="auto"/>
                <w:szCs w:val="21"/>
                <w:highlight w:val="none"/>
              </w:rPr>
            </w:pPr>
          </w:p>
        </w:tc>
        <w:tc>
          <w:tcPr>
            <w:tcW w:w="3442" w:type="dxa"/>
            <w:vMerge w:val="continue"/>
            <w:tcBorders>
              <w:left w:val="single" w:color="auto" w:sz="4" w:space="0"/>
              <w:right w:val="single" w:color="auto" w:sz="4" w:space="0"/>
            </w:tcBorders>
            <w:vAlign w:val="center"/>
          </w:tcPr>
          <w:p>
            <w:pPr>
              <w:spacing w:line="360" w:lineRule="exact"/>
              <w:rPr>
                <w:rFonts w:hint="eastAsia" w:ascii="宋体" w:hAnsi="宋体"/>
                <w:color w:val="auto"/>
                <w:szCs w:val="21"/>
                <w:highlight w:val="none"/>
              </w:rPr>
            </w:pPr>
          </w:p>
        </w:tc>
        <w:tc>
          <w:tcPr>
            <w:tcW w:w="3136" w:type="dxa"/>
            <w:tcBorders>
              <w:top w:val="single" w:color="auto" w:sz="4" w:space="0"/>
              <w:left w:val="single" w:color="auto" w:sz="4" w:space="0"/>
              <w:right w:val="single" w:color="auto" w:sz="4" w:space="0"/>
            </w:tcBorders>
            <w:vAlign w:val="center"/>
          </w:tcPr>
          <w:p>
            <w:pPr>
              <w:spacing w:line="360" w:lineRule="exact"/>
              <w:rPr>
                <w:rFonts w:hint="eastAsia" w:ascii="宋体" w:hAnsi="宋体"/>
                <w:color w:val="auto"/>
                <w:szCs w:val="21"/>
                <w:highlight w:val="none"/>
              </w:rPr>
            </w:pPr>
            <w:r>
              <w:rPr>
                <w:rFonts w:hint="eastAsia" w:ascii="宋体" w:hAnsi="宋体"/>
                <w:color w:val="auto"/>
                <w:szCs w:val="21"/>
                <w:highlight w:val="none"/>
              </w:rPr>
              <w:t>http://www.yjcg.cc</w:t>
            </w:r>
          </w:p>
        </w:tc>
      </w:tr>
    </w:tbl>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26"/>
        <w:adjustRightInd w:val="0"/>
        <w:snapToGrid w:val="0"/>
        <w:spacing w:line="300" w:lineRule="auto"/>
        <w:outlineLvl w:val="1"/>
        <w:rPr>
          <w:rFonts w:hint="eastAsia" w:hAnsi="宋体"/>
          <w:color w:val="auto"/>
          <w:highlight w:val="none"/>
        </w:rPr>
      </w:pPr>
      <w:bookmarkStart w:id="121" w:name="_Hlt21938668"/>
      <w:bookmarkEnd w:id="121"/>
      <w:bookmarkStart w:id="122" w:name="_Hlt21938665"/>
      <w:bookmarkEnd w:id="122"/>
      <w:bookmarkStart w:id="123" w:name="_Toc464632120"/>
    </w:p>
    <w:p>
      <w:pPr>
        <w:pStyle w:val="26"/>
        <w:adjustRightInd w:val="0"/>
        <w:snapToGrid w:val="0"/>
        <w:spacing w:line="300" w:lineRule="auto"/>
        <w:outlineLvl w:val="1"/>
        <w:rPr>
          <w:rFonts w:hAnsi="宋体"/>
          <w:color w:val="auto"/>
          <w:highlight w:val="none"/>
        </w:rPr>
      </w:pPr>
      <w:bookmarkStart w:id="124" w:name="_Toc28038"/>
      <w:r>
        <w:rPr>
          <w:rFonts w:hint="eastAsia" w:hAnsi="宋体"/>
          <w:color w:val="auto"/>
          <w:highlight w:val="none"/>
        </w:rPr>
        <w:t>一、说  明</w:t>
      </w:r>
      <w:bookmarkEnd w:id="123"/>
      <w:bookmarkEnd w:id="124"/>
    </w:p>
    <w:p>
      <w:pPr>
        <w:pStyle w:val="26"/>
        <w:adjustRightInd w:val="0"/>
        <w:snapToGrid w:val="0"/>
        <w:spacing w:line="300" w:lineRule="auto"/>
        <w:rPr>
          <w:rFonts w:hAnsi="宋体"/>
          <w:color w:val="auto"/>
          <w:highlight w:val="none"/>
        </w:rPr>
      </w:pPr>
      <w:r>
        <w:rPr>
          <w:rFonts w:hint="eastAsia" w:hAnsi="宋体"/>
          <w:color w:val="auto"/>
          <w:highlight w:val="none"/>
        </w:rPr>
        <w:t>1． 适用范围</w:t>
      </w:r>
    </w:p>
    <w:p>
      <w:pPr>
        <w:pStyle w:val="26"/>
        <w:adjustRightInd w:val="0"/>
        <w:snapToGrid w:val="0"/>
        <w:spacing w:line="300" w:lineRule="auto"/>
        <w:rPr>
          <w:rFonts w:hAnsi="宋体"/>
          <w:color w:val="auto"/>
          <w:highlight w:val="none"/>
        </w:rPr>
      </w:pPr>
      <w:r>
        <w:rPr>
          <w:rFonts w:hint="eastAsia" w:hAnsi="宋体"/>
          <w:color w:val="auto"/>
          <w:highlight w:val="none"/>
        </w:rPr>
        <w:t>1.1本磋商文件适用于本竞争性磋商的采购项目。</w:t>
      </w:r>
    </w:p>
    <w:p>
      <w:pPr>
        <w:pStyle w:val="26"/>
        <w:adjustRightInd w:val="0"/>
        <w:snapToGrid w:val="0"/>
        <w:spacing w:line="300" w:lineRule="auto"/>
        <w:rPr>
          <w:rFonts w:hAnsi="宋体"/>
          <w:color w:val="auto"/>
          <w:highlight w:val="none"/>
        </w:rPr>
      </w:pPr>
      <w:r>
        <w:rPr>
          <w:rFonts w:hint="eastAsia" w:hAnsi="宋体"/>
          <w:color w:val="auto"/>
          <w:highlight w:val="none"/>
        </w:rPr>
        <w:t>2. 定义</w:t>
      </w:r>
    </w:p>
    <w:p>
      <w:pPr>
        <w:pStyle w:val="26"/>
        <w:adjustRightInd w:val="0"/>
        <w:snapToGrid w:val="0"/>
        <w:spacing w:line="300" w:lineRule="auto"/>
        <w:rPr>
          <w:rFonts w:hAnsi="宋体"/>
          <w:color w:val="auto"/>
          <w:highlight w:val="none"/>
        </w:rPr>
      </w:pPr>
      <w:r>
        <w:rPr>
          <w:rFonts w:hint="eastAsia" w:hAnsi="宋体"/>
          <w:color w:val="auto"/>
          <w:highlight w:val="none"/>
        </w:rPr>
        <w:t xml:space="preserve">2.1“采购人”：是指本次采购项目的最终服务对象。 </w:t>
      </w:r>
    </w:p>
    <w:p>
      <w:pPr>
        <w:pStyle w:val="26"/>
        <w:adjustRightInd w:val="0"/>
        <w:snapToGrid w:val="0"/>
        <w:spacing w:line="300" w:lineRule="auto"/>
        <w:rPr>
          <w:rFonts w:hAnsi="宋体"/>
          <w:color w:val="auto"/>
          <w:highlight w:val="none"/>
        </w:rPr>
      </w:pPr>
      <w:r>
        <w:rPr>
          <w:rFonts w:hint="eastAsia" w:hAnsi="宋体"/>
          <w:color w:val="auto"/>
          <w:highlight w:val="none"/>
        </w:rPr>
        <w:t>2.2 “监管部门”是指：同级政府采购监管部门</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2.3“采购代理机构”：是指广东业信采购招标有限公司。</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2.4“招标采购单位”是指：采购人。</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2.5 “供应商”是指响应本文件要求，参加磋商的法人或者其他组织、自然人。</w:t>
      </w:r>
    </w:p>
    <w:p>
      <w:pPr>
        <w:autoSpaceDE w:val="0"/>
        <w:autoSpaceDN w:val="0"/>
        <w:adjustRightInd w:val="0"/>
        <w:snapToGrid w:val="0"/>
        <w:spacing w:line="300" w:lineRule="auto"/>
        <w:ind w:left="531" w:leftChars="228" w:right="32" w:hanging="52" w:hangingChars="25"/>
        <w:rPr>
          <w:rFonts w:ascii="宋体" w:hAnsi="宋体"/>
          <w:color w:val="auto"/>
          <w:kern w:val="0"/>
          <w:szCs w:val="21"/>
          <w:highlight w:val="none"/>
        </w:rPr>
      </w:pPr>
      <w:r>
        <w:rPr>
          <w:rFonts w:hint="eastAsia" w:ascii="宋体" w:hAnsi="宋体"/>
          <w:color w:val="auto"/>
          <w:kern w:val="0"/>
          <w:szCs w:val="21"/>
          <w:highlight w:val="none"/>
        </w:rPr>
        <w:t>合格的供应商指：</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(1)符合《政府采购法》第二十二条规定的供应商。</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(2)符合磋商文件规定的资格要求及特殊条件要求。</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(3)本项目是否允许联合体，详见《</w:t>
      </w:r>
      <w:r>
        <w:rPr>
          <w:rFonts w:hint="eastAsia" w:ascii="宋体" w:hAnsi="宋体"/>
          <w:color w:val="auto"/>
          <w:highlight w:val="none"/>
        </w:rPr>
        <w:t>采购项目内容</w:t>
      </w:r>
      <w:r>
        <w:rPr>
          <w:rFonts w:hint="eastAsia" w:ascii="宋体" w:hAnsi="宋体"/>
          <w:color w:val="auto"/>
          <w:kern w:val="0"/>
          <w:szCs w:val="21"/>
          <w:highlight w:val="none"/>
        </w:rPr>
        <w:t>》。</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2.6“成交供应商”是指经法定程序确定并授予合同的供应商。</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2.7“响应文件”是指：供应商根据本文件要求，编制包含报价、技术和服务等所有内容的实质性响应文件。</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2.8“采购合同”：是指由采购人和成交供应商签订的规定双方权利和义务的协议。</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2.9“日”、“天”系指公历日。</w:t>
      </w:r>
    </w:p>
    <w:p>
      <w:pPr>
        <w:pStyle w:val="26"/>
        <w:adjustRightInd w:val="0"/>
        <w:snapToGrid w:val="0"/>
        <w:spacing w:line="300" w:lineRule="auto"/>
        <w:rPr>
          <w:rFonts w:hAnsi="宋体"/>
          <w:color w:val="auto"/>
          <w:highlight w:val="none"/>
        </w:rPr>
      </w:pPr>
      <w:r>
        <w:rPr>
          <w:rFonts w:hint="eastAsia" w:hAnsi="宋体"/>
          <w:color w:val="auto"/>
          <w:highlight w:val="none"/>
        </w:rPr>
        <w:t>3. 合格的货物和服务</w:t>
      </w:r>
    </w:p>
    <w:p>
      <w:pPr>
        <w:adjustRightInd w:val="0"/>
        <w:snapToGrid w:val="0"/>
        <w:spacing w:line="300" w:lineRule="auto"/>
        <w:ind w:left="420" w:hanging="420" w:hangingChars="200"/>
        <w:rPr>
          <w:rFonts w:ascii="宋体" w:hAnsi="宋体"/>
          <w:color w:val="auto"/>
          <w:szCs w:val="21"/>
          <w:highlight w:val="none"/>
        </w:rPr>
      </w:pPr>
      <w:r>
        <w:rPr>
          <w:rFonts w:hint="eastAsia" w:ascii="宋体" w:hAnsi="宋体"/>
          <w:color w:val="auto"/>
          <w:szCs w:val="21"/>
          <w:highlight w:val="none"/>
        </w:rPr>
        <w:t>3.1“货物”是指供应商制造或组织符合磋商文件要求的货物等。磋商文件中没有提及磋商货物来源地的，根据《政府采购法》的相关规定均应是本国货物，优先采购节能、环保产品。磋商的货物必须是其合法生产的符合国家有关标准要求的货物，并满足政府磋商文件规定的规格、参数、质量、价格、有效期、售后服务等要求。</w:t>
      </w:r>
    </w:p>
    <w:p>
      <w:pPr>
        <w:adjustRightInd w:val="0"/>
        <w:snapToGrid w:val="0"/>
        <w:spacing w:line="300" w:lineRule="auto"/>
        <w:ind w:left="420" w:hanging="420" w:hangingChars="200"/>
        <w:rPr>
          <w:rFonts w:ascii="宋体" w:hAnsi="宋体"/>
          <w:color w:val="auto"/>
          <w:szCs w:val="21"/>
          <w:highlight w:val="none"/>
        </w:rPr>
      </w:pPr>
      <w:r>
        <w:rPr>
          <w:rFonts w:hint="eastAsia" w:ascii="宋体" w:hAnsi="宋体"/>
          <w:color w:val="auto"/>
          <w:szCs w:val="21"/>
          <w:highlight w:val="none"/>
        </w:rPr>
        <w:t>3.2 “服务”是指除货物和工程以外的其他政府采购对象,其中包括：供应商须承担的运输、安装、技术支持、培训以及磋商文件规定的其它服务。</w:t>
      </w:r>
    </w:p>
    <w:p>
      <w:pPr>
        <w:pStyle w:val="26"/>
        <w:adjustRightInd w:val="0"/>
        <w:snapToGrid w:val="0"/>
        <w:spacing w:line="300" w:lineRule="auto"/>
        <w:rPr>
          <w:rFonts w:hAnsi="宋体"/>
          <w:color w:val="auto"/>
          <w:highlight w:val="none"/>
        </w:rPr>
      </w:pPr>
      <w:r>
        <w:rPr>
          <w:rFonts w:hint="eastAsia" w:hAnsi="宋体"/>
          <w:color w:val="auto"/>
          <w:highlight w:val="none"/>
        </w:rPr>
        <w:t>4． 磋商费用</w:t>
      </w:r>
    </w:p>
    <w:p>
      <w:pPr>
        <w:pStyle w:val="26"/>
        <w:adjustRightInd w:val="0"/>
        <w:snapToGrid w:val="0"/>
        <w:spacing w:line="300" w:lineRule="auto"/>
        <w:ind w:left="420" w:hanging="420"/>
        <w:rPr>
          <w:rFonts w:hAnsi="宋体"/>
          <w:color w:val="auto"/>
          <w:highlight w:val="none"/>
        </w:rPr>
      </w:pPr>
      <w:r>
        <w:rPr>
          <w:rFonts w:hint="eastAsia" w:hAnsi="宋体"/>
          <w:color w:val="auto"/>
          <w:highlight w:val="none"/>
        </w:rPr>
        <w:t>4.1 供应商应承担所有与准备和参加磋商有关的费用。不论磋商的结果如何，采购代理机构和采购人均无义务和责任承担这些费用。</w:t>
      </w:r>
    </w:p>
    <w:p>
      <w:pPr>
        <w:pStyle w:val="26"/>
        <w:adjustRightInd w:val="0"/>
        <w:snapToGrid w:val="0"/>
        <w:spacing w:line="300" w:lineRule="auto"/>
        <w:ind w:left="420" w:hanging="420"/>
        <w:rPr>
          <w:rFonts w:hAnsi="宋体"/>
          <w:color w:val="auto"/>
          <w:highlight w:val="none"/>
        </w:rPr>
      </w:pPr>
      <w:r>
        <w:rPr>
          <w:rFonts w:hint="eastAsia" w:hAnsi="宋体"/>
          <w:color w:val="auto"/>
          <w:highlight w:val="none"/>
        </w:rPr>
        <w:t>4.2本次采购向成交供应商收取的成交服务费，按国家有关规定执行。</w:t>
      </w:r>
    </w:p>
    <w:p>
      <w:pPr>
        <w:pStyle w:val="26"/>
        <w:adjustRightInd w:val="0"/>
        <w:snapToGrid w:val="0"/>
        <w:spacing w:line="300" w:lineRule="auto"/>
        <w:ind w:left="420" w:hanging="420"/>
        <w:rPr>
          <w:rFonts w:hAnsi="宋体"/>
          <w:color w:val="auto"/>
          <w:highlight w:val="none"/>
        </w:rPr>
      </w:pPr>
    </w:p>
    <w:p>
      <w:pPr>
        <w:pStyle w:val="26"/>
        <w:adjustRightInd w:val="0"/>
        <w:snapToGrid w:val="0"/>
        <w:spacing w:line="300" w:lineRule="auto"/>
        <w:outlineLvl w:val="1"/>
        <w:rPr>
          <w:rFonts w:hAnsi="宋体"/>
          <w:color w:val="auto"/>
          <w:highlight w:val="none"/>
        </w:rPr>
      </w:pPr>
      <w:bookmarkStart w:id="125" w:name="_Toc464632121"/>
      <w:bookmarkStart w:id="126" w:name="_Toc2162"/>
      <w:r>
        <w:rPr>
          <w:rFonts w:hint="eastAsia" w:hAnsi="宋体"/>
          <w:color w:val="auto"/>
          <w:highlight w:val="none"/>
        </w:rPr>
        <w:t>二、磋商文件</w:t>
      </w:r>
      <w:bookmarkEnd w:id="125"/>
      <w:bookmarkEnd w:id="126"/>
    </w:p>
    <w:p>
      <w:pPr>
        <w:pStyle w:val="26"/>
        <w:adjustRightInd w:val="0"/>
        <w:snapToGrid w:val="0"/>
        <w:spacing w:line="300" w:lineRule="auto"/>
        <w:ind w:left="420" w:hanging="420"/>
        <w:rPr>
          <w:rFonts w:hAnsi="宋体"/>
          <w:color w:val="auto"/>
          <w:highlight w:val="none"/>
        </w:rPr>
      </w:pPr>
      <w:r>
        <w:rPr>
          <w:rFonts w:hint="eastAsia" w:hAnsi="宋体"/>
          <w:color w:val="auto"/>
          <w:highlight w:val="none"/>
        </w:rPr>
        <w:t>5.  磋商文件的构成</w:t>
      </w:r>
    </w:p>
    <w:p>
      <w:pPr>
        <w:pStyle w:val="26"/>
        <w:adjustRightInd w:val="0"/>
        <w:snapToGrid w:val="0"/>
        <w:spacing w:line="300" w:lineRule="auto"/>
        <w:ind w:left="420" w:hanging="420"/>
        <w:rPr>
          <w:rFonts w:hAnsi="宋体"/>
          <w:color w:val="auto"/>
          <w:highlight w:val="none"/>
        </w:rPr>
      </w:pPr>
      <w:r>
        <w:rPr>
          <w:rFonts w:hint="eastAsia" w:hAnsi="宋体"/>
          <w:color w:val="auto"/>
          <w:highlight w:val="none"/>
        </w:rPr>
        <w:t>5.1磋商文件由下列文件以及在磋商过程中发出的修正和补充文件组成：</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1) 采购邀请</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2) 采购项目内容</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3) 磋商须知</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4) 合同书格式</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5) 响应文件格式</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6) 其他：详见《磋商须知前附表》</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7) 在磋商过程中由招标采购单位发出的修正和补充文件等；</w:t>
      </w:r>
    </w:p>
    <w:p>
      <w:pPr>
        <w:pStyle w:val="26"/>
        <w:adjustRightInd w:val="0"/>
        <w:snapToGrid w:val="0"/>
        <w:spacing w:line="300" w:lineRule="auto"/>
        <w:ind w:left="420" w:hanging="420"/>
        <w:rPr>
          <w:rFonts w:hAnsi="宋体"/>
          <w:color w:val="auto"/>
          <w:highlight w:val="none"/>
        </w:rPr>
      </w:pPr>
      <w:r>
        <w:rPr>
          <w:rFonts w:hint="eastAsia" w:hAnsi="宋体"/>
          <w:color w:val="auto"/>
          <w:highlight w:val="none"/>
        </w:rPr>
        <w:t>5.2 供应商应认真阅读、并充分理解磋商文件的全部内容（包括所有的补充、修改内容、重要事项、格式、条款和技术规范、参数及要求等。），供应商没有按照磋商文件要求提交全部资料，或者响应文件没有对磋商文件在各方面都做出实质性响应是供应商的风险，有可能导致其报价响应被拒绝，或被认定为无效响应或被确定为响应无效。</w:t>
      </w:r>
    </w:p>
    <w:p>
      <w:pPr>
        <w:pStyle w:val="26"/>
        <w:adjustRightInd w:val="0"/>
        <w:snapToGrid w:val="0"/>
        <w:spacing w:line="300" w:lineRule="auto"/>
        <w:rPr>
          <w:rFonts w:hAnsi="宋体"/>
          <w:color w:val="auto"/>
          <w:kern w:val="0"/>
          <w:highlight w:val="none"/>
        </w:rPr>
      </w:pPr>
      <w:r>
        <w:rPr>
          <w:rFonts w:hint="eastAsia" w:hAnsi="宋体"/>
          <w:color w:val="auto"/>
          <w:kern w:val="0"/>
          <w:highlight w:val="none"/>
        </w:rPr>
        <w:t>6.  踏勘现场</w:t>
      </w:r>
      <w:r>
        <w:rPr>
          <w:rFonts w:hint="eastAsia" w:hAnsi="宋体"/>
          <w:b/>
          <w:snapToGrid w:val="0"/>
          <w:color w:val="auto"/>
          <w:kern w:val="0"/>
          <w:highlight w:val="none"/>
          <w:u w:val="single"/>
        </w:rPr>
        <w:t>(本条款不适用)</w:t>
      </w:r>
    </w:p>
    <w:p>
      <w:pPr>
        <w:pStyle w:val="26"/>
        <w:adjustRightInd w:val="0"/>
        <w:snapToGrid w:val="0"/>
        <w:spacing w:line="300" w:lineRule="auto"/>
        <w:ind w:left="360" w:hanging="360"/>
        <w:rPr>
          <w:rFonts w:hAnsi="宋体"/>
          <w:color w:val="auto"/>
          <w:kern w:val="0"/>
          <w:highlight w:val="none"/>
        </w:rPr>
      </w:pPr>
      <w:r>
        <w:rPr>
          <w:rFonts w:hint="eastAsia" w:hAnsi="宋体"/>
          <w:color w:val="auto"/>
          <w:kern w:val="0"/>
          <w:highlight w:val="none"/>
        </w:rPr>
        <w:t>6.1 供应商应按所述时间和要求对现场及周围环境进行踏勘，供应商应充分重视和仔细地进行这种考察，以便获取那些须供应商自己负责的有关编制响应文件和签署合同所涉及现场所有的资料。</w:t>
      </w:r>
    </w:p>
    <w:p>
      <w:pPr>
        <w:pStyle w:val="26"/>
        <w:adjustRightInd w:val="0"/>
        <w:snapToGrid w:val="0"/>
        <w:spacing w:line="300" w:lineRule="auto"/>
        <w:ind w:left="360" w:hanging="360"/>
        <w:rPr>
          <w:rFonts w:hAnsi="宋体"/>
          <w:color w:val="auto"/>
          <w:kern w:val="0"/>
          <w:highlight w:val="none"/>
        </w:rPr>
      </w:pPr>
      <w:r>
        <w:rPr>
          <w:rFonts w:hint="eastAsia" w:hAnsi="宋体"/>
          <w:color w:val="auto"/>
          <w:kern w:val="0"/>
          <w:highlight w:val="none"/>
        </w:rPr>
        <w:t>6.2采购人向供应商提供的有关现场的数据和资料，是采购人现有的能被供应商利用的资料，采购人对供应商做出的任何推论、理解和结论均不负责任。</w:t>
      </w:r>
    </w:p>
    <w:p>
      <w:pPr>
        <w:spacing w:line="300" w:lineRule="auto"/>
        <w:ind w:left="360" w:hanging="360"/>
        <w:rPr>
          <w:rFonts w:ascii="宋体" w:hAnsi="宋体"/>
          <w:color w:val="auto"/>
          <w:szCs w:val="21"/>
          <w:highlight w:val="none"/>
        </w:rPr>
      </w:pPr>
    </w:p>
    <w:p>
      <w:pPr>
        <w:pStyle w:val="26"/>
        <w:adjustRightInd w:val="0"/>
        <w:snapToGrid w:val="0"/>
        <w:spacing w:line="300" w:lineRule="auto"/>
        <w:outlineLvl w:val="1"/>
        <w:rPr>
          <w:rFonts w:hAnsi="宋体"/>
          <w:color w:val="auto"/>
          <w:highlight w:val="none"/>
        </w:rPr>
      </w:pPr>
      <w:bookmarkStart w:id="127" w:name="_Toc11446"/>
      <w:bookmarkStart w:id="128" w:name="_Toc464632122"/>
      <w:r>
        <w:rPr>
          <w:rFonts w:hint="eastAsia" w:hAnsi="宋体"/>
          <w:color w:val="auto"/>
          <w:highlight w:val="none"/>
        </w:rPr>
        <w:t>三、响应文件的编制</w:t>
      </w:r>
      <w:bookmarkEnd w:id="127"/>
      <w:bookmarkEnd w:id="128"/>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7．响应文件的组成</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7.1供应商编写的响应文件应包括资格性文件、商务部分、技术部分、价格部分四部分组成。</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7.2 报价信封必须另单独分装。</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7.3 报价样板</w:t>
      </w:r>
      <w:r>
        <w:rPr>
          <w:rFonts w:hint="eastAsia" w:ascii="宋体" w:hAnsi="宋体"/>
          <w:b/>
          <w:snapToGrid w:val="0"/>
          <w:color w:val="auto"/>
          <w:kern w:val="0"/>
          <w:szCs w:val="21"/>
          <w:highlight w:val="none"/>
          <w:u w:val="single"/>
        </w:rPr>
        <w:t>(本条款不适用)</w:t>
      </w:r>
    </w:p>
    <w:p>
      <w:pPr>
        <w:autoSpaceDE w:val="0"/>
        <w:autoSpaceDN w:val="0"/>
        <w:adjustRightInd w:val="0"/>
        <w:snapToGrid w:val="0"/>
        <w:spacing w:line="300" w:lineRule="auto"/>
        <w:ind w:right="31" w:rightChars="15" w:firstLine="420" w:firstLineChars="200"/>
        <w:rPr>
          <w:rFonts w:ascii="宋体" w:hAnsi="宋体"/>
          <w:color w:val="auto"/>
          <w:kern w:val="0"/>
          <w:szCs w:val="21"/>
          <w:highlight w:val="none"/>
        </w:rPr>
      </w:pPr>
      <w:r>
        <w:rPr>
          <w:rFonts w:hint="eastAsia" w:ascii="宋体" w:hAnsi="宋体"/>
          <w:color w:val="auto"/>
          <w:kern w:val="0"/>
          <w:szCs w:val="21"/>
          <w:highlight w:val="none"/>
        </w:rPr>
        <w:t>1) 本项目如要求提交报价样板的，招标采购单位在收取样板时没有对样板外观进行验收及性能测试，对样板的破损或质量概不负责；</w:t>
      </w:r>
    </w:p>
    <w:p>
      <w:pPr>
        <w:autoSpaceDE w:val="0"/>
        <w:autoSpaceDN w:val="0"/>
        <w:adjustRightInd w:val="0"/>
        <w:snapToGrid w:val="0"/>
        <w:spacing w:line="300" w:lineRule="auto"/>
        <w:ind w:right="31" w:rightChars="15" w:firstLine="420" w:firstLineChars="200"/>
        <w:rPr>
          <w:rFonts w:ascii="宋体" w:hAnsi="宋体"/>
          <w:color w:val="auto"/>
          <w:kern w:val="0"/>
          <w:szCs w:val="21"/>
          <w:highlight w:val="none"/>
        </w:rPr>
      </w:pPr>
      <w:r>
        <w:rPr>
          <w:rFonts w:hint="eastAsia" w:ascii="宋体" w:hAnsi="宋体"/>
          <w:color w:val="auto"/>
          <w:kern w:val="0"/>
          <w:szCs w:val="21"/>
          <w:highlight w:val="none"/>
        </w:rPr>
        <w:t>2) 由于采购代理机构存放样板的空间有限，请各有关供应商支持配合，报价样板于采购结果公告后5日内取回，否则视同供应商不再认领，采购代理机构有权进行处理。</w:t>
      </w:r>
    </w:p>
    <w:p>
      <w:pPr>
        <w:autoSpaceDE w:val="0"/>
        <w:autoSpaceDN w:val="0"/>
        <w:adjustRightInd w:val="0"/>
        <w:snapToGrid w:val="0"/>
        <w:spacing w:line="300" w:lineRule="auto"/>
        <w:ind w:right="31" w:rightChars="15" w:firstLine="420" w:firstLineChars="200"/>
        <w:rPr>
          <w:rFonts w:ascii="宋体" w:hAnsi="宋体"/>
          <w:color w:val="auto"/>
          <w:kern w:val="0"/>
          <w:szCs w:val="21"/>
          <w:highlight w:val="none"/>
        </w:rPr>
      </w:pPr>
      <w:r>
        <w:rPr>
          <w:rFonts w:hint="eastAsia" w:ascii="宋体" w:hAnsi="宋体"/>
          <w:color w:val="auto"/>
          <w:kern w:val="0"/>
          <w:szCs w:val="21"/>
          <w:highlight w:val="none"/>
        </w:rPr>
        <w:t>3) 供应商提交的报价样板应标注：项目名称、采购项目编号、货物/样板名称、型号/规格、供应商名称等内容，报价样板内容及数量。</w:t>
      </w:r>
    </w:p>
    <w:p>
      <w:pPr>
        <w:pStyle w:val="26"/>
        <w:adjustRightInd w:val="0"/>
        <w:snapToGrid w:val="0"/>
        <w:spacing w:line="300" w:lineRule="auto"/>
        <w:rPr>
          <w:rFonts w:hAnsi="宋体"/>
          <w:color w:val="auto"/>
          <w:highlight w:val="none"/>
        </w:rPr>
      </w:pPr>
      <w:r>
        <w:rPr>
          <w:rFonts w:hint="eastAsia" w:hAnsi="宋体"/>
          <w:color w:val="auto"/>
          <w:highlight w:val="none"/>
        </w:rPr>
        <w:t>8 响应文件编制基本要求</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8.1 供应商对响应文件的编制应按要求装订和封装。</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8.2 供应商提交的响应文件及其与招标采购单位就有关磋商的所有来往函电均应使用中文。供应商提交的支持文件或印刷的资料可以用另一种语言，但相应内容应附有中文翻译本，在解释响应文件的修改内容时以中文翻译本为准。对中文翻译有异议的，以权威机构的译本为准。</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8.3响应文件必须按本文件的全部内容，包括所有的补充通知及附件进行编制。</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 xml:space="preserve">8.4如因供应商只填写和提供了本文件要求的部分内容和附件，而给磋商造成困难的，其可能导致的结果和责任由供应商自行承担。 </w:t>
      </w:r>
    </w:p>
    <w:p>
      <w:pPr>
        <w:pStyle w:val="26"/>
        <w:adjustRightInd w:val="0"/>
        <w:snapToGrid w:val="0"/>
        <w:spacing w:line="300" w:lineRule="auto"/>
        <w:rPr>
          <w:rFonts w:hAnsi="宋体"/>
          <w:color w:val="auto"/>
          <w:highlight w:val="none"/>
        </w:rPr>
      </w:pPr>
      <w:r>
        <w:rPr>
          <w:rFonts w:hint="eastAsia" w:hAnsi="宋体"/>
          <w:color w:val="auto"/>
          <w:highlight w:val="none"/>
        </w:rPr>
        <w:t>9. 计量单位：</w:t>
      </w:r>
    </w:p>
    <w:p>
      <w:pPr>
        <w:spacing w:line="300" w:lineRule="auto"/>
        <w:ind w:left="360" w:hanging="360"/>
        <w:rPr>
          <w:rFonts w:ascii="宋体" w:hAnsi="宋体"/>
          <w:color w:val="auto"/>
          <w:szCs w:val="21"/>
          <w:highlight w:val="none"/>
        </w:rPr>
      </w:pPr>
      <w:r>
        <w:rPr>
          <w:rFonts w:hint="eastAsia" w:ascii="宋体" w:hAnsi="宋体"/>
          <w:color w:val="auto"/>
          <w:szCs w:val="21"/>
          <w:highlight w:val="none"/>
        </w:rPr>
        <w:t>9.1除技术要求中另有规定外，本文件所要求使用的计量单位均采用国家法定的度、量、衡标准单位计量。</w:t>
      </w:r>
    </w:p>
    <w:p>
      <w:pPr>
        <w:spacing w:line="300" w:lineRule="auto"/>
        <w:ind w:left="360" w:hanging="360"/>
        <w:rPr>
          <w:rFonts w:ascii="宋体" w:hAnsi="宋体"/>
          <w:color w:val="auto"/>
          <w:szCs w:val="21"/>
          <w:highlight w:val="none"/>
        </w:rPr>
      </w:pPr>
    </w:p>
    <w:p>
      <w:pPr>
        <w:pStyle w:val="26"/>
        <w:adjustRightInd w:val="0"/>
        <w:snapToGrid w:val="0"/>
        <w:spacing w:line="300" w:lineRule="auto"/>
        <w:outlineLvl w:val="1"/>
        <w:rPr>
          <w:rFonts w:hAnsi="宋体"/>
          <w:color w:val="auto"/>
          <w:highlight w:val="none"/>
        </w:rPr>
      </w:pPr>
      <w:bookmarkStart w:id="129" w:name="_Toc464632123"/>
      <w:bookmarkStart w:id="130" w:name="_Toc8898"/>
      <w:r>
        <w:rPr>
          <w:rFonts w:hint="eastAsia" w:hAnsi="宋体"/>
          <w:color w:val="auto"/>
          <w:highlight w:val="none"/>
        </w:rPr>
        <w:t>四、磋商报价要求和供应商资格证明文件的要求</w:t>
      </w:r>
      <w:bookmarkEnd w:id="129"/>
      <w:bookmarkEnd w:id="130"/>
    </w:p>
    <w:p>
      <w:pPr>
        <w:pStyle w:val="26"/>
        <w:adjustRightInd w:val="0"/>
        <w:snapToGrid w:val="0"/>
        <w:spacing w:line="300" w:lineRule="auto"/>
        <w:rPr>
          <w:rFonts w:hAnsi="宋体"/>
          <w:color w:val="auto"/>
          <w:highlight w:val="none"/>
        </w:rPr>
      </w:pPr>
      <w:r>
        <w:rPr>
          <w:rFonts w:hint="eastAsia" w:hAnsi="宋体"/>
          <w:color w:val="auto"/>
          <w:highlight w:val="none"/>
        </w:rPr>
        <w:t>10. 对于本文件中未列明，而供应商认为必需的费用也需列入总报价。在合同实施时，采购人将不予支付成交供应商没有列入的项目费用，并认为此项目的费用已包括在总报价中。</w:t>
      </w:r>
    </w:p>
    <w:p>
      <w:pPr>
        <w:pStyle w:val="26"/>
        <w:adjustRightInd w:val="0"/>
        <w:snapToGrid w:val="0"/>
        <w:spacing w:line="300" w:lineRule="auto"/>
        <w:rPr>
          <w:rFonts w:hAnsi="宋体"/>
          <w:color w:val="auto"/>
          <w:highlight w:val="none"/>
        </w:rPr>
      </w:pPr>
      <w:r>
        <w:rPr>
          <w:rFonts w:hint="eastAsia" w:hAnsi="宋体"/>
          <w:color w:val="auto"/>
          <w:highlight w:val="none"/>
        </w:rPr>
        <w:t>11. 成交供应商负责本项目所需货物的制造、运输、售后服务等全部工作。</w:t>
      </w:r>
    </w:p>
    <w:p>
      <w:pPr>
        <w:pStyle w:val="26"/>
        <w:adjustRightInd w:val="0"/>
        <w:snapToGrid w:val="0"/>
        <w:spacing w:line="300" w:lineRule="auto"/>
        <w:ind w:left="420" w:hanging="420"/>
        <w:rPr>
          <w:rFonts w:hAnsi="宋体"/>
          <w:color w:val="auto"/>
          <w:kern w:val="0"/>
          <w:highlight w:val="none"/>
        </w:rPr>
      </w:pPr>
      <w:r>
        <w:rPr>
          <w:rFonts w:hint="eastAsia" w:hAnsi="宋体"/>
          <w:color w:val="auto"/>
          <w:kern w:val="0"/>
          <w:highlight w:val="none"/>
        </w:rPr>
        <w:t>12. 本项目投标报价不能高于采购预算（或最高限价），否则将被视为无效投标。</w:t>
      </w:r>
    </w:p>
    <w:p>
      <w:pPr>
        <w:pStyle w:val="26"/>
        <w:adjustRightInd w:val="0"/>
        <w:snapToGrid w:val="0"/>
        <w:spacing w:line="300" w:lineRule="auto"/>
        <w:rPr>
          <w:rFonts w:hAnsi="宋体"/>
          <w:color w:val="auto"/>
          <w:highlight w:val="none"/>
        </w:rPr>
      </w:pPr>
      <w:r>
        <w:rPr>
          <w:rFonts w:hAnsi="宋体"/>
          <w:color w:val="auto"/>
          <w:highlight w:val="none"/>
        </w:rPr>
        <w:t>1</w:t>
      </w:r>
      <w:r>
        <w:rPr>
          <w:rFonts w:hint="eastAsia" w:hAnsi="宋体"/>
          <w:color w:val="auto"/>
          <w:highlight w:val="none"/>
        </w:rPr>
        <w:t>3</w:t>
      </w:r>
      <w:r>
        <w:rPr>
          <w:rFonts w:hAnsi="宋体"/>
          <w:color w:val="auto"/>
          <w:highlight w:val="none"/>
        </w:rPr>
        <w:tab/>
      </w:r>
      <w:r>
        <w:rPr>
          <w:rFonts w:hint="eastAsia" w:hAnsi="宋体"/>
          <w:color w:val="auto"/>
          <w:highlight w:val="none"/>
        </w:rPr>
        <w:t>供应商资格证明文件</w:t>
      </w:r>
    </w:p>
    <w:p>
      <w:pPr>
        <w:pStyle w:val="26"/>
        <w:adjustRightInd w:val="0"/>
        <w:snapToGrid w:val="0"/>
        <w:spacing w:line="300" w:lineRule="auto"/>
        <w:rPr>
          <w:rFonts w:hAnsi="宋体"/>
          <w:color w:val="auto"/>
          <w:highlight w:val="none"/>
        </w:rPr>
      </w:pPr>
      <w:r>
        <w:rPr>
          <w:rFonts w:hAnsi="宋体"/>
          <w:color w:val="auto"/>
          <w:highlight w:val="none"/>
        </w:rPr>
        <w:t>1</w:t>
      </w:r>
      <w:r>
        <w:rPr>
          <w:rFonts w:hint="eastAsia" w:hAnsi="宋体"/>
          <w:color w:val="auto"/>
          <w:highlight w:val="none"/>
        </w:rPr>
        <w:t>3</w:t>
      </w:r>
      <w:r>
        <w:rPr>
          <w:rFonts w:hAnsi="宋体"/>
          <w:color w:val="auto"/>
          <w:highlight w:val="none"/>
        </w:rPr>
        <w:t>.1</w:t>
      </w:r>
      <w:r>
        <w:rPr>
          <w:rFonts w:hint="eastAsia" w:hAnsi="宋体"/>
          <w:color w:val="auto"/>
          <w:highlight w:val="none"/>
        </w:rPr>
        <w:t>供应商应按磋商文件的要求，提交证明其有资格参加磋商和成交后有履行合同能力的文件，并作为其响应文件的组成部分。</w:t>
      </w:r>
    </w:p>
    <w:p>
      <w:pPr>
        <w:pStyle w:val="26"/>
        <w:adjustRightInd w:val="0"/>
        <w:snapToGrid w:val="0"/>
        <w:spacing w:line="300" w:lineRule="auto"/>
        <w:rPr>
          <w:rFonts w:hAnsi="宋体"/>
          <w:color w:val="auto"/>
          <w:highlight w:val="none"/>
        </w:rPr>
      </w:pPr>
      <w:r>
        <w:rPr>
          <w:rFonts w:hint="eastAsia" w:hAnsi="宋体"/>
          <w:color w:val="auto"/>
          <w:highlight w:val="none"/>
        </w:rPr>
        <w:t>13.2资格证明文件必须真实有效，复印件必须加盖单位印章。</w:t>
      </w:r>
    </w:p>
    <w:p>
      <w:pPr>
        <w:pStyle w:val="26"/>
        <w:adjustRightInd w:val="0"/>
        <w:snapToGrid w:val="0"/>
        <w:spacing w:line="300" w:lineRule="auto"/>
        <w:rPr>
          <w:rFonts w:hAnsi="宋体"/>
          <w:color w:val="auto"/>
          <w:highlight w:val="none"/>
        </w:rPr>
      </w:pPr>
      <w:r>
        <w:rPr>
          <w:rFonts w:hint="eastAsia" w:hAnsi="宋体"/>
          <w:color w:val="auto"/>
          <w:highlight w:val="none"/>
        </w:rPr>
        <w:t>14. 证明响应文件标的合格性和符合磋商文件规定的文件：</w:t>
      </w:r>
    </w:p>
    <w:p>
      <w:pPr>
        <w:tabs>
          <w:tab w:val="left" w:pos="567"/>
        </w:tabs>
        <w:spacing w:line="300" w:lineRule="auto"/>
        <w:ind w:left="567" w:hanging="567"/>
        <w:rPr>
          <w:rFonts w:ascii="宋体" w:hAnsi="宋体"/>
          <w:color w:val="auto"/>
          <w:szCs w:val="21"/>
          <w:highlight w:val="none"/>
        </w:rPr>
      </w:pPr>
      <w:r>
        <w:rPr>
          <w:rFonts w:hint="eastAsia" w:ascii="宋体" w:hAnsi="宋体"/>
          <w:color w:val="auto"/>
          <w:szCs w:val="21"/>
          <w:highlight w:val="none"/>
        </w:rPr>
        <w:t>14.1 供应商提交证明其所提供的货物和服务的合格性并符合磋商文件规定的声明文件。</w:t>
      </w:r>
    </w:p>
    <w:p>
      <w:pPr>
        <w:tabs>
          <w:tab w:val="left" w:pos="567"/>
        </w:tabs>
        <w:spacing w:line="300" w:lineRule="auto"/>
        <w:ind w:left="567" w:hanging="567"/>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.2</w:t>
      </w:r>
      <w:r>
        <w:rPr>
          <w:rFonts w:hint="eastAsia" w:ascii="宋体" w:hAnsi="宋体"/>
          <w:color w:val="auto"/>
          <w:szCs w:val="21"/>
          <w:highlight w:val="none"/>
        </w:rPr>
        <w:t>证明货物和服务与磋商文件的要求相一致的文件可以是文字资料、图纸、数据资料等。</w:t>
      </w:r>
    </w:p>
    <w:p>
      <w:pPr>
        <w:pStyle w:val="26"/>
        <w:adjustRightInd w:val="0"/>
        <w:snapToGrid w:val="0"/>
        <w:spacing w:line="300" w:lineRule="auto"/>
        <w:ind w:left="420" w:hanging="420"/>
        <w:rPr>
          <w:rFonts w:hAnsi="宋体"/>
          <w:b/>
          <w:color w:val="auto"/>
          <w:kern w:val="0"/>
          <w:highlight w:val="none"/>
          <w:u w:val="single"/>
        </w:rPr>
      </w:pPr>
    </w:p>
    <w:p>
      <w:pPr>
        <w:pStyle w:val="26"/>
        <w:adjustRightInd w:val="0"/>
        <w:snapToGrid w:val="0"/>
        <w:spacing w:line="300" w:lineRule="auto"/>
        <w:outlineLvl w:val="1"/>
        <w:rPr>
          <w:rFonts w:hAnsi="宋体"/>
          <w:color w:val="auto"/>
          <w:highlight w:val="none"/>
        </w:rPr>
      </w:pPr>
      <w:bookmarkStart w:id="131" w:name="_Toc4677"/>
      <w:bookmarkStart w:id="132" w:name="_Toc464632124"/>
      <w:r>
        <w:rPr>
          <w:rFonts w:hint="eastAsia" w:hAnsi="宋体"/>
          <w:color w:val="auto"/>
          <w:highlight w:val="none"/>
        </w:rPr>
        <w:t>五、保证金</w:t>
      </w:r>
      <w:bookmarkEnd w:id="131"/>
      <w:bookmarkEnd w:id="132"/>
    </w:p>
    <w:p>
      <w:pPr>
        <w:adjustRightInd w:val="0"/>
        <w:snapToGrid w:val="0"/>
        <w:spacing w:line="300" w:lineRule="auto"/>
        <w:ind w:left="420" w:hanging="420"/>
        <w:rPr>
          <w:rFonts w:ascii="宋体" w:hAnsi="宋体"/>
          <w:color w:val="auto"/>
          <w:kern w:val="0"/>
          <w:szCs w:val="21"/>
          <w:highlight w:val="none"/>
        </w:rPr>
      </w:pPr>
      <w:r>
        <w:rPr>
          <w:rFonts w:hint="eastAsia" w:ascii="宋体" w:hAnsi="宋体"/>
          <w:color w:val="auto"/>
          <w:kern w:val="0"/>
          <w:szCs w:val="21"/>
          <w:highlight w:val="none"/>
        </w:rPr>
        <w:t>15.1 供应商应按磋商文件规定的金额和期限交纳磋商保证金，磋商保证金作为响应文件的组成部分。</w:t>
      </w:r>
    </w:p>
    <w:p>
      <w:pPr>
        <w:adjustRightInd w:val="0"/>
        <w:snapToGrid w:val="0"/>
        <w:spacing w:line="300" w:lineRule="auto"/>
        <w:ind w:left="420" w:hanging="420"/>
        <w:rPr>
          <w:rFonts w:ascii="宋体" w:hAnsi="宋体"/>
          <w:color w:val="auto"/>
          <w:kern w:val="0"/>
          <w:szCs w:val="21"/>
          <w:highlight w:val="none"/>
        </w:rPr>
      </w:pPr>
      <w:r>
        <w:rPr>
          <w:rFonts w:hint="eastAsia" w:ascii="宋体" w:hAnsi="宋体"/>
          <w:color w:val="auto"/>
          <w:kern w:val="0"/>
          <w:szCs w:val="21"/>
          <w:highlight w:val="none"/>
        </w:rPr>
        <w:t>15.2磋商保证金金额、交纳形式、交纳时间及磋商保证金账户。</w:t>
      </w:r>
    </w:p>
    <w:p>
      <w:pPr>
        <w:autoSpaceDE w:val="0"/>
        <w:autoSpaceDN w:val="0"/>
        <w:adjustRightInd w:val="0"/>
        <w:snapToGrid w:val="0"/>
        <w:spacing w:line="300" w:lineRule="auto"/>
        <w:ind w:left="831" w:leftChars="171" w:right="31" w:rightChars="15" w:hanging="472" w:hangingChars="225"/>
        <w:rPr>
          <w:rFonts w:ascii="宋体" w:hAnsi="宋体"/>
          <w:color w:val="auto"/>
          <w:kern w:val="0"/>
          <w:szCs w:val="21"/>
          <w:highlight w:val="none"/>
        </w:rPr>
      </w:pPr>
      <w:r>
        <w:rPr>
          <w:rFonts w:hint="eastAsia" w:ascii="宋体" w:hAnsi="宋体"/>
          <w:color w:val="auto"/>
          <w:kern w:val="0"/>
          <w:szCs w:val="21"/>
          <w:highlight w:val="none"/>
        </w:rPr>
        <w:t xml:space="preserve"> 1)汇款账号必须与供应商的名称相一致，否则将不予受理。</w:t>
      </w:r>
    </w:p>
    <w:p>
      <w:pPr>
        <w:adjustRightInd w:val="0"/>
        <w:snapToGrid w:val="0"/>
        <w:spacing w:line="300" w:lineRule="auto"/>
        <w:ind w:left="420" w:hanging="420"/>
        <w:rPr>
          <w:rFonts w:ascii="宋体" w:hAnsi="宋体"/>
          <w:color w:val="auto"/>
          <w:kern w:val="0"/>
          <w:szCs w:val="21"/>
          <w:highlight w:val="none"/>
        </w:rPr>
      </w:pPr>
      <w:r>
        <w:rPr>
          <w:rFonts w:hint="eastAsia" w:ascii="宋体" w:hAnsi="宋体"/>
          <w:color w:val="auto"/>
          <w:kern w:val="0"/>
          <w:szCs w:val="21"/>
          <w:highlight w:val="none"/>
        </w:rPr>
        <w:t>15.3凡未按规定交纳磋商保证金的报价响应，其报价响应被确定为响应无效。</w:t>
      </w:r>
    </w:p>
    <w:p>
      <w:pPr>
        <w:adjustRightInd w:val="0"/>
        <w:snapToGrid w:val="0"/>
        <w:spacing w:line="300" w:lineRule="auto"/>
        <w:ind w:left="473" w:hanging="472" w:hangingChars="225"/>
        <w:rPr>
          <w:rFonts w:ascii="宋体" w:hAnsi="宋体"/>
          <w:color w:val="auto"/>
          <w:szCs w:val="21"/>
          <w:highlight w:val="none"/>
        </w:rPr>
      </w:pPr>
      <w:r>
        <w:rPr>
          <w:rFonts w:hint="eastAsia" w:ascii="宋体" w:hAnsi="宋体"/>
          <w:color w:val="auto"/>
          <w:szCs w:val="21"/>
          <w:highlight w:val="none"/>
        </w:rPr>
        <w:t>15.4如无质疑或投诉，未成交的供应商保证金，在成交通知书发出后5个工作日内不计利息原额退还；如有质疑或投诉，</w:t>
      </w:r>
      <w:r>
        <w:rPr>
          <w:rFonts w:hint="eastAsia" w:ascii="宋体" w:hAnsi="宋体"/>
          <w:color w:val="auto"/>
          <w:kern w:val="0"/>
          <w:szCs w:val="21"/>
          <w:highlight w:val="none"/>
        </w:rPr>
        <w:t>招标采购单位</w:t>
      </w:r>
      <w:r>
        <w:rPr>
          <w:rFonts w:hint="eastAsia" w:ascii="宋体" w:hAnsi="宋体"/>
          <w:color w:val="auto"/>
          <w:szCs w:val="21"/>
          <w:highlight w:val="none"/>
        </w:rPr>
        <w:t>将在质疑和投诉处理完毕后不计利息原额退还。</w:t>
      </w:r>
    </w:p>
    <w:p>
      <w:pPr>
        <w:adjustRightInd w:val="0"/>
        <w:snapToGrid w:val="0"/>
        <w:spacing w:line="300" w:lineRule="auto"/>
        <w:ind w:left="473" w:right="31" w:rightChars="15" w:hanging="472" w:hangingChars="225"/>
        <w:rPr>
          <w:rFonts w:ascii="宋体" w:hAnsi="宋体"/>
          <w:color w:val="auto"/>
          <w:szCs w:val="21"/>
          <w:highlight w:val="none"/>
        </w:rPr>
      </w:pPr>
      <w:r>
        <w:rPr>
          <w:rFonts w:hint="eastAsia" w:ascii="宋体" w:hAnsi="宋体"/>
          <w:color w:val="auto"/>
          <w:szCs w:val="21"/>
          <w:highlight w:val="none"/>
        </w:rPr>
        <w:t>15.5</w:t>
      </w:r>
      <w:r>
        <w:rPr>
          <w:rFonts w:hint="eastAsia" w:ascii="宋体" w:hAnsi="宋体"/>
          <w:color w:val="auto"/>
          <w:kern w:val="0"/>
          <w:szCs w:val="21"/>
          <w:highlight w:val="none"/>
        </w:rPr>
        <w:t>成交供应商的磋商保证金,在成交供应商与采购人签订采购合同并执行了缴交成交服务费的规定后5个工作日内不计利息原额退还。</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15.6 若有下列情况之一，磋商保证金将被没收，因此而造成采购人的损失须由供应商承担：</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1) 供应商在磋商文件规定的报价有效期内撤回其响应文件；</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2) 成交后无正当理由不与采购人签订合同的；</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3) 成交供应商在规定期限内未能按本须知的规定提交履约保证金（如有）；</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4) 成交后未按磋商文件中的规定缴付成交服务费；</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5) 有违反国家有关法律法规的行为。</w:t>
      </w:r>
    </w:p>
    <w:p>
      <w:pPr>
        <w:tabs>
          <w:tab w:val="left" w:pos="567"/>
        </w:tabs>
        <w:spacing w:line="300" w:lineRule="auto"/>
        <w:ind w:left="500" w:leftChars="238"/>
        <w:rPr>
          <w:rFonts w:ascii="宋体" w:hAnsi="宋体"/>
          <w:color w:val="auto"/>
          <w:kern w:val="0"/>
          <w:szCs w:val="21"/>
          <w:highlight w:val="none"/>
        </w:rPr>
      </w:pPr>
    </w:p>
    <w:p>
      <w:pPr>
        <w:pStyle w:val="26"/>
        <w:adjustRightInd w:val="0"/>
        <w:snapToGrid w:val="0"/>
        <w:spacing w:line="300" w:lineRule="auto"/>
        <w:outlineLvl w:val="1"/>
        <w:rPr>
          <w:rFonts w:hAnsi="宋体"/>
          <w:color w:val="auto"/>
          <w:highlight w:val="none"/>
        </w:rPr>
      </w:pPr>
      <w:bookmarkStart w:id="133" w:name="_Toc464632125"/>
      <w:bookmarkStart w:id="134" w:name="_Toc8251"/>
      <w:r>
        <w:rPr>
          <w:rFonts w:hint="eastAsia" w:hAnsi="宋体"/>
          <w:color w:val="auto"/>
          <w:highlight w:val="none"/>
        </w:rPr>
        <w:t>六、响应文件的份数、封装和递交</w:t>
      </w:r>
      <w:bookmarkEnd w:id="133"/>
      <w:bookmarkEnd w:id="134"/>
    </w:p>
    <w:p>
      <w:pPr>
        <w:autoSpaceDE w:val="0"/>
        <w:autoSpaceDN w:val="0"/>
        <w:adjustRightInd w:val="0"/>
        <w:snapToGrid w:val="0"/>
        <w:spacing w:line="300" w:lineRule="auto"/>
        <w:ind w:left="420" w:right="32" w:hanging="420" w:hangingChars="200"/>
        <w:rPr>
          <w:rFonts w:ascii="宋体" w:hAnsi="宋体"/>
          <w:color w:val="auto"/>
          <w:szCs w:val="21"/>
          <w:highlight w:val="none"/>
        </w:rPr>
      </w:pPr>
      <w:r>
        <w:rPr>
          <w:rFonts w:hint="eastAsia" w:ascii="宋体" w:hAnsi="宋体"/>
          <w:color w:val="auto"/>
          <w:szCs w:val="21"/>
          <w:highlight w:val="none"/>
        </w:rPr>
        <w:t>16.  响应文件的数量和签署</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16.1 供应商应编制响应文件份数详见《磋商须知前附表》，响应文件的副本可采用正本的复印件。每套响应文件须清楚地标明“正本”、“副本”。若副本与正本不符，以正本为准。</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16.2 响应文件的正本需打印或用不褪色墨水书写，并由法定代表人（负责人）或经其正式授权的代表签字。授权代表须出具书面授权证明，其《法定代表人（负责人）授权书》应附在响应文件中。</w:t>
      </w:r>
    </w:p>
    <w:p>
      <w:pPr>
        <w:pStyle w:val="26"/>
        <w:adjustRightInd w:val="0"/>
        <w:snapToGrid w:val="0"/>
        <w:spacing w:line="300" w:lineRule="auto"/>
        <w:ind w:left="473" w:hanging="472" w:hangingChars="225"/>
        <w:rPr>
          <w:rFonts w:hAnsi="宋体"/>
          <w:color w:val="auto"/>
          <w:kern w:val="0"/>
          <w:highlight w:val="none"/>
        </w:rPr>
      </w:pPr>
      <w:r>
        <w:rPr>
          <w:rFonts w:hint="eastAsia" w:hAnsi="宋体"/>
          <w:color w:val="auto"/>
          <w:kern w:val="0"/>
          <w:highlight w:val="none"/>
        </w:rPr>
        <w:t>16.3 响应文件中的任何重要的插字、涂改和增删，必须由法定代表人（负责人）或经其正式授权的代表在旁边签章或签字才有效。</w:t>
      </w:r>
    </w:p>
    <w:p>
      <w:pPr>
        <w:tabs>
          <w:tab w:val="left" w:pos="8280"/>
        </w:tabs>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kern w:val="0"/>
          <w:szCs w:val="21"/>
          <w:highlight w:val="none"/>
        </w:rPr>
        <w:t>16.4 响应文件的报价有效期为从报价截止日起</w:t>
      </w:r>
      <w:r>
        <w:rPr>
          <w:rFonts w:hint="eastAsia" w:ascii="宋体" w:hAnsi="宋体"/>
          <w:color w:val="auto"/>
          <w:kern w:val="0"/>
          <w:szCs w:val="21"/>
          <w:highlight w:val="none"/>
          <w:u w:val="single"/>
        </w:rPr>
        <w:t>90天</w:t>
      </w:r>
      <w:r>
        <w:rPr>
          <w:rFonts w:hint="eastAsia" w:ascii="宋体" w:hAnsi="宋体"/>
          <w:color w:val="auto"/>
          <w:kern w:val="0"/>
          <w:szCs w:val="21"/>
          <w:highlight w:val="none"/>
        </w:rPr>
        <w:t>。</w:t>
      </w:r>
    </w:p>
    <w:p>
      <w:pPr>
        <w:autoSpaceDE w:val="0"/>
        <w:autoSpaceDN w:val="0"/>
        <w:adjustRightInd w:val="0"/>
        <w:snapToGrid w:val="0"/>
        <w:spacing w:line="300" w:lineRule="auto"/>
        <w:ind w:left="420" w:right="32" w:hanging="420" w:hangingChars="200"/>
        <w:rPr>
          <w:rFonts w:ascii="宋体" w:hAnsi="宋体"/>
          <w:color w:val="auto"/>
          <w:kern w:val="0"/>
          <w:szCs w:val="21"/>
          <w:highlight w:val="none"/>
        </w:rPr>
      </w:pPr>
      <w:r>
        <w:rPr>
          <w:rFonts w:hint="eastAsia" w:ascii="宋体" w:hAnsi="宋体"/>
          <w:color w:val="auto"/>
          <w:kern w:val="0"/>
          <w:szCs w:val="21"/>
          <w:highlight w:val="none"/>
        </w:rPr>
        <w:t>17.  响应文件的递交</w:t>
      </w:r>
    </w:p>
    <w:p>
      <w:pPr>
        <w:autoSpaceDE w:val="0"/>
        <w:autoSpaceDN w:val="0"/>
        <w:adjustRightInd w:val="0"/>
        <w:snapToGrid w:val="0"/>
        <w:spacing w:line="300" w:lineRule="auto"/>
        <w:ind w:left="420" w:right="32" w:hanging="420" w:hangingChars="200"/>
        <w:rPr>
          <w:rFonts w:ascii="宋体" w:hAnsi="宋体"/>
          <w:color w:val="auto"/>
          <w:kern w:val="0"/>
          <w:szCs w:val="21"/>
          <w:highlight w:val="none"/>
        </w:rPr>
      </w:pPr>
      <w:r>
        <w:rPr>
          <w:rFonts w:hint="eastAsia" w:ascii="宋体" w:hAnsi="宋体"/>
          <w:color w:val="auto"/>
          <w:kern w:val="0"/>
          <w:szCs w:val="21"/>
          <w:highlight w:val="none"/>
        </w:rPr>
        <w:t>17.1 所有响应文件应于规定的截止时点前递交到采购代理机构。</w:t>
      </w:r>
    </w:p>
    <w:p>
      <w:pPr>
        <w:autoSpaceDE w:val="0"/>
        <w:autoSpaceDN w:val="0"/>
        <w:adjustRightInd w:val="0"/>
        <w:snapToGrid w:val="0"/>
        <w:spacing w:line="300" w:lineRule="auto"/>
        <w:ind w:left="420" w:right="32" w:hanging="420" w:hangingChars="200"/>
        <w:rPr>
          <w:rFonts w:ascii="宋体" w:hAnsi="宋体"/>
          <w:color w:val="auto"/>
          <w:kern w:val="0"/>
          <w:szCs w:val="21"/>
          <w:highlight w:val="none"/>
        </w:rPr>
      </w:pPr>
      <w:r>
        <w:rPr>
          <w:rFonts w:hint="eastAsia" w:ascii="宋体" w:hAnsi="宋体"/>
          <w:color w:val="auto"/>
          <w:kern w:val="0"/>
          <w:szCs w:val="21"/>
          <w:highlight w:val="none"/>
        </w:rPr>
        <w:t>17.2 迟交的响应文件，按《政府采购法》的规定，采购代理机构将拒收或原封退回在其规定的递交响应文件截止时点之后收到的任何响应文件。</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p>
    <w:p>
      <w:pPr>
        <w:pStyle w:val="26"/>
        <w:adjustRightInd w:val="0"/>
        <w:snapToGrid w:val="0"/>
        <w:spacing w:line="300" w:lineRule="auto"/>
        <w:outlineLvl w:val="1"/>
        <w:rPr>
          <w:rFonts w:hAnsi="宋体"/>
          <w:color w:val="auto"/>
          <w:highlight w:val="none"/>
        </w:rPr>
      </w:pPr>
      <w:bookmarkStart w:id="135" w:name="_Toc464632126"/>
      <w:bookmarkStart w:id="136" w:name="_Toc11402"/>
      <w:r>
        <w:rPr>
          <w:rFonts w:hint="eastAsia" w:hAnsi="宋体"/>
          <w:color w:val="auto"/>
          <w:highlight w:val="none"/>
        </w:rPr>
        <w:t>七、磋商的步骤</w:t>
      </w:r>
      <w:bookmarkEnd w:id="135"/>
      <w:bookmarkEnd w:id="136"/>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18.  磋商文件的澄清</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18.1任何要求对磋商文件进行澄清的供应商，均应以书面形式在磋商文件规定的响应文件递交截止日以前通知采购代理机构。采购代理机构将组织采购人对供应商所要求澄清的内容以书面形式予以答复。必要时，采购代理机构将组织相关专家召开答疑会，会议内容或以书面的形式发给每个购买磋商文件的潜在供应商（答复中不包括问题的来源）。</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18.2供应商在规定的时间内未要求对磋商文件澄清或提出疑问的，采购代理机构将视其为无异议。对磋商文件中描述有歧意或前后不一致的地方，磋商小组有权进行评判，但对同一条款的评判应适用于每个供应商。</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  磋商</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19.1磋商小组成员从相关专家库随机抽取产生。磋商小组对所有响应文件进行资格性审查和符合性审查。所有符合相应资格条件的供应商参加磋商。</w:t>
      </w:r>
    </w:p>
    <w:p>
      <w:pPr>
        <w:autoSpaceDE w:val="0"/>
        <w:autoSpaceDN w:val="0"/>
        <w:adjustRightInd w:val="0"/>
        <w:snapToGrid w:val="0"/>
        <w:spacing w:line="300" w:lineRule="auto"/>
        <w:ind w:right="32" w:firstLine="316" w:firstLineChars="150"/>
        <w:rPr>
          <w:rFonts w:ascii="宋体" w:hAnsi="宋体"/>
          <w:b/>
          <w:color w:val="auto"/>
          <w:szCs w:val="21"/>
          <w:highlight w:val="none"/>
        </w:rPr>
      </w:pPr>
      <w:r>
        <w:rPr>
          <w:rFonts w:hint="eastAsia" w:ascii="宋体" w:hAnsi="宋体"/>
          <w:b/>
          <w:color w:val="auto"/>
          <w:szCs w:val="21"/>
          <w:highlight w:val="none"/>
        </w:rPr>
        <w:t>在资格性审查、符合性检查时，如发现下列情形之一的，响应文件将被视为</w:t>
      </w:r>
      <w:r>
        <w:rPr>
          <w:rFonts w:hint="eastAsia" w:ascii="宋体" w:hAnsi="宋体"/>
          <w:b/>
          <w:color w:val="auto"/>
          <w:kern w:val="0"/>
          <w:szCs w:val="21"/>
          <w:highlight w:val="none"/>
        </w:rPr>
        <w:t>响应无效</w:t>
      </w:r>
      <w:r>
        <w:rPr>
          <w:rFonts w:hint="eastAsia" w:ascii="宋体" w:hAnsi="宋体"/>
          <w:b/>
          <w:color w:val="auto"/>
          <w:szCs w:val="21"/>
          <w:highlight w:val="none"/>
        </w:rPr>
        <w:t>：</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1)供应商未提交磋商保证金或金额不足、磋商保证金提交形式不符合磋商文件要求的；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投标下浮率不符合招标文件规定的</w:t>
      </w:r>
      <w:r>
        <w:rPr>
          <w:rFonts w:hint="eastAsia" w:ascii="宋体" w:hAnsi="宋体"/>
          <w:color w:val="auto"/>
          <w:kern w:val="0"/>
          <w:szCs w:val="21"/>
          <w:highlight w:val="none"/>
        </w:rPr>
        <w:t>；</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3)响应文件或资格证明文件未提供或不符合磋商文件要求的；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4)不具备磋商文件中规定资格要求的；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5)未按照磋商文件规定要求签署、盖章的；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6)响应文件无法定代表人（负责人）签字或签字人无法定代表人（负责人）有效授权的；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7)参加政府采购活动前三年内，在经营活动中有重大违法记录的；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8)响应文件对磋商文件的实质性技术与商务的（即标注*号条款）条款产生偏离的。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9)符合磋商文件中规定的被确定为响应无效的其它条款的。</w:t>
      </w:r>
    </w:p>
    <w:p>
      <w:pPr>
        <w:tabs>
          <w:tab w:val="left" w:pos="567"/>
        </w:tabs>
        <w:spacing w:line="300" w:lineRule="auto"/>
        <w:ind w:firstLine="525" w:firstLineChars="250"/>
        <w:rPr>
          <w:rFonts w:ascii="宋体" w:hAnsi="宋体"/>
          <w:color w:val="auto"/>
          <w:kern w:val="0"/>
          <w:szCs w:val="21"/>
          <w:highlight w:val="none"/>
        </w:rPr>
      </w:pPr>
      <w:r>
        <w:rPr>
          <w:rFonts w:hint="eastAsia" w:ascii="宋体" w:hAnsi="宋体"/>
          <w:color w:val="auto"/>
          <w:kern w:val="0"/>
          <w:szCs w:val="21"/>
          <w:highlight w:val="none"/>
        </w:rPr>
        <w:t>10)不符合法律、法规规定的其他实质性要求的。</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19.2磋商小组成员根据磋商文件规定的评审程序、评审方法和评审标准进行独立评审。未实质性响应磋商文件的响应文件按无效响应处理，磋商小组应当告知提交响应文件的供应商。如实质性响应的供应商不足3家，应当终止磋商采购活动。</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19.3磋商小组与单一供应商围绕技术、商务、合同条款等内容分别进行磋商。在磋商过程中，磋商小组应当严格遵循保密原则，未经供应商同意不得向任何人透露当事人技术、价格和其他重要信息。</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19.4磋商文件的修正：磋商小组调整或修改采购需求内容时，应取得磋商小组的一致同意，并以书面形式通知所有参加磋商的供应商。但任何形式的决定须以符合公平、公正原则和有利于项目的顺利实施为前提。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19.5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19.6磋商小组要求供应商澄清、说明或者更正响应文件应当以书面形式作出。供应商的澄清、说明或者更正应当由法定代表人（负责人）或其授权代表签字或者加盖公章。由授权代表签字的，应当附法定代表人（负责人）授权书。供应商为自然人的，应当由本人签字并附身份证明。</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19.7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对成交供应商的价格出现明显低于或高于同业同期市场平均价的情形时，磋商小组应当在评审意见中详细说明推荐理由。</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19.8代理机构对磋商过程和重要磋商内容进行记录。</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19.9 经磋商确定最终采购需求和提交最后报价的供应商后，由磋商小组采用评审方法</w:t>
      </w:r>
      <w:r>
        <w:rPr>
          <w:rFonts w:hint="eastAsia" w:hAnsi="宋体"/>
          <w:color w:val="auto"/>
          <w:szCs w:val="21"/>
          <w:highlight w:val="none"/>
        </w:rPr>
        <w:t>详见</w:t>
      </w:r>
      <w:r>
        <w:rPr>
          <w:rFonts w:hint="eastAsia" w:hAnsi="宋体"/>
          <w:color w:val="auto"/>
          <w:kern w:val="0"/>
          <w:szCs w:val="21"/>
          <w:highlight w:val="none"/>
        </w:rPr>
        <w:t>《</w:t>
      </w:r>
      <w:r>
        <w:rPr>
          <w:rFonts w:hint="eastAsia" w:hAnsi="宋体"/>
          <w:color w:val="auto"/>
          <w:szCs w:val="21"/>
          <w:highlight w:val="none"/>
        </w:rPr>
        <w:t>第四部分</w:t>
      </w:r>
      <w:r>
        <w:rPr>
          <w:rFonts w:hAnsi="宋体" w:cs="宋体"/>
          <w:color w:val="auto"/>
          <w:szCs w:val="21"/>
          <w:highlight w:val="none"/>
        </w:rPr>
        <w:t>磋商、评审、成交</w:t>
      </w:r>
      <w:r>
        <w:rPr>
          <w:rFonts w:hint="eastAsia" w:hAnsi="宋体"/>
          <w:color w:val="auto"/>
          <w:kern w:val="0"/>
          <w:szCs w:val="21"/>
          <w:highlight w:val="none"/>
        </w:rPr>
        <w:t>》</w:t>
      </w:r>
      <w:r>
        <w:rPr>
          <w:rFonts w:hint="eastAsia" w:hAnsi="宋体"/>
          <w:color w:val="auto"/>
          <w:szCs w:val="21"/>
          <w:highlight w:val="none"/>
        </w:rPr>
        <w:t>:</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1)商务评审</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2)技术评审</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3)价格评审：为客观计算得分。统一采用低价优先法计算，即满足磋商文件要求且最后报价最低的供应商的价格为磋商基准价，其价格分为满分。其他供应商的价格分统一按照下列公式计算：</w:t>
      </w:r>
    </w:p>
    <w:p>
      <w:pPr>
        <w:tabs>
          <w:tab w:val="left" w:pos="567"/>
        </w:tabs>
        <w:spacing w:line="300" w:lineRule="auto"/>
        <w:ind w:left="500" w:leftChars="238"/>
        <w:rPr>
          <w:rFonts w:ascii="宋体" w:hAnsi="宋体"/>
          <w:color w:val="auto"/>
          <w:kern w:val="0"/>
          <w:szCs w:val="21"/>
          <w:highlight w:val="none"/>
        </w:rPr>
      </w:pPr>
      <w:r>
        <w:rPr>
          <w:rFonts w:hint="eastAsia" w:ascii="宋体" w:hAnsi="宋体"/>
          <w:color w:val="auto"/>
          <w:kern w:val="0"/>
          <w:szCs w:val="21"/>
          <w:highlight w:val="none"/>
        </w:rPr>
        <w:t>评分标准（公式）：磋商报价得分＝</w:t>
      </w:r>
      <w:r>
        <w:rPr>
          <w:rFonts w:ascii="宋体" w:hAnsi="宋体"/>
          <w:color w:val="auto"/>
          <w:kern w:val="0"/>
          <w:szCs w:val="21"/>
          <w:highlight w:val="none"/>
        </w:rPr>
        <w:fldChar w:fldCharType="begin"/>
      </w:r>
      <w:r>
        <w:rPr>
          <w:rFonts w:ascii="宋体" w:hAnsi="宋体"/>
          <w:color w:val="auto"/>
          <w:kern w:val="0"/>
          <w:szCs w:val="21"/>
          <w:highlight w:val="none"/>
        </w:rPr>
        <w:instrText xml:space="preserve"> EQ \F(</w:instrText>
      </w:r>
      <w:r>
        <w:rPr>
          <w:rFonts w:hint="eastAsia" w:ascii="宋体" w:hAnsi="宋体"/>
          <w:color w:val="auto"/>
          <w:kern w:val="0"/>
          <w:szCs w:val="21"/>
          <w:highlight w:val="none"/>
        </w:rPr>
        <w:instrText xml:space="preserve">磋商基准价</w:instrText>
      </w:r>
      <w:r>
        <w:rPr>
          <w:rFonts w:ascii="宋体" w:hAnsi="宋体"/>
          <w:color w:val="auto"/>
          <w:kern w:val="0"/>
          <w:szCs w:val="21"/>
          <w:highlight w:val="none"/>
        </w:rPr>
        <w:instrText xml:space="preserve">,</w:instrText>
      </w:r>
      <w:r>
        <w:rPr>
          <w:rFonts w:hint="eastAsia" w:ascii="宋体" w:hAnsi="宋体"/>
          <w:color w:val="auto"/>
          <w:highlight w:val="none"/>
        </w:rPr>
        <w:instrText xml:space="preserve"> </w:instrText>
      </w:r>
      <w:r>
        <w:rPr>
          <w:rFonts w:hint="eastAsia" w:ascii="宋体" w:hAnsi="宋体"/>
          <w:color w:val="auto"/>
          <w:kern w:val="0"/>
          <w:szCs w:val="21"/>
          <w:highlight w:val="none"/>
        </w:rPr>
        <w:instrText xml:space="preserve">最后磋商报价</w:instrText>
      </w:r>
      <w:r>
        <w:rPr>
          <w:rFonts w:ascii="宋体" w:hAnsi="宋体"/>
          <w:color w:val="auto"/>
          <w:kern w:val="0"/>
          <w:szCs w:val="21"/>
          <w:highlight w:val="none"/>
        </w:rPr>
        <w:instrText xml:space="preserve">) </w:instrText>
      </w:r>
      <w:r>
        <w:rPr>
          <w:rFonts w:ascii="宋体" w:hAnsi="宋体"/>
          <w:color w:val="auto"/>
          <w:kern w:val="0"/>
          <w:szCs w:val="21"/>
          <w:highlight w:val="none"/>
        </w:rPr>
        <w:fldChar w:fldCharType="end"/>
      </w:r>
      <w:r>
        <w:rPr>
          <w:rFonts w:hint="eastAsia" w:ascii="宋体" w:hAnsi="宋体"/>
          <w:color w:val="auto"/>
          <w:kern w:val="0"/>
          <w:szCs w:val="21"/>
          <w:highlight w:val="none"/>
        </w:rPr>
        <w:t>×价格分值</w:t>
      </w:r>
    </w:p>
    <w:p>
      <w:pPr>
        <w:pStyle w:val="46"/>
        <w:widowControl w:val="0"/>
        <w:spacing w:before="0" w:beforeAutospacing="0" w:after="0" w:afterAutospacing="0" w:line="300" w:lineRule="auto"/>
        <w:ind w:left="840" w:leftChars="400" w:right="657" w:rightChars="313"/>
        <w:rPr>
          <w:color w:val="auto"/>
          <w:sz w:val="21"/>
          <w:szCs w:val="21"/>
          <w:highlight w:val="none"/>
        </w:rPr>
      </w:pPr>
      <w:r>
        <w:rPr>
          <w:rFonts w:hint="eastAsia"/>
          <w:iCs/>
          <w:color w:val="auto"/>
          <w:szCs w:val="21"/>
          <w:highlight w:val="none"/>
        </w:rPr>
        <w:t>备注：</w:t>
      </w:r>
      <w:r>
        <w:rPr>
          <w:rFonts w:hint="eastAsia"/>
          <w:color w:val="auto"/>
          <w:sz w:val="21"/>
          <w:szCs w:val="21"/>
          <w:highlight w:val="none"/>
        </w:rPr>
        <w:t>1、价格修正：投标人的投标报价中经磋商小组确定为供货范围（包括货物、工程和服务）缺漏项，而进行调整的，调整价为该项目在其他有效投标中的最高报价。</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2、磋商小组将按照上述修正错误的方法调整该投标人的投标文件中的投标报价，调整后的价格对投标人具有约束力。如果投标人不接受修正后的投标价格，则其投标将被拒绝。</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3、根据《政府采购促进中小企业发展暂行办法》（财库【2011】181号）的相关规定：对于非专门面向中小企业的项目，采购人或者采购代理机构应当在招标文件或者磋商文件、询价文件中作出规定，对小型和微型企业产品的价格给予6%-10%的扣除，用扣除后的价格参与评审，具体扣除比例由采购人或者采购代理机构确定。采购人确定本采购项目对小型和微型企业产品的价格给予6%的扣除。</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3.1中小企业划分标准以《工业和信息化部、国家统计局、国家发展和改革委员会、财政部关于印发中小企业划型标准规定的通知》（工信部联企业[2011]300号）规定的划分标准为准。</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3.2小型、微型企业提供中型企业制造的货物的，视同为中型企业。</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3.3参加政府采购活动的中小企业应当提供《中小企业声明函》（格式见第五部分投标文件格式），如投标人为非制造商，其代理产品的制造商也应同时提交《中小企业声明函》，否则评审时不能享受相应的价格扣除。</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4、监狱企业视同小型、微型企业，享受评审中价格扣除。</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46"/>
        <w:widowControl w:val="0"/>
        <w:spacing w:before="0" w:beforeAutospacing="0" w:after="0" w:afterAutospacing="0" w:line="300" w:lineRule="auto"/>
        <w:ind w:left="840" w:leftChars="400" w:right="657" w:rightChars="313" w:firstLine="420" w:firstLineChars="200"/>
        <w:rPr>
          <w:color w:val="auto"/>
          <w:sz w:val="21"/>
          <w:szCs w:val="21"/>
          <w:highlight w:val="none"/>
        </w:rPr>
      </w:pPr>
      <w:r>
        <w:rPr>
          <w:rFonts w:hint="eastAsia"/>
          <w:color w:val="auto"/>
          <w:sz w:val="21"/>
          <w:szCs w:val="21"/>
          <w:highlight w:val="none"/>
        </w:rPr>
        <w:t>4.2.监狱企业参加政府采购活动时，应当提供由省级以上监狱管理局、戒毒管理局（含新疆生产建设兵团）出具的属于监狱企业的证明文件，否则不予认可。</w:t>
      </w:r>
    </w:p>
    <w:p>
      <w:pPr>
        <w:tabs>
          <w:tab w:val="left" w:pos="1022"/>
        </w:tabs>
        <w:spacing w:line="300" w:lineRule="auto"/>
        <w:ind w:left="464" w:leftChars="221" w:right="657" w:rightChars="313" w:firstLine="735" w:firstLineChars="350"/>
        <w:jc w:val="left"/>
        <w:rPr>
          <w:rFonts w:ascii="宋体" w:hAnsi="宋体" w:cs="宋体"/>
          <w:i/>
          <w:iCs/>
          <w:color w:val="auto"/>
          <w:kern w:val="0"/>
          <w:szCs w:val="21"/>
          <w:highlight w:val="none"/>
        </w:rPr>
      </w:pPr>
      <w:r>
        <w:rPr>
          <w:rFonts w:hint="eastAsia" w:ascii="宋体" w:hAnsi="宋体"/>
          <w:color w:val="auto"/>
          <w:szCs w:val="21"/>
          <w:highlight w:val="none"/>
        </w:rPr>
        <w:t>5.投标人同时为小型、微型企业和监狱企业的，评审中只享受一次价格扣除。不重复进行价格扣除。</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19.10推荐成交候选人：</w:t>
      </w:r>
      <w:r>
        <w:rPr>
          <w:rFonts w:hint="eastAsia" w:hAnsi="宋体"/>
          <w:color w:val="auto"/>
          <w:kern w:val="0"/>
          <w:highlight w:val="none"/>
        </w:rPr>
        <w:t>磋商小组成员独立地对每个供应商分别评出商务得分和技术得分，磋商小组成员的技术、商务评分的算术平均值为该供应商的技术得分和商务得分。价格得分按价格评审办法评分。将供应商的技术得分、商务得分和价格得分相加，计算得出各供应商的综合得分。</w:t>
      </w:r>
      <w:r>
        <w:rPr>
          <w:rFonts w:hint="eastAsia" w:hAnsi="宋体"/>
          <w:color w:val="auto"/>
          <w:highlight w:val="none"/>
        </w:rPr>
        <w:t>将综合得分从高到低排序，得出</w:t>
      </w:r>
      <w:r>
        <w:rPr>
          <w:rFonts w:hint="eastAsia" w:hAnsi="宋体"/>
          <w:color w:val="auto"/>
          <w:kern w:val="0"/>
          <w:highlight w:val="none"/>
        </w:rPr>
        <w:t>供应商</w:t>
      </w:r>
      <w:r>
        <w:rPr>
          <w:rFonts w:hint="eastAsia" w:hAnsi="宋体"/>
          <w:color w:val="auto"/>
          <w:highlight w:val="none"/>
        </w:rPr>
        <w:t>名次（</w:t>
      </w:r>
      <w:r>
        <w:rPr>
          <w:rFonts w:hAnsi="宋体"/>
          <w:color w:val="auto"/>
          <w:highlight w:val="none"/>
        </w:rPr>
        <w:t>得分相同的，按</w:t>
      </w:r>
      <w:r>
        <w:rPr>
          <w:rFonts w:hint="eastAsia" w:hAnsi="宋体"/>
          <w:color w:val="auto"/>
          <w:highlight w:val="none"/>
        </w:rPr>
        <w:t>最后</w:t>
      </w:r>
      <w:r>
        <w:rPr>
          <w:rFonts w:hAnsi="宋体"/>
          <w:color w:val="auto"/>
          <w:highlight w:val="none"/>
        </w:rPr>
        <w:t>报价由低到高顺序排列</w:t>
      </w:r>
      <w:r>
        <w:rPr>
          <w:rFonts w:hint="eastAsia" w:hAnsi="宋体"/>
          <w:color w:val="auto"/>
          <w:highlight w:val="none"/>
        </w:rPr>
        <w:t>；</w:t>
      </w:r>
      <w:r>
        <w:rPr>
          <w:rFonts w:hAnsi="宋体"/>
          <w:color w:val="auto"/>
          <w:highlight w:val="none"/>
        </w:rPr>
        <w:t>得分且</w:t>
      </w:r>
      <w:r>
        <w:rPr>
          <w:rFonts w:hint="eastAsia" w:hAnsi="宋体"/>
          <w:color w:val="auto"/>
          <w:highlight w:val="none"/>
        </w:rPr>
        <w:t>最后</w:t>
      </w:r>
      <w:r>
        <w:rPr>
          <w:rFonts w:hAnsi="宋体"/>
          <w:color w:val="auto"/>
          <w:highlight w:val="none"/>
        </w:rPr>
        <w:t>报价相同的，按</w:t>
      </w:r>
      <w:r>
        <w:rPr>
          <w:rFonts w:hint="eastAsia" w:hAnsi="宋体"/>
          <w:color w:val="auto"/>
          <w:highlight w:val="none"/>
        </w:rPr>
        <w:t>技术</w:t>
      </w:r>
      <w:r>
        <w:rPr>
          <w:rFonts w:hAnsi="宋体"/>
          <w:color w:val="auto"/>
          <w:highlight w:val="none"/>
        </w:rPr>
        <w:t>优劣顺序排列</w:t>
      </w:r>
      <w:r>
        <w:rPr>
          <w:rFonts w:hint="eastAsia" w:hAnsi="宋体"/>
          <w:color w:val="auto"/>
          <w:highlight w:val="none"/>
        </w:rPr>
        <w:t>），推荐 3 名成交候选人。</w:t>
      </w:r>
    </w:p>
    <w:p>
      <w:pPr>
        <w:pStyle w:val="26"/>
        <w:adjustRightInd w:val="0"/>
        <w:snapToGrid w:val="0"/>
        <w:spacing w:line="300" w:lineRule="auto"/>
        <w:ind w:left="420" w:hanging="420" w:hangingChars="200"/>
        <w:rPr>
          <w:rFonts w:hAnsi="宋体"/>
          <w:color w:val="auto"/>
          <w:highlight w:val="none"/>
        </w:rPr>
      </w:pPr>
    </w:p>
    <w:p>
      <w:pPr>
        <w:pStyle w:val="26"/>
        <w:adjustRightInd w:val="0"/>
        <w:snapToGrid w:val="0"/>
        <w:spacing w:line="300" w:lineRule="auto"/>
        <w:outlineLvl w:val="1"/>
        <w:rPr>
          <w:rFonts w:hAnsi="宋体"/>
          <w:color w:val="auto"/>
          <w:highlight w:val="none"/>
        </w:rPr>
      </w:pPr>
      <w:bookmarkStart w:id="137" w:name="_Toc464632127"/>
      <w:bookmarkStart w:id="138" w:name="_Toc16886"/>
      <w:r>
        <w:rPr>
          <w:rFonts w:hint="eastAsia" w:hAnsi="宋体"/>
          <w:color w:val="auto"/>
          <w:highlight w:val="none"/>
        </w:rPr>
        <w:t>八、确定成交供应商办法</w:t>
      </w:r>
      <w:bookmarkEnd w:id="137"/>
      <w:bookmarkEnd w:id="138"/>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20.  确定成交供应商</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20.1磋商小组根据综合评分情况，按照评审得分由高到低顺序推荐成交候选供应商，并编写评审报告。</w:t>
      </w:r>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szCs w:val="21"/>
          <w:highlight w:val="none"/>
        </w:rPr>
        <w:t xml:space="preserve">20.2 </w:t>
      </w:r>
      <w:r>
        <w:rPr>
          <w:rFonts w:hint="eastAsia" w:ascii="宋体" w:hAnsi="宋体"/>
          <w:color w:val="auto"/>
          <w:kern w:val="0"/>
          <w:szCs w:val="21"/>
          <w:highlight w:val="none"/>
        </w:rPr>
        <w:t>成交供应商确定后，</w:t>
      </w:r>
      <w:r>
        <w:rPr>
          <w:rFonts w:hint="eastAsia" w:ascii="宋体" w:hAnsi="宋体"/>
          <w:color w:val="auto"/>
          <w:szCs w:val="21"/>
          <w:highlight w:val="none"/>
        </w:rPr>
        <w:t>成交结果将于指定媒体公告：</w:t>
      </w:r>
      <w:r>
        <w:rPr>
          <w:rFonts w:hint="eastAsia" w:ascii="黑体" w:eastAsia="黑体"/>
          <w:bCs/>
          <w:color w:val="auto"/>
          <w:highlight w:val="none"/>
        </w:rPr>
        <w:t>详见第三部份《磋商须知〈投标人须知前附表〉》</w:t>
      </w:r>
      <w:r>
        <w:rPr>
          <w:rFonts w:hint="eastAsia" w:ascii="宋体" w:hAnsi="宋体"/>
          <w:color w:val="auto"/>
          <w:szCs w:val="21"/>
          <w:highlight w:val="none"/>
        </w:rPr>
        <w:t>。发布成交结果公告的同时，代理采购机构向成交</w:t>
      </w:r>
      <w:r>
        <w:rPr>
          <w:rFonts w:hint="eastAsia" w:ascii="宋体" w:hAnsi="宋体"/>
          <w:color w:val="auto"/>
          <w:kern w:val="0"/>
          <w:szCs w:val="21"/>
          <w:highlight w:val="none"/>
        </w:rPr>
        <w:t>供应商</w:t>
      </w:r>
      <w:r>
        <w:rPr>
          <w:rFonts w:hint="eastAsia" w:ascii="宋体" w:hAnsi="宋体"/>
          <w:color w:val="auto"/>
          <w:szCs w:val="21"/>
          <w:highlight w:val="none"/>
        </w:rPr>
        <w:t>发出成交通知书。</w:t>
      </w:r>
    </w:p>
    <w:p>
      <w:pPr>
        <w:pStyle w:val="26"/>
        <w:adjustRightInd w:val="0"/>
        <w:snapToGrid w:val="0"/>
        <w:spacing w:line="300" w:lineRule="auto"/>
        <w:ind w:left="420" w:hanging="420" w:hangingChars="200"/>
        <w:rPr>
          <w:rFonts w:hAnsi="宋体"/>
          <w:color w:val="auto"/>
          <w:highlight w:val="none"/>
        </w:rPr>
      </w:pPr>
      <w:r>
        <w:rPr>
          <w:rFonts w:hint="eastAsia" w:hAnsi="宋体"/>
          <w:color w:val="auto"/>
          <w:highlight w:val="none"/>
        </w:rPr>
        <w:t>21. 替补候选人的设定与使用。</w:t>
      </w:r>
      <w:r>
        <w:rPr>
          <w:rFonts w:hint="eastAsia" w:hAnsi="宋体"/>
          <w:color w:val="auto"/>
          <w:kern w:val="0"/>
          <w:highlight w:val="none"/>
        </w:rPr>
        <w:t>成交供应商放弃成交、不按要求与采购人签订政府采购合同、因不可抗拒力或自身原因不能履行政府采购合同的，经本项目</w:t>
      </w:r>
      <w:r>
        <w:rPr>
          <w:rFonts w:hint="eastAsia" w:hAnsi="宋体"/>
          <w:color w:val="auto"/>
          <w:highlight w:val="none"/>
        </w:rPr>
        <w:t>监管部门批准后，</w:t>
      </w:r>
      <w:r>
        <w:rPr>
          <w:rFonts w:hint="eastAsia" w:hAnsi="宋体"/>
          <w:color w:val="auto"/>
          <w:kern w:val="0"/>
          <w:highlight w:val="none"/>
        </w:rPr>
        <w:t>采购人可以与排位在成交供应商之后第一位的成交候选人签订政府采购合同，以此类推，或者重新进行组织采购。</w:t>
      </w:r>
    </w:p>
    <w:p>
      <w:pPr>
        <w:tabs>
          <w:tab w:val="left" w:pos="0"/>
        </w:tabs>
        <w:adjustRightInd w:val="0"/>
        <w:snapToGrid w:val="0"/>
        <w:spacing w:line="300" w:lineRule="auto"/>
        <w:ind w:left="540" w:hanging="539" w:hangingChars="257"/>
        <w:rPr>
          <w:rFonts w:ascii="宋体" w:hAnsi="宋体"/>
          <w:color w:val="auto"/>
          <w:kern w:val="0"/>
          <w:szCs w:val="21"/>
          <w:highlight w:val="none"/>
        </w:rPr>
      </w:pPr>
      <w:r>
        <w:rPr>
          <w:rFonts w:hint="eastAsia" w:ascii="宋体" w:hAnsi="宋体"/>
          <w:color w:val="auto"/>
          <w:kern w:val="0"/>
          <w:szCs w:val="21"/>
          <w:highlight w:val="none"/>
        </w:rPr>
        <w:t>22. 项目响应无效处理</w:t>
      </w:r>
    </w:p>
    <w:p>
      <w:pPr>
        <w:spacing w:line="300" w:lineRule="auto"/>
        <w:ind w:left="420" w:hanging="420" w:hangingChars="200"/>
        <w:rPr>
          <w:rFonts w:ascii="宋体" w:hAnsi="宋体"/>
          <w:color w:val="auto"/>
          <w:kern w:val="0"/>
          <w:szCs w:val="21"/>
          <w:highlight w:val="none"/>
        </w:rPr>
      </w:pPr>
      <w:r>
        <w:rPr>
          <w:rFonts w:hint="eastAsia" w:ascii="宋体" w:hAnsi="宋体"/>
          <w:color w:val="auto"/>
          <w:kern w:val="0"/>
          <w:szCs w:val="21"/>
          <w:highlight w:val="none"/>
        </w:rPr>
        <w:t>22.1 根据《政府采购法》、《政府采购竞争性磋商采购方式管理暂行办法》相关规定，下列情况出现将被确定为响应无效：</w:t>
      </w:r>
    </w:p>
    <w:p>
      <w:pPr>
        <w:tabs>
          <w:tab w:val="left" w:pos="540"/>
        </w:tabs>
        <w:spacing w:line="300" w:lineRule="auto"/>
        <w:ind w:left="420" w:leftChars="200"/>
        <w:rPr>
          <w:rFonts w:ascii="宋体" w:hAnsi="宋体"/>
          <w:color w:val="auto"/>
          <w:kern w:val="0"/>
          <w:szCs w:val="21"/>
          <w:highlight w:val="none"/>
        </w:rPr>
      </w:pPr>
      <w:r>
        <w:rPr>
          <w:rFonts w:hint="eastAsia" w:ascii="宋体" w:hAnsi="宋体"/>
          <w:color w:val="auto"/>
          <w:kern w:val="0"/>
          <w:szCs w:val="21"/>
          <w:highlight w:val="none"/>
        </w:rPr>
        <w:t>1) 符合专业资格条件的供应商或者对磋商文件作实质响应的有效供应商不足三家的，且未能获得采购人、监管部门批准继续评审的；</w:t>
      </w:r>
    </w:p>
    <w:p>
      <w:pPr>
        <w:tabs>
          <w:tab w:val="left" w:pos="540"/>
        </w:tabs>
        <w:spacing w:line="300" w:lineRule="auto"/>
        <w:ind w:left="420" w:leftChars="200"/>
        <w:rPr>
          <w:rFonts w:ascii="宋体" w:hAnsi="宋体"/>
          <w:color w:val="auto"/>
          <w:kern w:val="0"/>
          <w:szCs w:val="21"/>
          <w:highlight w:val="none"/>
        </w:rPr>
      </w:pPr>
      <w:r>
        <w:rPr>
          <w:rFonts w:hint="eastAsia" w:ascii="宋体" w:hAnsi="宋体"/>
          <w:color w:val="auto"/>
          <w:kern w:val="0"/>
          <w:szCs w:val="21"/>
          <w:highlight w:val="none"/>
        </w:rPr>
        <w:t xml:space="preserve">2) 出现影响采购公正的违法、违规行为的； </w:t>
      </w:r>
    </w:p>
    <w:p>
      <w:pPr>
        <w:tabs>
          <w:tab w:val="left" w:pos="540"/>
        </w:tabs>
        <w:spacing w:line="300" w:lineRule="auto"/>
        <w:ind w:left="420" w:leftChars="200"/>
        <w:rPr>
          <w:rFonts w:ascii="宋体" w:hAnsi="宋体"/>
          <w:color w:val="auto"/>
          <w:kern w:val="0"/>
          <w:szCs w:val="21"/>
          <w:highlight w:val="none"/>
        </w:rPr>
      </w:pPr>
      <w:r>
        <w:rPr>
          <w:rFonts w:hint="eastAsia" w:ascii="宋体" w:hAnsi="宋体"/>
          <w:color w:val="auto"/>
          <w:kern w:val="0"/>
          <w:szCs w:val="21"/>
          <w:highlight w:val="none"/>
        </w:rPr>
        <w:t>3) 供应商的报价均超过了采购预算，采购人不能支付的；</w:t>
      </w:r>
    </w:p>
    <w:p>
      <w:pPr>
        <w:tabs>
          <w:tab w:val="left" w:pos="540"/>
        </w:tabs>
        <w:spacing w:line="300" w:lineRule="auto"/>
        <w:ind w:left="420" w:leftChars="200"/>
        <w:rPr>
          <w:rFonts w:ascii="宋体" w:hAnsi="宋体"/>
          <w:color w:val="auto"/>
          <w:kern w:val="0"/>
          <w:szCs w:val="21"/>
          <w:highlight w:val="none"/>
        </w:rPr>
      </w:pPr>
      <w:r>
        <w:rPr>
          <w:rFonts w:hint="eastAsia" w:ascii="宋体" w:hAnsi="宋体"/>
          <w:color w:val="auto"/>
          <w:kern w:val="0"/>
          <w:szCs w:val="21"/>
          <w:highlight w:val="none"/>
        </w:rPr>
        <w:t>4) 因重大变故，采购任务取消的。</w:t>
      </w:r>
    </w:p>
    <w:p>
      <w:pPr>
        <w:tabs>
          <w:tab w:val="left" w:pos="540"/>
        </w:tabs>
        <w:spacing w:line="300" w:lineRule="auto"/>
        <w:ind w:left="420" w:leftChars="200"/>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highlight w:val="none"/>
        </w:rPr>
        <w:t xml:space="preserve"> </w:t>
      </w:r>
      <w:r>
        <w:rPr>
          <w:rFonts w:hint="eastAsia" w:ascii="宋体" w:hAnsi="宋体"/>
          <w:color w:val="auto"/>
          <w:kern w:val="0"/>
          <w:szCs w:val="21"/>
          <w:highlight w:val="none"/>
        </w:rPr>
        <w:t>因情况变化，不再符合规定的竞争性磋商采购方式适用情形的；</w:t>
      </w:r>
    </w:p>
    <w:p>
      <w:pPr>
        <w:autoSpaceDE w:val="0"/>
        <w:autoSpaceDN w:val="0"/>
        <w:adjustRightInd w:val="0"/>
        <w:snapToGrid w:val="0"/>
        <w:spacing w:line="300" w:lineRule="auto"/>
        <w:ind w:left="473" w:right="32" w:hanging="472" w:hangingChars="225"/>
        <w:outlineLvl w:val="1"/>
        <w:rPr>
          <w:rFonts w:ascii="宋体" w:hAnsi="宋体"/>
          <w:color w:val="auto"/>
          <w:szCs w:val="21"/>
          <w:highlight w:val="none"/>
        </w:rPr>
      </w:pPr>
      <w:bookmarkStart w:id="139" w:name="_Toc31704"/>
      <w:bookmarkStart w:id="140" w:name="_Toc464632128"/>
      <w:r>
        <w:rPr>
          <w:rFonts w:hint="eastAsia" w:ascii="宋体" w:hAnsi="宋体"/>
          <w:color w:val="auto"/>
          <w:szCs w:val="21"/>
          <w:highlight w:val="none"/>
        </w:rPr>
        <w:t>九、质疑</w:t>
      </w:r>
      <w:bookmarkEnd w:id="139"/>
      <w:bookmarkEnd w:id="140"/>
    </w:p>
    <w:p>
      <w:pPr>
        <w:autoSpaceDE w:val="0"/>
        <w:autoSpaceDN w:val="0"/>
        <w:adjustRightInd w:val="0"/>
        <w:snapToGrid w:val="0"/>
        <w:spacing w:line="300" w:lineRule="auto"/>
        <w:ind w:left="473" w:right="32" w:hanging="472" w:hangingChars="225"/>
        <w:rPr>
          <w:rFonts w:ascii="宋体" w:hAnsi="宋体"/>
          <w:color w:val="auto"/>
          <w:kern w:val="0"/>
          <w:szCs w:val="21"/>
          <w:highlight w:val="none"/>
        </w:rPr>
      </w:pPr>
      <w:r>
        <w:rPr>
          <w:rFonts w:hint="eastAsia" w:ascii="宋体" w:hAnsi="宋体"/>
          <w:color w:val="auto"/>
          <w:szCs w:val="21"/>
          <w:highlight w:val="none"/>
        </w:rPr>
        <w:t>23. 如果供应商对此次采购活动有疑问，可依法向采购代理机构提出质疑。采购代理机构应当依法给与答复，并将结果告知有关当事人。</w:t>
      </w:r>
    </w:p>
    <w:p>
      <w:pPr>
        <w:spacing w:line="300" w:lineRule="auto"/>
        <w:outlineLvl w:val="1"/>
        <w:rPr>
          <w:rFonts w:ascii="宋体" w:hAnsi="宋体"/>
          <w:color w:val="auto"/>
          <w:szCs w:val="21"/>
          <w:highlight w:val="none"/>
        </w:rPr>
      </w:pPr>
      <w:bookmarkStart w:id="141" w:name="_Toc9264"/>
      <w:bookmarkStart w:id="142" w:name="_Toc464632129"/>
      <w:bookmarkStart w:id="143" w:name="_Toc345675374"/>
      <w:bookmarkStart w:id="144" w:name="_Toc322033397"/>
      <w:r>
        <w:rPr>
          <w:rFonts w:hint="eastAsia" w:ascii="宋体" w:hAnsi="宋体"/>
          <w:color w:val="auto"/>
          <w:szCs w:val="21"/>
          <w:highlight w:val="none"/>
        </w:rPr>
        <w:t>十、成交服务费</w:t>
      </w:r>
      <w:bookmarkEnd w:id="141"/>
      <w:bookmarkEnd w:id="142"/>
      <w:bookmarkEnd w:id="143"/>
      <w:bookmarkEnd w:id="144"/>
    </w:p>
    <w:p>
      <w:pPr>
        <w:spacing w:line="300" w:lineRule="auto"/>
        <w:rPr>
          <w:rFonts w:ascii="宋体" w:hAnsi="宋体"/>
          <w:color w:val="auto"/>
          <w:szCs w:val="21"/>
          <w:highlight w:val="none"/>
        </w:rPr>
      </w:pPr>
      <w:r>
        <w:rPr>
          <w:rFonts w:hint="eastAsia" w:ascii="宋体" w:hAnsi="宋体"/>
          <w:color w:val="auto"/>
          <w:szCs w:val="21"/>
          <w:highlight w:val="none"/>
        </w:rPr>
        <w:t>24.  成交服务费:</w:t>
      </w:r>
      <w:r>
        <w:rPr>
          <w:rFonts w:hint="eastAsia" w:ascii="黑体" w:eastAsia="黑体"/>
          <w:bCs/>
          <w:color w:val="auto"/>
          <w:highlight w:val="none"/>
        </w:rPr>
        <w:t xml:space="preserve"> 详见第二部份《采购项目内容〈A 商务要求〉》</w:t>
      </w:r>
      <w:r>
        <w:rPr>
          <w:rFonts w:hint="eastAsia" w:ascii="宋体" w:hAnsi="宋体"/>
          <w:color w:val="auto"/>
          <w:szCs w:val="21"/>
          <w:highlight w:val="none"/>
        </w:rPr>
        <w:t>。</w:t>
      </w:r>
    </w:p>
    <w:p>
      <w:pPr>
        <w:spacing w:line="300" w:lineRule="auto"/>
        <w:outlineLvl w:val="1"/>
        <w:rPr>
          <w:rFonts w:ascii="宋体" w:hAnsi="宋体"/>
          <w:color w:val="auto"/>
          <w:szCs w:val="21"/>
          <w:highlight w:val="none"/>
        </w:rPr>
      </w:pPr>
      <w:bookmarkStart w:id="145" w:name="_Toc536594109"/>
      <w:bookmarkStart w:id="146" w:name="_Toc7137"/>
      <w:bookmarkStart w:id="147" w:name="_Toc464632131"/>
      <w:r>
        <w:rPr>
          <w:rFonts w:hint="eastAsia" w:ascii="宋体" w:hAnsi="宋体"/>
          <w:color w:val="auto"/>
          <w:szCs w:val="21"/>
          <w:highlight w:val="none"/>
        </w:rPr>
        <w:t>十一、合同的订立和履行</w:t>
      </w:r>
      <w:bookmarkEnd w:id="145"/>
      <w:bookmarkEnd w:id="146"/>
      <w:bookmarkEnd w:id="147"/>
    </w:p>
    <w:p>
      <w:pPr>
        <w:spacing w:line="300" w:lineRule="auto"/>
        <w:ind w:left="630" w:hanging="630" w:hangingChars="300"/>
        <w:rPr>
          <w:rFonts w:ascii="宋体" w:hAnsi="宋体"/>
          <w:color w:val="auto"/>
          <w:szCs w:val="21"/>
          <w:highlight w:val="none"/>
        </w:rPr>
      </w:pPr>
      <w:r>
        <w:rPr>
          <w:rFonts w:hint="eastAsia" w:ascii="宋体" w:hAnsi="宋体"/>
          <w:color w:val="auto"/>
          <w:szCs w:val="21"/>
          <w:highlight w:val="none"/>
        </w:rPr>
        <w:t>25.合同的订立</w:t>
      </w:r>
    </w:p>
    <w:p>
      <w:pPr>
        <w:spacing w:line="300" w:lineRule="auto"/>
        <w:ind w:left="630" w:hanging="630" w:hangingChars="300"/>
        <w:rPr>
          <w:rFonts w:ascii="宋体" w:hAnsi="宋体"/>
          <w:color w:val="auto"/>
          <w:szCs w:val="21"/>
          <w:highlight w:val="none"/>
        </w:rPr>
      </w:pPr>
      <w:r>
        <w:rPr>
          <w:rFonts w:hint="eastAsia" w:ascii="宋体" w:hAnsi="宋体"/>
          <w:color w:val="auto"/>
          <w:szCs w:val="21"/>
          <w:highlight w:val="none"/>
        </w:rPr>
        <w:t>25.1 采购人与成交供应商自成交通知书发出之日，按磋商文件要求和成交供应商竞争性磋商响应文件承诺签订政府采购合同，但不得超出磋商文件和成交供应商竞争性磋商响应文件的范围、也不得再行订立背离合同实质性内容的其他协议。</w:t>
      </w:r>
    </w:p>
    <w:p>
      <w:pPr>
        <w:spacing w:line="300" w:lineRule="auto"/>
        <w:ind w:left="567" w:leftChars="-30" w:hanging="630" w:hangingChars="300"/>
        <w:rPr>
          <w:rFonts w:ascii="宋体" w:hAnsi="宋体"/>
          <w:color w:val="auto"/>
          <w:szCs w:val="21"/>
          <w:highlight w:val="none"/>
        </w:rPr>
      </w:pPr>
      <w:r>
        <w:rPr>
          <w:rFonts w:hint="eastAsia" w:ascii="宋体" w:hAnsi="宋体"/>
          <w:color w:val="auto"/>
          <w:szCs w:val="21"/>
          <w:highlight w:val="none"/>
        </w:rPr>
        <w:t>25.2 签订政府采购合同后7个工作日内，采购人应将政府采购合同副本报同级政府采购监督管理部门备案。</w:t>
      </w:r>
    </w:p>
    <w:p>
      <w:pPr>
        <w:spacing w:line="300" w:lineRule="auto"/>
        <w:ind w:left="630" w:hanging="630" w:hangingChars="300"/>
        <w:rPr>
          <w:rFonts w:ascii="宋体" w:hAnsi="宋体"/>
          <w:color w:val="auto"/>
          <w:szCs w:val="21"/>
          <w:highlight w:val="none"/>
        </w:rPr>
      </w:pPr>
      <w:r>
        <w:rPr>
          <w:rFonts w:hint="eastAsia" w:ascii="宋体" w:hAnsi="宋体"/>
          <w:color w:val="auto"/>
          <w:szCs w:val="21"/>
          <w:highlight w:val="none"/>
        </w:rPr>
        <w:t>26. 合同的履行</w:t>
      </w:r>
    </w:p>
    <w:p>
      <w:pPr>
        <w:spacing w:line="300" w:lineRule="auto"/>
        <w:ind w:left="567" w:hanging="567" w:hangingChars="270"/>
        <w:rPr>
          <w:rFonts w:ascii="宋体" w:hAnsi="宋体"/>
          <w:color w:val="auto"/>
          <w:szCs w:val="21"/>
          <w:highlight w:val="none"/>
        </w:rPr>
      </w:pPr>
      <w:r>
        <w:rPr>
          <w:rFonts w:hint="eastAsia" w:ascii="宋体" w:hAnsi="宋体"/>
          <w:color w:val="auto"/>
          <w:kern w:val="0"/>
          <w:szCs w:val="21"/>
          <w:highlight w:val="none"/>
        </w:rPr>
        <w:t>26.1 政府采购合同订立后，合同各方不得擅自变更、中止或者终止合同。政府采购合同</w:t>
      </w:r>
      <w:r>
        <w:rPr>
          <w:rFonts w:hint="eastAsia" w:ascii="宋体" w:hAnsi="宋体"/>
          <w:color w:val="auto"/>
          <w:szCs w:val="21"/>
          <w:highlight w:val="none"/>
        </w:rPr>
        <w:t>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spacing w:line="300" w:lineRule="auto"/>
        <w:ind w:left="567" w:hanging="567" w:hangingChars="270"/>
        <w:rPr>
          <w:rFonts w:ascii="宋体" w:hAnsi="宋体"/>
          <w:color w:val="auto"/>
          <w:szCs w:val="21"/>
          <w:highlight w:val="none"/>
        </w:rPr>
      </w:pPr>
      <w:r>
        <w:rPr>
          <w:rFonts w:hint="eastAsia" w:ascii="宋体" w:hAnsi="宋体"/>
          <w:color w:val="auto"/>
          <w:szCs w:val="21"/>
          <w:highlight w:val="none"/>
        </w:rPr>
        <w:t>26.2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报同级政府采购监督管理部门备案。</w:t>
      </w:r>
    </w:p>
    <w:p>
      <w:pPr>
        <w:spacing w:line="300" w:lineRule="auto"/>
        <w:ind w:left="630" w:hanging="630" w:hangingChars="300"/>
        <w:rPr>
          <w:rFonts w:ascii="宋体" w:hAnsi="宋体"/>
          <w:color w:val="auto"/>
          <w:szCs w:val="21"/>
          <w:highlight w:val="none"/>
        </w:rPr>
      </w:pPr>
      <w:r>
        <w:rPr>
          <w:rFonts w:hint="eastAsia" w:ascii="宋体" w:hAnsi="宋体"/>
          <w:color w:val="auto"/>
          <w:szCs w:val="21"/>
          <w:highlight w:val="none"/>
        </w:rPr>
        <w:t>27.  发票</w:t>
      </w:r>
    </w:p>
    <w:p>
      <w:pPr>
        <w:spacing w:line="300" w:lineRule="auto"/>
        <w:ind w:left="567" w:hanging="567" w:hangingChars="270"/>
        <w:rPr>
          <w:rFonts w:ascii="宋体" w:hAnsi="宋体"/>
          <w:color w:val="auto"/>
          <w:szCs w:val="21"/>
          <w:highlight w:val="none"/>
        </w:rPr>
      </w:pPr>
      <w:r>
        <w:rPr>
          <w:rFonts w:hint="eastAsia" w:ascii="宋体" w:hAnsi="宋体"/>
          <w:color w:val="auto"/>
          <w:szCs w:val="21"/>
          <w:highlight w:val="none"/>
        </w:rPr>
        <w:t>27.1 该项目获得成交的成交供应商在执行合同过程中，向采购人出具的发票必须是由成交供应商开具，不得以其他单位或个人名义出具。</w:t>
      </w:r>
    </w:p>
    <w:p>
      <w:pPr>
        <w:spacing w:line="300" w:lineRule="auto"/>
        <w:outlineLvl w:val="1"/>
        <w:rPr>
          <w:rFonts w:ascii="宋体" w:hAnsi="宋体"/>
          <w:color w:val="auto"/>
          <w:szCs w:val="21"/>
          <w:highlight w:val="none"/>
        </w:rPr>
      </w:pPr>
      <w:bookmarkStart w:id="148" w:name="_Toc345675376"/>
      <w:bookmarkStart w:id="149" w:name="_Toc322033399"/>
      <w:bookmarkStart w:id="150" w:name="_Toc464632132"/>
      <w:bookmarkStart w:id="151" w:name="_Toc19090"/>
      <w:r>
        <w:rPr>
          <w:rFonts w:hint="eastAsia" w:ascii="宋体" w:hAnsi="宋体"/>
          <w:color w:val="auto"/>
          <w:szCs w:val="21"/>
          <w:highlight w:val="none"/>
        </w:rPr>
        <w:t>十二、适用法律</w:t>
      </w:r>
      <w:bookmarkEnd w:id="148"/>
      <w:bookmarkEnd w:id="149"/>
      <w:bookmarkEnd w:id="150"/>
      <w:bookmarkEnd w:id="151"/>
    </w:p>
    <w:p>
      <w:pPr>
        <w:spacing w:line="300" w:lineRule="auto"/>
        <w:ind w:left="424" w:hanging="424" w:hangingChars="202"/>
        <w:rPr>
          <w:rFonts w:ascii="宋体" w:hAnsi="宋体"/>
          <w:color w:val="auto"/>
          <w:szCs w:val="21"/>
          <w:highlight w:val="none"/>
        </w:rPr>
      </w:pPr>
      <w:r>
        <w:rPr>
          <w:rFonts w:hint="eastAsia" w:ascii="宋体" w:hAnsi="宋体"/>
          <w:color w:val="auto"/>
          <w:szCs w:val="21"/>
          <w:highlight w:val="none"/>
        </w:rPr>
        <w:t>28. 采购人及供应商的一切竞争性磋商采购活动均按照《中华人民共和国政府采购法》、《政府采购竞争性磋商采购方式管理暂行办法》及其配套的法规、规章、政策。</w:t>
      </w:r>
    </w:p>
    <w:p>
      <w:pPr>
        <w:spacing w:line="300" w:lineRule="auto"/>
        <w:ind w:left="630" w:hanging="630" w:hangingChars="300"/>
        <w:rPr>
          <w:rFonts w:ascii="宋体" w:hAnsi="宋体"/>
          <w:color w:val="auto"/>
          <w:szCs w:val="21"/>
          <w:highlight w:val="none"/>
        </w:rPr>
      </w:pPr>
    </w:p>
    <w:p>
      <w:pPr>
        <w:pStyle w:val="3"/>
        <w:numPr>
          <w:ilvl w:val="0"/>
          <w:numId w:val="0"/>
        </w:numPr>
        <w:spacing w:before="240"/>
        <w:rPr>
          <w:color w:val="auto"/>
          <w:highlight w:val="none"/>
        </w:rPr>
      </w:pPr>
      <w:r>
        <w:rPr>
          <w:color w:val="auto"/>
          <w:highlight w:val="none"/>
        </w:rPr>
        <w:br w:type="page"/>
      </w:r>
      <w:bookmarkStart w:id="152" w:name="_Toc1379"/>
      <w:r>
        <w:rPr>
          <w:color w:val="auto"/>
          <w:highlight w:val="none"/>
        </w:rPr>
        <w:t>第四部分</w:t>
      </w:r>
      <w:r>
        <w:rPr>
          <w:rFonts w:hint="eastAsia"/>
          <w:color w:val="auto"/>
          <w:highlight w:val="none"/>
        </w:rPr>
        <w:t xml:space="preserve">  </w:t>
      </w:r>
      <w:r>
        <w:rPr>
          <w:color w:val="auto"/>
          <w:highlight w:val="none"/>
        </w:rPr>
        <w:t>磋商、评审、成交</w:t>
      </w:r>
      <w:bookmarkEnd w:id="152"/>
    </w:p>
    <w:p>
      <w:pPr>
        <w:spacing w:line="360" w:lineRule="auto"/>
        <w:rPr>
          <w:rFonts w:ascii="宋体" w:hAnsi="宋体"/>
          <w:b/>
          <w:color w:val="auto"/>
          <w:highlight w:val="none"/>
        </w:rPr>
      </w:pPr>
      <w:r>
        <w:rPr>
          <w:rFonts w:hint="eastAsia" w:ascii="宋体" w:hAnsi="宋体"/>
          <w:b/>
          <w:color w:val="auto"/>
          <w:highlight w:val="none"/>
        </w:rPr>
        <w:t>一、评价指标及权重：</w:t>
      </w:r>
    </w:p>
    <w:tbl>
      <w:tblPr>
        <w:tblStyle w:val="52"/>
        <w:tblW w:w="8787" w:type="dxa"/>
        <w:tblInd w:w="39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2271"/>
        <w:gridCol w:w="2548"/>
        <w:gridCol w:w="22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701" w:type="dxa"/>
            <w:tcBorders>
              <w:top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rPr>
              <w:t>项目</w:t>
            </w:r>
          </w:p>
        </w:tc>
        <w:tc>
          <w:tcPr>
            <w:tcW w:w="2271" w:type="dxa"/>
            <w:tcBorders>
              <w:top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rPr>
              <w:t>技术</w:t>
            </w:r>
          </w:p>
        </w:tc>
        <w:tc>
          <w:tcPr>
            <w:tcW w:w="2548" w:type="dxa"/>
            <w:tcBorders>
              <w:top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rPr>
              <w:t>商务</w:t>
            </w:r>
          </w:p>
        </w:tc>
        <w:tc>
          <w:tcPr>
            <w:tcW w:w="2267" w:type="dxa"/>
            <w:tcBorders>
              <w:top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rPr>
              <w:t>价格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atLeast"/>
        </w:trPr>
        <w:tc>
          <w:tcPr>
            <w:tcW w:w="1701" w:type="dxa"/>
            <w:tcBorders>
              <w:bottom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rPr>
              <w:t>分值</w:t>
            </w:r>
          </w:p>
        </w:tc>
        <w:tc>
          <w:tcPr>
            <w:tcW w:w="2271" w:type="dxa"/>
            <w:tcBorders>
              <w:bottom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lang w:val="en-US" w:eastAsia="zh-CN"/>
              </w:rPr>
              <w:t>5</w:t>
            </w:r>
            <w:r>
              <w:rPr>
                <w:rFonts w:ascii="宋体" w:cs="宋体"/>
                <w:color w:val="auto"/>
                <w:szCs w:val="21"/>
                <w:highlight w:val="none"/>
              </w:rPr>
              <w:t>0</w:t>
            </w:r>
            <w:r>
              <w:rPr>
                <w:rFonts w:hint="eastAsia" w:ascii="宋体" w:hAnsi="宋体" w:cs="宋体"/>
                <w:color w:val="auto"/>
                <w:szCs w:val="21"/>
                <w:highlight w:val="none"/>
              </w:rPr>
              <w:t>分</w:t>
            </w:r>
          </w:p>
        </w:tc>
        <w:tc>
          <w:tcPr>
            <w:tcW w:w="2548" w:type="dxa"/>
            <w:tcBorders>
              <w:bottom w:val="single" w:color="auto" w:sz="12" w:space="0"/>
            </w:tcBorders>
            <w:vAlign w:val="center"/>
          </w:tcPr>
          <w:p>
            <w:pPr>
              <w:jc w:val="center"/>
              <w:rPr>
                <w:rFonts w:hint="default" w:ascii="宋体" w:eastAsia="宋体"/>
                <w:color w:val="auto"/>
                <w:szCs w:val="21"/>
                <w:highlight w:val="none"/>
                <w:lang w:val="en-US" w:eastAsia="zh-CN"/>
              </w:rPr>
            </w:pPr>
            <w:r>
              <w:rPr>
                <w:rFonts w:hint="eastAsia" w:ascii="宋体" w:hAnsi="宋体" w:cs="宋体"/>
                <w:color w:val="auto"/>
                <w:szCs w:val="21"/>
                <w:highlight w:val="none"/>
                <w:lang w:val="en-US" w:eastAsia="zh-CN"/>
              </w:rPr>
              <w:t>30分</w:t>
            </w:r>
          </w:p>
        </w:tc>
        <w:tc>
          <w:tcPr>
            <w:tcW w:w="2267" w:type="dxa"/>
            <w:tcBorders>
              <w:bottom w:val="single" w:color="auto" w:sz="12" w:space="0"/>
            </w:tcBorders>
            <w:vAlign w:val="center"/>
          </w:tcPr>
          <w:p>
            <w:pPr>
              <w:jc w:val="center"/>
              <w:rPr>
                <w:rFonts w:ascii="宋体"/>
                <w:color w:val="auto"/>
                <w:szCs w:val="21"/>
                <w:highlight w:val="none"/>
              </w:rPr>
            </w:pP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分</w:t>
            </w:r>
          </w:p>
        </w:tc>
      </w:tr>
    </w:tbl>
    <w:p>
      <w:pPr>
        <w:spacing w:line="360" w:lineRule="auto"/>
        <w:rPr>
          <w:rFonts w:ascii="宋体" w:hAnsi="宋体"/>
          <w:color w:val="auto"/>
          <w:highlight w:val="none"/>
        </w:rPr>
      </w:pPr>
    </w:p>
    <w:p>
      <w:pPr>
        <w:spacing w:line="360" w:lineRule="auto"/>
        <w:rPr>
          <w:rFonts w:ascii="宋体" w:hAnsi="宋体"/>
          <w:b/>
          <w:color w:val="auto"/>
          <w:highlight w:val="none"/>
        </w:rPr>
      </w:pPr>
      <w:r>
        <w:rPr>
          <w:rFonts w:hint="eastAsia" w:ascii="宋体" w:hAnsi="宋体"/>
          <w:b/>
          <w:color w:val="auto"/>
          <w:highlight w:val="none"/>
        </w:rPr>
        <w:t>二</w:t>
      </w:r>
      <w:r>
        <w:rPr>
          <w:rFonts w:hint="eastAsia" w:ascii="宋体" w:hAnsi="宋体"/>
          <w:b/>
          <w:color w:val="auto"/>
          <w:highlight w:val="none"/>
          <w:lang w:eastAsia="zh-CN"/>
        </w:rPr>
        <w:t>、</w:t>
      </w:r>
      <w:r>
        <w:rPr>
          <w:rFonts w:hint="eastAsia" w:ascii="宋体" w:hAnsi="宋体"/>
          <w:b/>
          <w:color w:val="auto"/>
          <w:highlight w:val="none"/>
        </w:rPr>
        <w:t>商务评分表细则</w:t>
      </w:r>
    </w:p>
    <w:tbl>
      <w:tblPr>
        <w:tblStyle w:val="52"/>
        <w:tblW w:w="4978" w:type="pct"/>
        <w:tblInd w:w="-5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autofit"/>
        <w:tblCellMar>
          <w:top w:w="0" w:type="dxa"/>
          <w:left w:w="108" w:type="dxa"/>
          <w:bottom w:w="0" w:type="dxa"/>
          <w:right w:w="108" w:type="dxa"/>
        </w:tblCellMar>
      </w:tblPr>
      <w:tblGrid>
        <w:gridCol w:w="962"/>
        <w:gridCol w:w="1621"/>
        <w:gridCol w:w="6218"/>
        <w:gridCol w:w="8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90" w:hRule="atLeast"/>
        </w:trPr>
        <w:tc>
          <w:tcPr>
            <w:tcW w:w="500" w:type="pct"/>
            <w:shd w:val="clear" w:color="auto" w:fill="auto"/>
            <w:vAlign w:val="center"/>
          </w:tcPr>
          <w:p>
            <w:pPr>
              <w:spacing w:line="360" w:lineRule="auto"/>
              <w:jc w:val="center"/>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序号</w:t>
            </w:r>
          </w:p>
        </w:tc>
        <w:tc>
          <w:tcPr>
            <w:tcW w:w="842" w:type="pct"/>
            <w:shd w:val="clear" w:color="auto" w:fill="auto"/>
            <w:vAlign w:val="center"/>
          </w:tcPr>
          <w:p>
            <w:pPr>
              <w:spacing w:line="360" w:lineRule="auto"/>
              <w:jc w:val="center"/>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评分</w:t>
            </w:r>
            <w:r>
              <w:rPr>
                <w:rFonts w:hint="eastAsia" w:ascii="宋体" w:hAnsi="宋体" w:eastAsia="宋体" w:cs="宋体"/>
                <w:b/>
                <w:color w:val="auto"/>
                <w:sz w:val="21"/>
                <w:szCs w:val="21"/>
                <w:highlight w:val="none"/>
                <w:lang w:val="en-US" w:eastAsia="zh-CN"/>
              </w:rPr>
              <w:t>项</w:t>
            </w:r>
          </w:p>
        </w:tc>
        <w:tc>
          <w:tcPr>
            <w:tcW w:w="3231" w:type="pct"/>
            <w:shd w:val="clear" w:color="auto" w:fill="auto"/>
            <w:vAlign w:val="center"/>
          </w:tcPr>
          <w:p>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评分细则</w:t>
            </w:r>
          </w:p>
        </w:tc>
        <w:tc>
          <w:tcPr>
            <w:tcW w:w="425" w:type="pct"/>
            <w:shd w:val="clear" w:color="auto" w:fill="auto"/>
            <w:vAlign w:val="center"/>
          </w:tcPr>
          <w:p>
            <w:pPr>
              <w:spacing w:line="360" w:lineRule="auto"/>
              <w:jc w:val="center"/>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883" w:hRule="atLeast"/>
        </w:trPr>
        <w:tc>
          <w:tcPr>
            <w:tcW w:w="500"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w:t>
            </w:r>
          </w:p>
        </w:tc>
        <w:tc>
          <w:tcPr>
            <w:tcW w:w="842"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投标人</w:t>
            </w:r>
            <w:r>
              <w:rPr>
                <w:rFonts w:hint="eastAsia" w:ascii="宋体" w:hAnsi="宋体" w:eastAsia="宋体" w:cs="宋体"/>
                <w:b w:val="0"/>
                <w:bCs/>
                <w:color w:val="auto"/>
                <w:sz w:val="21"/>
                <w:szCs w:val="21"/>
                <w:highlight w:val="none"/>
              </w:rPr>
              <w:t>同类项目业绩</w:t>
            </w:r>
          </w:p>
        </w:tc>
        <w:tc>
          <w:tcPr>
            <w:tcW w:w="3231" w:type="pct"/>
            <w:shd w:val="clear" w:color="auto" w:fill="auto"/>
            <w:vAlign w:val="center"/>
          </w:tcPr>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提供投标人2018年1月1日至本项目投标截止时间前（以合同或协议签订日期为准）承接的同类业绩项目业绩，每提供1个，得5分，最高得5分。</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评分依据：</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投标人</w:t>
            </w:r>
            <w:r>
              <w:rPr>
                <w:rFonts w:hint="eastAsia" w:ascii="宋体" w:hAnsi="宋体" w:eastAsia="宋体" w:cs="宋体"/>
                <w:b w:val="0"/>
                <w:bCs/>
                <w:color w:val="auto"/>
                <w:sz w:val="21"/>
                <w:szCs w:val="21"/>
                <w:highlight w:val="none"/>
              </w:rPr>
              <w:t>必须提供合同关键页（包括但不限于：合同名称页、合同主要内容页、合同签订日期页、合同双方签字盖章页），未按要求提供或提供不清晰导致评委无法判断的不得分。</w:t>
            </w:r>
          </w:p>
        </w:tc>
        <w:tc>
          <w:tcPr>
            <w:tcW w:w="425"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5分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039" w:hRule="atLeast"/>
        </w:trPr>
        <w:tc>
          <w:tcPr>
            <w:tcW w:w="500" w:type="pct"/>
            <w:vMerge w:val="restar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w:t>
            </w:r>
          </w:p>
        </w:tc>
        <w:tc>
          <w:tcPr>
            <w:tcW w:w="842" w:type="pct"/>
            <w:tcBorders>
              <w:bottom w:val="single" w:color="auto" w:sz="4" w:space="0"/>
            </w:tcBorders>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投标人综合实力</w:t>
            </w:r>
          </w:p>
        </w:tc>
        <w:tc>
          <w:tcPr>
            <w:tcW w:w="3231" w:type="pct"/>
            <w:tcBorders>
              <w:bottom w:val="single" w:color="auto" w:sz="4" w:space="0"/>
            </w:tcBorders>
            <w:shd w:val="clear" w:color="auto" w:fill="auto"/>
            <w:vAlign w:val="center"/>
          </w:tcPr>
          <w:p>
            <w:pP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投标人</w:t>
            </w:r>
            <w:r>
              <w:rPr>
                <w:rFonts w:hint="eastAsia" w:ascii="宋体" w:hAnsi="宋体" w:eastAsia="宋体" w:cs="宋体"/>
                <w:b w:val="0"/>
                <w:bCs/>
                <w:color w:val="auto"/>
                <w:sz w:val="21"/>
                <w:szCs w:val="21"/>
                <w:highlight w:val="none"/>
              </w:rPr>
              <w:t>具有下列有效资质证书，</w:t>
            </w:r>
            <w:r>
              <w:rPr>
                <w:rFonts w:hint="eastAsia" w:ascii="宋体" w:hAnsi="宋体" w:eastAsia="宋体" w:cs="宋体"/>
                <w:b w:val="0"/>
                <w:bCs/>
                <w:color w:val="auto"/>
                <w:sz w:val="21"/>
                <w:szCs w:val="21"/>
                <w:highlight w:val="none"/>
                <w:lang w:val="en-US" w:eastAsia="zh-CN"/>
              </w:rPr>
              <w:t>满分10分，</w:t>
            </w:r>
            <w:r>
              <w:rPr>
                <w:rFonts w:hint="eastAsia" w:ascii="宋体" w:hAnsi="宋体" w:eastAsia="宋体" w:cs="宋体"/>
                <w:b w:val="0"/>
                <w:bCs/>
                <w:color w:val="auto"/>
                <w:sz w:val="21"/>
                <w:szCs w:val="21"/>
                <w:highlight w:val="none"/>
              </w:rPr>
              <w:t>每提供一个</w:t>
            </w:r>
            <w:r>
              <w:rPr>
                <w:rFonts w:hint="eastAsia" w:ascii="宋体" w:hAnsi="宋体" w:eastAsia="宋体" w:cs="宋体"/>
                <w:b w:val="0"/>
                <w:bCs/>
                <w:color w:val="auto"/>
                <w:sz w:val="21"/>
                <w:szCs w:val="21"/>
                <w:highlight w:val="none"/>
                <w:lang w:val="en-US" w:eastAsia="zh-CN"/>
              </w:rPr>
              <w:t>得</w:t>
            </w:r>
            <w:r>
              <w:rPr>
                <w:rFonts w:hint="eastAsia" w:ascii="宋体" w:hAnsi="宋体" w:eastAsia="宋体" w:cs="宋体"/>
                <w:b w:val="0"/>
                <w:bCs/>
                <w:color w:val="auto"/>
                <w:sz w:val="21"/>
                <w:szCs w:val="21"/>
                <w:highlight w:val="none"/>
              </w:rPr>
              <w:t>2分</w:t>
            </w:r>
            <w:r>
              <w:rPr>
                <w:rFonts w:hint="eastAsia" w:ascii="宋体" w:hAnsi="宋体" w:eastAsia="宋体" w:cs="宋体"/>
                <w:b w:val="0"/>
                <w:bCs/>
                <w:color w:val="auto"/>
                <w:sz w:val="21"/>
                <w:szCs w:val="21"/>
                <w:highlight w:val="none"/>
                <w:lang w:val="en-US" w:eastAsia="zh-CN"/>
              </w:rPr>
              <w:t>：</w:t>
            </w:r>
          </w:p>
          <w:p>
            <w:pP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w:t>
            </w:r>
            <w:r>
              <w:rPr>
                <w:rFonts w:hint="eastAsia" w:ascii="宋体" w:hAnsi="宋体" w:eastAsia="宋体" w:cs="宋体"/>
                <w:bCs/>
                <w:i w:val="0"/>
                <w:iCs w:val="0"/>
                <w:caps w:val="0"/>
                <w:color w:val="auto"/>
                <w:spacing w:val="0"/>
                <w:sz w:val="21"/>
                <w:szCs w:val="21"/>
                <w:highlight w:val="none"/>
                <w:shd w:val="clear" w:fill="auto"/>
              </w:rPr>
              <w:t>中国职业健康安全管理体系认证</w:t>
            </w:r>
          </w:p>
          <w:p>
            <w:pP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w:t>
            </w:r>
            <w:r>
              <w:rPr>
                <w:rFonts w:hint="eastAsia" w:ascii="宋体" w:hAnsi="宋体" w:eastAsia="宋体" w:cs="宋体"/>
                <w:bCs/>
                <w:i w:val="0"/>
                <w:iCs w:val="0"/>
                <w:caps w:val="0"/>
                <w:color w:val="auto"/>
                <w:spacing w:val="0"/>
                <w:sz w:val="21"/>
                <w:szCs w:val="21"/>
                <w:highlight w:val="none"/>
                <w:shd w:val="clear" w:fill="auto"/>
              </w:rPr>
              <w:t>环境管理体系认证</w:t>
            </w:r>
            <w:r>
              <w:rPr>
                <w:rFonts w:hint="eastAsia" w:ascii="宋体" w:hAnsi="宋体" w:eastAsia="宋体" w:cs="宋体"/>
                <w:b w:val="0"/>
                <w:bCs/>
                <w:color w:val="auto"/>
                <w:sz w:val="21"/>
                <w:szCs w:val="21"/>
                <w:highlight w:val="none"/>
                <w:lang w:val="en-US" w:eastAsia="zh-CN"/>
              </w:rPr>
              <w:t>；</w:t>
            </w:r>
          </w:p>
          <w:p>
            <w:pPr>
              <w:spacing w:line="360" w:lineRule="auto"/>
              <w:rPr>
                <w:rFonts w:hint="eastAsia" w:ascii="宋体" w:hAnsi="宋体" w:eastAsia="宋体" w:cs="宋体"/>
                <w:strike/>
                <w:dstrike w:val="0"/>
                <w:color w:val="auto"/>
                <w:sz w:val="21"/>
                <w:szCs w:val="21"/>
                <w:highlight w:val="none"/>
              </w:rPr>
            </w:pPr>
            <w:r>
              <w:rPr>
                <w:rFonts w:hint="eastAsia" w:ascii="宋体" w:hAnsi="宋体" w:eastAsia="宋体" w:cs="宋体"/>
                <w:b w:val="0"/>
                <w:bCs/>
                <w:color w:val="auto"/>
                <w:sz w:val="21"/>
                <w:szCs w:val="21"/>
                <w:highlight w:val="none"/>
                <w:lang w:val="en-US" w:eastAsia="zh-CN"/>
              </w:rPr>
              <w:t>3、建设施工行业质量管理体系认证。</w:t>
            </w:r>
          </w:p>
          <w:p>
            <w:pPr>
              <w:shd w:val="clear"/>
              <w:spacing w:line="360" w:lineRule="auto"/>
              <w:rPr>
                <w:rFonts w:hint="eastAsia" w:ascii="宋体" w:hAnsi="宋体" w:eastAsia="宋体" w:cs="宋体"/>
                <w:b w:val="0"/>
                <w:bCs/>
                <w:color w:val="auto"/>
                <w:sz w:val="21"/>
                <w:szCs w:val="21"/>
                <w:highlight w:val="none"/>
                <w:lang w:val="en-US" w:eastAsia="zh-CN"/>
              </w:rPr>
            </w:pPr>
            <w:r>
              <w:rPr>
                <w:rFonts w:hint="default" w:ascii="宋体" w:hAnsi="宋体" w:cs="宋体"/>
                <w:b w:val="0"/>
                <w:bCs/>
                <w:color w:val="auto"/>
                <w:sz w:val="21"/>
                <w:szCs w:val="21"/>
                <w:highlight w:val="none"/>
                <w:lang w:eastAsia="zh-CN"/>
              </w:rPr>
              <w:t>4</w:t>
            </w:r>
            <w:r>
              <w:rPr>
                <w:rFonts w:hint="eastAsia" w:ascii="宋体" w:hAnsi="宋体" w:eastAsia="宋体" w:cs="宋体"/>
                <w:b w:val="0"/>
                <w:bCs/>
                <w:color w:val="auto"/>
                <w:sz w:val="21"/>
                <w:szCs w:val="21"/>
                <w:highlight w:val="none"/>
                <w:shd w:val="clear" w:fill="FFFFFF" w:themeFill="background1"/>
                <w:lang w:val="en-US" w:eastAsia="zh-CN"/>
              </w:rPr>
              <w:t>、建筑装饰工程设计专项乙级</w:t>
            </w:r>
            <w:r>
              <w:rPr>
                <w:rFonts w:hint="eastAsia" w:ascii="宋体" w:hAnsi="宋体" w:cs="宋体"/>
                <w:b w:val="0"/>
                <w:bCs/>
                <w:color w:val="auto"/>
                <w:sz w:val="21"/>
                <w:szCs w:val="21"/>
                <w:highlight w:val="none"/>
                <w:shd w:val="clear" w:fill="FFFFFF" w:themeFill="background1"/>
                <w:lang w:val="en-US" w:eastAsia="zh-Hans"/>
              </w:rPr>
              <w:t>或以上资质</w:t>
            </w:r>
            <w:r>
              <w:rPr>
                <w:rFonts w:hint="eastAsia" w:ascii="宋体" w:hAnsi="宋体" w:eastAsia="宋体" w:cs="宋体"/>
                <w:b w:val="0"/>
                <w:bCs/>
                <w:color w:val="auto"/>
                <w:sz w:val="21"/>
                <w:szCs w:val="21"/>
                <w:highlight w:val="none"/>
                <w:shd w:val="clear" w:fill="FFFFFF" w:themeFill="background1"/>
                <w:lang w:val="en-US" w:eastAsia="zh-CN"/>
              </w:rPr>
              <w:t>；</w:t>
            </w:r>
          </w:p>
          <w:p>
            <w:pPr>
              <w:spacing w:line="360" w:lineRule="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评分依据：</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color w:val="auto"/>
                <w:kern w:val="2"/>
                <w:sz w:val="21"/>
                <w:szCs w:val="21"/>
                <w:highlight w:val="none"/>
                <w:lang w:val="en-US" w:eastAsia="zh-CN" w:bidi="ar-SA"/>
              </w:rPr>
              <w:t>以上资料均要求要求提供有效期内的认证证书扫描件（或官方网站截图）加盖投标人公章，第1、2、3项证书需要在全国认证信息公共服务平台（http://cx.cnca.cn）查询是否真实有效，第4、5项证书需要在全国建筑市场监督服务平台（http://jzsc.mohurd.gov.cn/）查询是否真实有效，出现无证明资料或专家无法凭所提供资料判断是否得分的情况，一律作不得分处理。</w:t>
            </w:r>
          </w:p>
        </w:tc>
        <w:tc>
          <w:tcPr>
            <w:tcW w:w="425" w:type="pct"/>
            <w:vMerge w:val="restar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default" w:ascii="宋体" w:hAnsi="宋体" w:cs="宋体"/>
                <w:b w:val="0"/>
                <w:bCs/>
                <w:color w:val="auto"/>
                <w:sz w:val="21"/>
                <w:szCs w:val="21"/>
                <w:highlight w:val="none"/>
                <w:lang w:eastAsia="zh-CN"/>
              </w:rPr>
              <w:t>8</w:t>
            </w:r>
            <w:r>
              <w:rPr>
                <w:rFonts w:hint="eastAsia" w:ascii="宋体" w:hAnsi="宋体" w:eastAsia="宋体" w:cs="宋体"/>
                <w:b w:val="0"/>
                <w:bCs/>
                <w:color w:val="auto"/>
                <w:sz w:val="21"/>
                <w:szCs w:val="21"/>
                <w:highlight w:val="none"/>
                <w:lang w:val="en-US" w:eastAsia="zh-CN"/>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883" w:hRule="atLeast"/>
        </w:trPr>
        <w:tc>
          <w:tcPr>
            <w:tcW w:w="500"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w:t>
            </w:r>
          </w:p>
        </w:tc>
        <w:tc>
          <w:tcPr>
            <w:tcW w:w="842"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拟投入本项目团队人员</w:t>
            </w:r>
          </w:p>
        </w:tc>
        <w:tc>
          <w:tcPr>
            <w:tcW w:w="3231" w:type="pct"/>
            <w:shd w:val="clear" w:color="auto" w:fill="auto"/>
            <w:vAlign w:val="center"/>
          </w:tcPr>
          <w:p>
            <w:pPr>
              <w:shd w:val="clea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拟投入本项目的人员配备（人员不能相互兼任）：</w:t>
            </w:r>
          </w:p>
          <w:p>
            <w:pPr>
              <w:shd w:val="clea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一、</w:t>
            </w:r>
            <w:r>
              <w:rPr>
                <w:rFonts w:hint="eastAsia" w:ascii="宋体" w:hAnsi="宋体" w:eastAsia="宋体" w:cs="宋体"/>
                <w:b w:val="0"/>
                <w:bCs/>
                <w:color w:val="auto"/>
                <w:sz w:val="21"/>
                <w:szCs w:val="21"/>
                <w:highlight w:val="none"/>
              </w:rPr>
              <w:t>拟委派的项目技术负责人</w:t>
            </w:r>
            <w:r>
              <w:rPr>
                <w:rFonts w:hint="eastAsia" w:ascii="宋体" w:hAnsi="宋体" w:eastAsia="宋体" w:cs="宋体"/>
                <w:b w:val="0"/>
                <w:bCs/>
                <w:color w:val="auto"/>
                <w:sz w:val="21"/>
                <w:szCs w:val="21"/>
                <w:highlight w:val="none"/>
                <w:lang w:val="en-US" w:eastAsia="zh-CN"/>
              </w:rPr>
              <w:t>：</w:t>
            </w:r>
          </w:p>
          <w:p>
            <w:pPr>
              <w:shd w:val="clear"/>
              <w:spacing w:line="360" w:lineRule="auto"/>
              <w:rPr>
                <w:rFonts w:hint="eastAsia" w:ascii="宋体" w:hAnsi="宋体" w:eastAsia="宋体" w:cs="宋体"/>
                <w:color w:val="auto"/>
                <w:sz w:val="21"/>
                <w:szCs w:val="21"/>
                <w:highlight w:val="none"/>
                <w:lang w:val="en-US"/>
              </w:rPr>
            </w:pPr>
            <w:r>
              <w:rPr>
                <w:rFonts w:hint="eastAsia" w:ascii="宋体" w:hAnsi="宋体" w:eastAsia="宋体" w:cs="宋体"/>
                <w:b w:val="0"/>
                <w:bCs/>
                <w:color w:val="auto"/>
                <w:sz w:val="21"/>
                <w:szCs w:val="21"/>
                <w:highlight w:val="none"/>
                <w:lang w:val="en-US" w:eastAsia="zh-CN"/>
              </w:rPr>
              <w:t>具有国家建筑工程类</w:t>
            </w:r>
            <w:r>
              <w:rPr>
                <w:rFonts w:hint="eastAsia" w:ascii="宋体" w:hAnsi="宋体" w:cs="宋体"/>
                <w:b w:val="0"/>
                <w:bCs/>
                <w:color w:val="auto"/>
                <w:sz w:val="21"/>
                <w:szCs w:val="21"/>
                <w:highlight w:val="none"/>
                <w:lang w:val="en-US" w:eastAsia="zh-Hans"/>
              </w:rPr>
              <w:t>贰</w:t>
            </w:r>
            <w:r>
              <w:rPr>
                <w:rFonts w:hint="eastAsia" w:ascii="宋体" w:hAnsi="宋体" w:eastAsia="宋体" w:cs="宋体"/>
                <w:b w:val="0"/>
                <w:bCs/>
                <w:color w:val="auto"/>
                <w:sz w:val="21"/>
                <w:szCs w:val="21"/>
                <w:highlight w:val="none"/>
                <w:lang w:val="en-US" w:eastAsia="zh-CN"/>
              </w:rPr>
              <w:t>级</w:t>
            </w:r>
            <w:r>
              <w:rPr>
                <w:rFonts w:hint="eastAsia" w:ascii="宋体" w:hAnsi="宋体" w:cs="宋体"/>
                <w:b w:val="0"/>
                <w:bCs/>
                <w:color w:val="auto"/>
                <w:sz w:val="21"/>
                <w:szCs w:val="21"/>
                <w:highlight w:val="none"/>
                <w:lang w:val="en-US" w:eastAsia="zh-Hans"/>
              </w:rPr>
              <w:t>或以上</w:t>
            </w:r>
            <w:r>
              <w:rPr>
                <w:rFonts w:hint="eastAsia" w:ascii="宋体" w:hAnsi="宋体" w:eastAsia="宋体" w:cs="宋体"/>
                <w:b w:val="0"/>
                <w:bCs/>
                <w:color w:val="auto"/>
                <w:sz w:val="21"/>
                <w:szCs w:val="21"/>
                <w:highlight w:val="none"/>
                <w:lang w:val="en-US" w:eastAsia="zh-CN"/>
              </w:rPr>
              <w:t>建造师注册证书；（满足得3分）</w:t>
            </w:r>
          </w:p>
          <w:p>
            <w:pP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二、</w:t>
            </w:r>
            <w:r>
              <w:rPr>
                <w:rFonts w:hint="eastAsia" w:ascii="宋体" w:hAnsi="宋体" w:eastAsia="宋体" w:cs="宋体"/>
                <w:b w:val="0"/>
                <w:bCs/>
                <w:color w:val="auto"/>
                <w:sz w:val="21"/>
                <w:szCs w:val="21"/>
                <w:highlight w:val="none"/>
              </w:rPr>
              <w:t>拟委派的</w:t>
            </w:r>
            <w:r>
              <w:rPr>
                <w:rFonts w:hint="eastAsia" w:ascii="宋体" w:hAnsi="宋体" w:eastAsia="宋体" w:cs="宋体"/>
                <w:b w:val="0"/>
                <w:bCs/>
                <w:color w:val="auto"/>
                <w:sz w:val="21"/>
                <w:szCs w:val="21"/>
                <w:highlight w:val="none"/>
                <w:lang w:val="en-US" w:eastAsia="zh-CN"/>
              </w:rPr>
              <w:t>其他人员</w:t>
            </w:r>
          </w:p>
          <w:p>
            <w:pPr>
              <w:spacing w:line="36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rPr>
              <w:t>质量员、施工员、资料员各1名，且都有</w:t>
            </w:r>
            <w:r>
              <w:rPr>
                <w:rFonts w:hint="eastAsia" w:ascii="宋体" w:hAnsi="宋体" w:eastAsia="宋体" w:cs="宋体"/>
                <w:b w:val="0"/>
                <w:bCs/>
                <w:color w:val="auto"/>
                <w:sz w:val="21"/>
                <w:szCs w:val="21"/>
                <w:highlight w:val="none"/>
                <w:lang w:val="en-US" w:eastAsia="zh-CN"/>
              </w:rPr>
              <w:t>装饰装修类</w:t>
            </w:r>
            <w:r>
              <w:rPr>
                <w:rFonts w:hint="eastAsia" w:ascii="宋体" w:hAnsi="宋体" w:eastAsia="宋体" w:cs="宋体"/>
                <w:b w:val="0"/>
                <w:bCs/>
                <w:color w:val="auto"/>
                <w:sz w:val="21"/>
                <w:szCs w:val="21"/>
                <w:highlight w:val="none"/>
              </w:rPr>
              <w:t>职称</w:t>
            </w:r>
            <w:r>
              <w:rPr>
                <w:rFonts w:hint="eastAsia" w:ascii="宋体" w:hAnsi="宋体" w:eastAsia="宋体" w:cs="宋体"/>
                <w:b w:val="0"/>
                <w:bCs/>
                <w:color w:val="auto"/>
                <w:sz w:val="21"/>
                <w:szCs w:val="21"/>
                <w:highlight w:val="none"/>
                <w:lang w:val="en-US" w:eastAsia="zh-CN"/>
              </w:rPr>
              <w:t>或认证</w:t>
            </w:r>
            <w:r>
              <w:rPr>
                <w:rFonts w:hint="eastAsia" w:ascii="宋体" w:hAnsi="宋体" w:eastAsia="宋体" w:cs="宋体"/>
                <w:b w:val="0"/>
                <w:bCs/>
                <w:color w:val="auto"/>
                <w:sz w:val="21"/>
                <w:szCs w:val="21"/>
                <w:highlight w:val="none"/>
              </w:rPr>
              <w:t>证</w:t>
            </w:r>
            <w:r>
              <w:rPr>
                <w:rFonts w:hint="eastAsia" w:ascii="宋体" w:hAnsi="宋体" w:eastAsia="宋体" w:cs="宋体"/>
                <w:b w:val="0"/>
                <w:bCs/>
                <w:color w:val="auto"/>
                <w:sz w:val="21"/>
                <w:szCs w:val="21"/>
                <w:highlight w:val="none"/>
                <w:lang w:val="en-US" w:eastAsia="zh-CN"/>
              </w:rPr>
              <w:t>书；全部满足得3分，每不满足一项扣1分。</w:t>
            </w:r>
          </w:p>
          <w:p>
            <w:pPr>
              <w:spacing w:line="360" w:lineRule="auto"/>
              <w:rPr>
                <w:rFonts w:hint="eastAsia" w:ascii="宋体" w:hAnsi="宋体" w:eastAsia="宋体" w:cs="宋体"/>
                <w:b w:val="0"/>
                <w:bCs/>
                <w:color w:val="auto"/>
                <w:sz w:val="21"/>
                <w:szCs w:val="21"/>
                <w:highlight w:val="none"/>
                <w:lang w:eastAsia="zh-CN"/>
              </w:rPr>
            </w:pPr>
            <w:r>
              <w:rPr>
                <w:rFonts w:hint="eastAsia" w:ascii="宋体" w:hAnsi="宋体" w:eastAsia="宋体" w:cs="宋体"/>
                <w:b/>
                <w:bCs w:val="0"/>
                <w:color w:val="auto"/>
                <w:sz w:val="21"/>
                <w:szCs w:val="21"/>
                <w:highlight w:val="none"/>
              </w:rPr>
              <w:t xml:space="preserve">评分依据： </w:t>
            </w:r>
          </w:p>
          <w:p>
            <w:pPr>
              <w:numPr>
                <w:ilvl w:val="0"/>
                <w:numId w:val="0"/>
              </w:numPr>
              <w:wordWrap w:val="0"/>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资质证书</w:t>
            </w:r>
            <w:r>
              <w:rPr>
                <w:rFonts w:hint="eastAsia" w:ascii="宋体" w:hAnsi="宋体" w:eastAsia="宋体" w:cs="宋体"/>
                <w:color w:val="auto"/>
                <w:sz w:val="21"/>
                <w:szCs w:val="21"/>
                <w:highlight w:val="none"/>
              </w:rPr>
              <w:t>扫描件（或官方网站截图）加盖投标人公章，拟</w:t>
            </w:r>
            <w:r>
              <w:rPr>
                <w:rFonts w:hint="eastAsia" w:ascii="宋体" w:hAnsi="宋体" w:eastAsia="宋体" w:cs="宋体"/>
                <w:b w:val="0"/>
                <w:color w:val="auto"/>
                <w:kern w:val="2"/>
                <w:sz w:val="21"/>
                <w:szCs w:val="21"/>
                <w:highlight w:val="none"/>
                <w:lang w:val="en-US" w:eastAsia="zh-CN" w:bidi="ar-SA"/>
              </w:rPr>
              <w:t>委派的项目技术负责人证书需要在全国建筑市场监督服务平台（http://jzsc.mohurd.gov.cn/）查询是否真实有效，</w:t>
            </w:r>
            <w:r>
              <w:rPr>
                <w:rFonts w:hint="eastAsia" w:ascii="宋体" w:hAnsi="宋体" w:eastAsia="宋体" w:cs="宋体"/>
                <w:color w:val="auto"/>
                <w:sz w:val="21"/>
                <w:szCs w:val="21"/>
                <w:highlight w:val="none"/>
              </w:rPr>
              <w:t>出现无证明资料或专家无法凭所提供资料判断是否得分的情况，一律作不得分处理。</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val="en-US" w:eastAsia="zh-CN"/>
              </w:rPr>
              <w:t>2、提供2022年度近3个月内任意一个月投标人为其购买社保的证明资料复印件，无或未按要求提供上述材料的不得分。</w:t>
            </w:r>
          </w:p>
        </w:tc>
        <w:tc>
          <w:tcPr>
            <w:tcW w:w="425"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6分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883" w:hRule="atLeast"/>
        </w:trPr>
        <w:tc>
          <w:tcPr>
            <w:tcW w:w="500"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4</w:t>
            </w:r>
          </w:p>
        </w:tc>
        <w:tc>
          <w:tcPr>
            <w:tcW w:w="842"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lang w:eastAsia="zh-CN"/>
              </w:rPr>
              <w:t>企业荣誉</w:t>
            </w:r>
          </w:p>
        </w:tc>
        <w:tc>
          <w:tcPr>
            <w:tcW w:w="3231" w:type="pct"/>
            <w:shd w:val="clear" w:color="auto" w:fill="auto"/>
            <w:vAlign w:val="center"/>
          </w:tcPr>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投标人近年(2018年1月1日至本项目投标截止时间前）所获得的</w:t>
            </w:r>
            <w:r>
              <w:rPr>
                <w:rFonts w:hint="eastAsia" w:ascii="宋体" w:hAnsi="宋体" w:cs="宋体"/>
                <w:b w:val="0"/>
                <w:bCs/>
                <w:color w:val="auto"/>
                <w:sz w:val="21"/>
                <w:szCs w:val="21"/>
                <w:highlight w:val="none"/>
                <w:lang w:val="en-US" w:eastAsia="zh-Hans"/>
              </w:rPr>
              <w:t>行业</w:t>
            </w:r>
            <w:r>
              <w:rPr>
                <w:rFonts w:hint="eastAsia" w:ascii="宋体" w:hAnsi="宋体" w:eastAsia="宋体" w:cs="宋体"/>
                <w:b w:val="0"/>
                <w:bCs/>
                <w:color w:val="auto"/>
                <w:sz w:val="21"/>
                <w:szCs w:val="21"/>
                <w:highlight w:val="none"/>
              </w:rPr>
              <w:t>荣誉或奖励，每提供一个得</w:t>
            </w:r>
            <w:r>
              <w:rPr>
                <w:rFonts w:hint="eastAsia" w:ascii="宋体" w:hAnsi="宋体" w:eastAsia="宋体" w:cs="宋体"/>
                <w:b w:val="0"/>
                <w:bCs/>
                <w:color w:val="auto"/>
                <w:sz w:val="21"/>
                <w:szCs w:val="21"/>
                <w:highlight w:val="none"/>
                <w:lang w:val="en-US" w:eastAsia="zh-CN"/>
              </w:rPr>
              <w:t>1</w:t>
            </w:r>
            <w:r>
              <w:rPr>
                <w:rFonts w:hint="eastAsia" w:ascii="宋体" w:hAnsi="宋体" w:eastAsia="宋体" w:cs="宋体"/>
                <w:b w:val="0"/>
                <w:bCs/>
                <w:color w:val="auto"/>
                <w:sz w:val="21"/>
                <w:szCs w:val="21"/>
                <w:highlight w:val="none"/>
              </w:rPr>
              <w:t>分，最多得</w:t>
            </w:r>
            <w:r>
              <w:rPr>
                <w:rFonts w:hint="default" w:ascii="宋体" w:hAnsi="宋体" w:cs="宋体"/>
                <w:b w:val="0"/>
                <w:bCs/>
                <w:color w:val="auto"/>
                <w:sz w:val="21"/>
                <w:szCs w:val="21"/>
                <w:highlight w:val="none"/>
              </w:rPr>
              <w:t>3</w:t>
            </w:r>
            <w:r>
              <w:rPr>
                <w:rFonts w:hint="eastAsia" w:ascii="宋体" w:hAnsi="宋体" w:eastAsia="宋体" w:cs="宋体"/>
                <w:b w:val="0"/>
                <w:bCs/>
                <w:color w:val="auto"/>
                <w:sz w:val="21"/>
                <w:szCs w:val="21"/>
                <w:highlight w:val="none"/>
              </w:rPr>
              <w:t>分。</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证明文件：</w:t>
            </w:r>
          </w:p>
          <w:p>
            <w:pPr>
              <w:spacing w:line="360"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提供有效的证书复印件加盖公章，否则不得分，未按要求提供或提供不清晰导致评委无法判断的不得分。</w:t>
            </w:r>
          </w:p>
        </w:tc>
        <w:tc>
          <w:tcPr>
            <w:tcW w:w="425"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default" w:ascii="宋体" w:hAnsi="宋体" w:cs="宋体"/>
                <w:b w:val="0"/>
                <w:bCs/>
                <w:color w:val="auto"/>
                <w:sz w:val="21"/>
                <w:szCs w:val="21"/>
                <w:highlight w:val="none"/>
              </w:rPr>
              <w:t>3</w:t>
            </w:r>
            <w:r>
              <w:rPr>
                <w:rFonts w:hint="eastAsia" w:ascii="宋体" w:hAnsi="宋体" w:eastAsia="宋体" w:cs="宋体"/>
                <w:b w:val="0"/>
                <w:bCs/>
                <w:color w:val="auto"/>
                <w:sz w:val="21"/>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883" w:hRule="atLeast"/>
        </w:trPr>
        <w:tc>
          <w:tcPr>
            <w:tcW w:w="500"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5</w:t>
            </w:r>
          </w:p>
        </w:tc>
        <w:tc>
          <w:tcPr>
            <w:tcW w:w="842"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售后服务能力</w:t>
            </w:r>
          </w:p>
        </w:tc>
        <w:tc>
          <w:tcPr>
            <w:tcW w:w="3231" w:type="pct"/>
            <w:shd w:val="clear" w:color="auto" w:fill="auto"/>
            <w:vAlign w:val="center"/>
          </w:tcPr>
          <w:p>
            <w:pPr>
              <w:spacing w:line="360" w:lineRule="auto"/>
              <w:jc w:val="left"/>
              <w:rPr>
                <w:rStyle w:val="351"/>
                <w:rFonts w:hint="eastAsia" w:ascii="宋体" w:hAnsi="宋体" w:eastAsia="宋体" w:cs="宋体"/>
                <w:color w:val="auto"/>
                <w:sz w:val="21"/>
                <w:szCs w:val="21"/>
                <w:highlight w:val="none"/>
                <w:lang w:val="en-US" w:eastAsia="zh-CN"/>
              </w:rPr>
            </w:pPr>
            <w:r>
              <w:rPr>
                <w:rStyle w:val="351"/>
                <w:rFonts w:hint="eastAsia" w:ascii="宋体" w:hAnsi="宋体" w:eastAsia="宋体" w:cs="宋体"/>
                <w:color w:val="auto"/>
                <w:sz w:val="21"/>
                <w:szCs w:val="21"/>
                <w:highlight w:val="none"/>
                <w:lang w:val="en-US" w:eastAsia="zh-CN"/>
              </w:rPr>
              <w:t>根据投标人提供的供货保障方案（包括但不限于安装</w:t>
            </w:r>
            <w:r>
              <w:rPr>
                <w:rStyle w:val="351"/>
                <w:rFonts w:hint="eastAsia" w:ascii="宋体" w:hAnsi="宋体" w:eastAsia="宋体" w:cs="宋体"/>
                <w:color w:val="auto"/>
                <w:sz w:val="21"/>
                <w:szCs w:val="21"/>
                <w:highlight w:val="none"/>
                <w:lang w:val="en-US" w:eastAsia="zh-Hans"/>
              </w:rPr>
              <w:t>实施计划</w:t>
            </w:r>
            <w:r>
              <w:rPr>
                <w:rStyle w:val="351"/>
                <w:rFonts w:hint="eastAsia" w:ascii="宋体" w:hAnsi="宋体" w:eastAsia="宋体" w:cs="宋体"/>
                <w:color w:val="auto"/>
                <w:sz w:val="21"/>
                <w:szCs w:val="21"/>
                <w:highlight w:val="none"/>
                <w:lang w:val="en-US" w:eastAsia="zh-CN"/>
              </w:rPr>
              <w:t>及方案、交货期的保障等情况）及售后质保服务方案进行评审：</w:t>
            </w:r>
          </w:p>
          <w:p>
            <w:pPr>
              <w:numPr>
                <w:ilvl w:val="0"/>
                <w:numId w:val="23"/>
              </w:numPr>
              <w:spacing w:line="360" w:lineRule="auto"/>
              <w:jc w:val="left"/>
              <w:rPr>
                <w:rStyle w:val="351"/>
                <w:rFonts w:hint="eastAsia" w:ascii="宋体" w:hAnsi="宋体" w:eastAsia="宋体" w:cs="宋体"/>
                <w:color w:val="auto"/>
                <w:sz w:val="21"/>
                <w:szCs w:val="21"/>
                <w:highlight w:val="none"/>
                <w:lang w:val="en-US" w:eastAsia="zh-CN"/>
              </w:rPr>
            </w:pPr>
            <w:r>
              <w:rPr>
                <w:rStyle w:val="351"/>
                <w:rFonts w:hint="eastAsia" w:ascii="宋体" w:hAnsi="宋体" w:eastAsia="宋体" w:cs="宋体"/>
                <w:color w:val="auto"/>
                <w:sz w:val="21"/>
                <w:szCs w:val="21"/>
                <w:highlight w:val="none"/>
                <w:lang w:val="en-US" w:eastAsia="zh-CN"/>
              </w:rPr>
              <w:t>方案详细具体，科学合理，切实可行，具有针对性，得</w:t>
            </w:r>
            <w:r>
              <w:rPr>
                <w:rStyle w:val="351"/>
                <w:rFonts w:hint="default" w:ascii="宋体" w:hAnsi="宋体" w:cs="宋体"/>
                <w:color w:val="auto"/>
                <w:sz w:val="21"/>
                <w:szCs w:val="21"/>
                <w:highlight w:val="none"/>
                <w:lang w:eastAsia="zh-CN"/>
              </w:rPr>
              <w:t>8</w:t>
            </w:r>
            <w:r>
              <w:rPr>
                <w:rStyle w:val="351"/>
                <w:rFonts w:hint="eastAsia" w:ascii="宋体" w:hAnsi="宋体" w:eastAsia="宋体" w:cs="宋体"/>
                <w:color w:val="auto"/>
                <w:sz w:val="21"/>
                <w:szCs w:val="21"/>
                <w:highlight w:val="none"/>
                <w:lang w:val="en-US" w:eastAsia="zh-CN"/>
              </w:rPr>
              <w:t>分；</w:t>
            </w:r>
          </w:p>
          <w:p>
            <w:pPr>
              <w:numPr>
                <w:ilvl w:val="0"/>
                <w:numId w:val="23"/>
              </w:numPr>
              <w:spacing w:line="360" w:lineRule="auto"/>
              <w:ind w:left="0" w:leftChars="0" w:firstLine="0" w:firstLineChars="0"/>
              <w:jc w:val="left"/>
              <w:rPr>
                <w:rStyle w:val="351"/>
                <w:rFonts w:hint="eastAsia" w:ascii="宋体" w:hAnsi="宋体" w:eastAsia="宋体" w:cs="宋体"/>
                <w:color w:val="auto"/>
                <w:sz w:val="21"/>
                <w:szCs w:val="21"/>
                <w:highlight w:val="none"/>
                <w:lang w:val="en-US" w:eastAsia="zh-CN"/>
              </w:rPr>
            </w:pPr>
            <w:r>
              <w:rPr>
                <w:rStyle w:val="351"/>
                <w:rFonts w:hint="eastAsia" w:ascii="宋体" w:hAnsi="宋体" w:eastAsia="宋体" w:cs="宋体"/>
                <w:color w:val="auto"/>
                <w:sz w:val="21"/>
                <w:szCs w:val="21"/>
                <w:highlight w:val="none"/>
                <w:lang w:val="en-US" w:eastAsia="zh-CN"/>
              </w:rPr>
              <w:t>方案较为完整，较有针对性，得</w:t>
            </w:r>
            <w:r>
              <w:rPr>
                <w:rStyle w:val="351"/>
                <w:rFonts w:hint="default" w:ascii="宋体" w:hAnsi="宋体" w:cs="宋体"/>
                <w:color w:val="auto"/>
                <w:sz w:val="21"/>
                <w:szCs w:val="21"/>
                <w:highlight w:val="none"/>
                <w:lang w:eastAsia="zh-CN"/>
              </w:rPr>
              <w:t>5</w:t>
            </w:r>
            <w:r>
              <w:rPr>
                <w:rStyle w:val="351"/>
                <w:rFonts w:hint="eastAsia" w:ascii="宋体" w:hAnsi="宋体" w:eastAsia="宋体" w:cs="宋体"/>
                <w:color w:val="auto"/>
                <w:sz w:val="21"/>
                <w:szCs w:val="21"/>
                <w:highlight w:val="none"/>
                <w:lang w:val="en-US" w:eastAsia="zh-CN"/>
              </w:rPr>
              <w:t>分；</w:t>
            </w:r>
          </w:p>
          <w:p>
            <w:pPr>
              <w:spacing w:line="360" w:lineRule="auto"/>
              <w:rPr>
                <w:rFonts w:hint="eastAsia" w:ascii="宋体" w:hAnsi="宋体" w:eastAsia="宋体" w:cs="宋体"/>
                <w:b w:val="0"/>
                <w:bCs/>
                <w:color w:val="auto"/>
                <w:sz w:val="21"/>
                <w:szCs w:val="21"/>
                <w:highlight w:val="none"/>
              </w:rPr>
            </w:pPr>
            <w:r>
              <w:rPr>
                <w:rStyle w:val="351"/>
                <w:rFonts w:hint="eastAsia" w:ascii="宋体" w:hAnsi="宋体" w:eastAsia="宋体" w:cs="宋体"/>
                <w:color w:val="auto"/>
                <w:sz w:val="21"/>
                <w:szCs w:val="21"/>
                <w:highlight w:val="none"/>
                <w:lang w:val="en-US" w:eastAsia="zh-CN"/>
              </w:rPr>
              <w:t>3）方案杂乱无章、敷衍了事，明显不具有可行性，得</w:t>
            </w:r>
            <w:r>
              <w:rPr>
                <w:rStyle w:val="351"/>
                <w:rFonts w:hint="default" w:ascii="宋体" w:hAnsi="宋体" w:cs="宋体"/>
                <w:color w:val="auto"/>
                <w:sz w:val="21"/>
                <w:szCs w:val="21"/>
                <w:highlight w:val="none"/>
                <w:lang w:eastAsia="zh-CN"/>
              </w:rPr>
              <w:t>1</w:t>
            </w:r>
            <w:r>
              <w:rPr>
                <w:rStyle w:val="351"/>
                <w:rFonts w:hint="eastAsia" w:ascii="宋体" w:hAnsi="宋体" w:eastAsia="宋体" w:cs="宋体"/>
                <w:color w:val="auto"/>
                <w:sz w:val="21"/>
                <w:szCs w:val="21"/>
                <w:highlight w:val="none"/>
                <w:lang w:val="en-US" w:eastAsia="zh-CN"/>
              </w:rPr>
              <w:t>分。</w:t>
            </w:r>
            <w:r>
              <w:rPr>
                <w:rStyle w:val="351"/>
                <w:rFonts w:hint="eastAsia" w:ascii="宋体" w:hAnsi="宋体" w:eastAsia="宋体" w:cs="宋体"/>
                <w:color w:val="auto"/>
                <w:sz w:val="21"/>
                <w:szCs w:val="21"/>
                <w:highlight w:val="none"/>
                <w:lang w:val="en-US" w:eastAsia="zh-CN"/>
              </w:rPr>
              <w:br w:type="textWrapping"/>
            </w:r>
            <w:r>
              <w:rPr>
                <w:rStyle w:val="351"/>
                <w:rFonts w:hint="eastAsia" w:ascii="宋体" w:hAnsi="宋体" w:eastAsia="宋体" w:cs="宋体"/>
                <w:color w:val="auto"/>
                <w:sz w:val="21"/>
                <w:szCs w:val="21"/>
                <w:highlight w:val="none"/>
                <w:lang w:val="en-US" w:eastAsia="zh-CN"/>
              </w:rPr>
              <w:t>4）不提供不得分。</w:t>
            </w:r>
          </w:p>
        </w:tc>
        <w:tc>
          <w:tcPr>
            <w:tcW w:w="425" w:type="pct"/>
            <w:shd w:val="clear" w:color="auto" w:fill="auto"/>
            <w:vAlign w:val="center"/>
          </w:tcPr>
          <w:p>
            <w:pPr>
              <w:spacing w:line="360" w:lineRule="auto"/>
              <w:jc w:val="center"/>
              <w:rPr>
                <w:rFonts w:hint="eastAsia" w:ascii="宋体" w:hAnsi="宋体" w:eastAsia="宋体" w:cs="宋体"/>
                <w:b w:val="0"/>
                <w:bCs/>
                <w:color w:val="auto"/>
                <w:sz w:val="21"/>
                <w:szCs w:val="21"/>
                <w:highlight w:val="none"/>
                <w:lang w:val="en-US" w:eastAsia="zh-CN"/>
              </w:rPr>
            </w:pPr>
            <w:r>
              <w:rPr>
                <w:rFonts w:hint="default" w:ascii="宋体" w:hAnsi="宋体" w:cs="宋体"/>
                <w:b w:val="0"/>
                <w:bCs/>
                <w:color w:val="auto"/>
                <w:sz w:val="21"/>
                <w:szCs w:val="21"/>
                <w:highlight w:val="none"/>
                <w:lang w:eastAsia="zh-CN"/>
              </w:rPr>
              <w:t>8</w:t>
            </w:r>
            <w:r>
              <w:rPr>
                <w:rFonts w:hint="eastAsia" w:ascii="宋体" w:hAnsi="宋体" w:eastAsia="宋体" w:cs="宋体"/>
                <w:b w:val="0"/>
                <w:bCs/>
                <w:color w:val="auto"/>
                <w:sz w:val="21"/>
                <w:szCs w:val="21"/>
                <w:highlight w:val="none"/>
                <w:lang w:val="en-US" w:eastAsia="zh-CN"/>
              </w:rPr>
              <w:t>分</w:t>
            </w:r>
          </w:p>
        </w:tc>
      </w:tr>
    </w:tbl>
    <w:p>
      <w:pPr>
        <w:spacing w:line="360" w:lineRule="auto"/>
        <w:rPr>
          <w:rFonts w:hint="default" w:ascii="宋体" w:hAnsi="宋体" w:eastAsia="宋体"/>
          <w:b/>
          <w:color w:val="auto"/>
          <w:highlight w:val="none"/>
          <w:lang w:val="en-US" w:eastAsia="zh-CN"/>
        </w:rPr>
      </w:pPr>
      <w:r>
        <w:rPr>
          <w:rFonts w:hint="eastAsia" w:ascii="宋体" w:hAnsi="宋体"/>
          <w:b/>
          <w:color w:val="auto"/>
          <w:highlight w:val="none"/>
          <w:lang w:val="en-US" w:eastAsia="zh-CN"/>
        </w:rPr>
        <w:t>技术评分表细则</w:t>
      </w:r>
    </w:p>
    <w:tbl>
      <w:tblPr>
        <w:tblStyle w:val="52"/>
        <w:tblW w:w="9687" w:type="dxa"/>
        <w:tblInd w:w="-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7"/>
        <w:gridCol w:w="1653"/>
        <w:gridCol w:w="6217"/>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967" w:type="dxa"/>
            <w:noWrap w:val="0"/>
            <w:vAlign w:val="center"/>
          </w:tcPr>
          <w:p>
            <w:pPr>
              <w:pStyle w:val="2"/>
              <w:spacing w:line="360" w:lineRule="auto"/>
              <w:jc w:val="center"/>
              <w:rPr>
                <w:rFonts w:hint="eastAsia" w:ascii="宋体" w:hAnsi="宋体"/>
                <w:b/>
                <w:color w:val="auto"/>
                <w:sz w:val="21"/>
                <w:szCs w:val="21"/>
                <w:highlight w:val="none"/>
              </w:rPr>
            </w:pPr>
            <w:r>
              <w:rPr>
                <w:rFonts w:hint="eastAsia" w:ascii="宋体" w:hAnsi="宋体"/>
                <w:b/>
                <w:color w:val="auto"/>
                <w:sz w:val="21"/>
                <w:szCs w:val="21"/>
                <w:highlight w:val="none"/>
              </w:rPr>
              <w:t>序号</w:t>
            </w:r>
          </w:p>
        </w:tc>
        <w:tc>
          <w:tcPr>
            <w:tcW w:w="1653" w:type="dxa"/>
            <w:noWrap w:val="0"/>
            <w:vAlign w:val="center"/>
          </w:tcPr>
          <w:p>
            <w:pPr>
              <w:pStyle w:val="2"/>
              <w:spacing w:line="360" w:lineRule="auto"/>
              <w:jc w:val="center"/>
              <w:rPr>
                <w:rFonts w:hint="eastAsia" w:ascii="宋体" w:hAnsi="宋体"/>
                <w:b/>
                <w:color w:val="auto"/>
                <w:sz w:val="21"/>
                <w:szCs w:val="21"/>
                <w:highlight w:val="none"/>
                <w:lang w:val="en-US" w:eastAsia="zh-CN"/>
              </w:rPr>
            </w:pPr>
            <w:r>
              <w:rPr>
                <w:rFonts w:hint="eastAsia" w:ascii="宋体" w:hAnsi="宋体"/>
                <w:b/>
                <w:color w:val="auto"/>
                <w:sz w:val="21"/>
                <w:szCs w:val="21"/>
                <w:highlight w:val="none"/>
              </w:rPr>
              <w:t>评审</w:t>
            </w:r>
            <w:r>
              <w:rPr>
                <w:rFonts w:hint="eastAsia" w:ascii="宋体" w:hAnsi="宋体"/>
                <w:b/>
                <w:color w:val="auto"/>
                <w:sz w:val="21"/>
                <w:szCs w:val="21"/>
                <w:highlight w:val="none"/>
                <w:lang w:val="en-US" w:eastAsia="zh-CN"/>
              </w:rPr>
              <w:t>项</w:t>
            </w:r>
          </w:p>
        </w:tc>
        <w:tc>
          <w:tcPr>
            <w:tcW w:w="6217" w:type="dxa"/>
            <w:tcBorders>
              <w:left w:val="single" w:color="auto" w:sz="4" w:space="0"/>
            </w:tcBorders>
            <w:noWrap w:val="0"/>
            <w:vAlign w:val="center"/>
          </w:tcPr>
          <w:p>
            <w:pPr>
              <w:pStyle w:val="2"/>
              <w:spacing w:line="360" w:lineRule="auto"/>
              <w:jc w:val="center"/>
              <w:rPr>
                <w:rFonts w:hint="eastAsia" w:ascii="宋体" w:hAnsi="宋体"/>
                <w:b/>
                <w:color w:val="auto"/>
                <w:sz w:val="21"/>
                <w:szCs w:val="21"/>
                <w:highlight w:val="none"/>
              </w:rPr>
            </w:pPr>
            <w:r>
              <w:rPr>
                <w:rFonts w:hint="eastAsia" w:ascii="宋体" w:hAnsi="宋体"/>
                <w:b/>
                <w:color w:val="auto"/>
                <w:sz w:val="21"/>
                <w:szCs w:val="21"/>
                <w:highlight w:val="none"/>
              </w:rPr>
              <w:t>评分细则</w:t>
            </w:r>
          </w:p>
        </w:tc>
        <w:tc>
          <w:tcPr>
            <w:tcW w:w="850" w:type="dxa"/>
            <w:tcBorders>
              <w:left w:val="single" w:color="auto" w:sz="4" w:space="0"/>
            </w:tcBorders>
            <w:noWrap w:val="0"/>
            <w:vAlign w:val="center"/>
          </w:tcPr>
          <w:p>
            <w:pPr>
              <w:pStyle w:val="2"/>
              <w:spacing w:line="360" w:lineRule="auto"/>
              <w:jc w:val="center"/>
              <w:rPr>
                <w:rFonts w:hint="eastAsia" w:ascii="宋体" w:hAnsi="宋体"/>
                <w:b/>
                <w:color w:val="auto"/>
                <w:sz w:val="21"/>
                <w:szCs w:val="21"/>
                <w:highlight w:val="none"/>
              </w:rPr>
            </w:pPr>
            <w:r>
              <w:rPr>
                <w:rFonts w:hint="eastAsia" w:ascii="宋体" w:hAnsi="宋体"/>
                <w:b/>
                <w:color w:val="auto"/>
                <w:sz w:val="21"/>
                <w:szCs w:val="21"/>
                <w:highlight w:val="none"/>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967" w:type="dxa"/>
            <w:tcBorders>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rPr>
              <w:t>1</w:t>
            </w:r>
          </w:p>
        </w:tc>
        <w:tc>
          <w:tcPr>
            <w:tcW w:w="1653" w:type="dxa"/>
            <w:tcBorders>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施工</w:t>
            </w:r>
            <w:r>
              <w:rPr>
                <w:rFonts w:hint="eastAsia" w:ascii="宋体" w:hAnsi="宋体"/>
                <w:b w:val="0"/>
                <w:bCs/>
                <w:color w:val="auto"/>
                <w:sz w:val="21"/>
                <w:szCs w:val="21"/>
                <w:highlight w:val="none"/>
                <w:lang w:eastAsia="zh-CN"/>
              </w:rPr>
              <w:t>方案及施工组织设计</w:t>
            </w:r>
          </w:p>
        </w:tc>
        <w:tc>
          <w:tcPr>
            <w:tcW w:w="6217" w:type="dxa"/>
            <w:tcBorders>
              <w:left w:val="single" w:color="auto" w:sz="4" w:space="0"/>
            </w:tcBorders>
            <w:noWrap w:val="0"/>
            <w:vAlign w:val="center"/>
          </w:tcPr>
          <w:p>
            <w:pPr>
              <w:spacing w:line="276" w:lineRule="auto"/>
              <w:rPr>
                <w:rFonts w:hint="eastAsia" w:ascii="宋体" w:hAnsi="宋体" w:cs="宋体"/>
                <w:color w:val="auto"/>
                <w:sz w:val="22"/>
                <w:szCs w:val="24"/>
                <w:highlight w:val="none"/>
              </w:rPr>
            </w:pPr>
            <w:r>
              <w:rPr>
                <w:rFonts w:hint="eastAsia" w:ascii="宋体" w:hAnsi="宋体" w:cs="宋体"/>
                <w:color w:val="auto"/>
                <w:sz w:val="22"/>
                <w:szCs w:val="24"/>
                <w:highlight w:val="none"/>
              </w:rPr>
              <w:t>根据投标文件所提供的项目实施方案对实施组织、实施措施、</w:t>
            </w:r>
            <w:r>
              <w:rPr>
                <w:rFonts w:hint="eastAsia" w:ascii="宋体" w:hAnsi="宋体" w:cs="宋体"/>
                <w:color w:val="auto"/>
                <w:kern w:val="0"/>
                <w:sz w:val="22"/>
                <w:szCs w:val="24"/>
                <w:highlight w:val="none"/>
              </w:rPr>
              <w:t>项目实施关键施工技术（重点难点）分析及解决方案</w:t>
            </w:r>
            <w:r>
              <w:rPr>
                <w:rFonts w:hint="eastAsia" w:ascii="宋体" w:hAnsi="宋体" w:cs="宋体"/>
                <w:color w:val="auto"/>
                <w:kern w:val="0"/>
                <w:sz w:val="22"/>
                <w:szCs w:val="24"/>
                <w:highlight w:val="none"/>
                <w:lang w:val="en-US" w:eastAsia="zh-CN"/>
              </w:rPr>
              <w:t>等</w:t>
            </w:r>
            <w:r>
              <w:rPr>
                <w:rFonts w:hint="eastAsia" w:ascii="宋体" w:hAnsi="宋体" w:cs="宋体"/>
                <w:color w:val="auto"/>
                <w:sz w:val="22"/>
                <w:szCs w:val="24"/>
                <w:highlight w:val="none"/>
              </w:rPr>
              <w:t>相关的合理化建议等方面综合评审：</w:t>
            </w:r>
          </w:p>
          <w:p>
            <w:pPr>
              <w:spacing w:line="276" w:lineRule="auto"/>
              <w:rPr>
                <w:rFonts w:hint="eastAsia" w:ascii="宋体" w:hAnsi="宋体" w:cs="宋体"/>
                <w:color w:val="auto"/>
                <w:sz w:val="22"/>
                <w:szCs w:val="24"/>
                <w:highlight w:val="none"/>
              </w:rPr>
            </w:pPr>
            <w:r>
              <w:rPr>
                <w:rFonts w:hint="eastAsia" w:ascii="宋体" w:hAnsi="宋体" w:cs="宋体"/>
                <w:color w:val="auto"/>
                <w:sz w:val="22"/>
                <w:szCs w:val="24"/>
                <w:highlight w:val="none"/>
                <w:lang w:val="en-US" w:eastAsia="zh-CN"/>
              </w:rPr>
              <w:t>1）对本项目设计要求充分理解，方案</w:t>
            </w:r>
            <w:r>
              <w:rPr>
                <w:rFonts w:hint="eastAsia" w:ascii="宋体" w:hAnsi="宋体" w:cs="宋体"/>
                <w:color w:val="auto"/>
                <w:sz w:val="22"/>
                <w:szCs w:val="24"/>
                <w:highlight w:val="none"/>
              </w:rPr>
              <w:t>内容具体完整，</w:t>
            </w:r>
            <w:r>
              <w:rPr>
                <w:rFonts w:hint="eastAsia" w:ascii="宋体" w:hAnsi="宋体" w:cs="宋体"/>
                <w:color w:val="auto"/>
                <w:sz w:val="22"/>
                <w:szCs w:val="24"/>
                <w:highlight w:val="none"/>
                <w:lang w:val="en-US" w:eastAsia="zh-CN"/>
              </w:rPr>
              <w:t>科学、</w:t>
            </w:r>
            <w:r>
              <w:rPr>
                <w:rFonts w:hint="eastAsia" w:ascii="宋体" w:hAnsi="宋体" w:cs="宋体"/>
                <w:color w:val="auto"/>
                <w:sz w:val="22"/>
                <w:szCs w:val="24"/>
                <w:highlight w:val="none"/>
              </w:rPr>
              <w:t>严谨</w:t>
            </w:r>
            <w:r>
              <w:rPr>
                <w:rFonts w:hint="eastAsia" w:ascii="宋体" w:hAnsi="宋体" w:cs="宋体"/>
                <w:color w:val="auto"/>
                <w:sz w:val="22"/>
                <w:szCs w:val="24"/>
                <w:highlight w:val="none"/>
                <w:lang w:eastAsia="zh-CN"/>
              </w:rPr>
              <w:t>、</w:t>
            </w:r>
            <w:r>
              <w:rPr>
                <w:rFonts w:hint="eastAsia" w:ascii="宋体" w:hAnsi="宋体" w:cs="宋体"/>
                <w:color w:val="auto"/>
                <w:sz w:val="22"/>
                <w:szCs w:val="24"/>
                <w:highlight w:val="none"/>
              </w:rPr>
              <w:t>合理、可</w:t>
            </w:r>
            <w:r>
              <w:rPr>
                <w:rFonts w:hint="eastAsia" w:ascii="宋体" w:hAnsi="宋体" w:cs="宋体"/>
                <w:color w:val="auto"/>
                <w:sz w:val="22"/>
                <w:szCs w:val="24"/>
                <w:highlight w:val="none"/>
                <w:lang w:val="en-US" w:eastAsia="zh-CN"/>
              </w:rPr>
              <w:t>操作性</w:t>
            </w:r>
            <w:r>
              <w:rPr>
                <w:rFonts w:hint="eastAsia" w:ascii="宋体" w:hAnsi="宋体" w:cs="宋体"/>
                <w:color w:val="auto"/>
                <w:sz w:val="22"/>
                <w:szCs w:val="24"/>
                <w:highlight w:val="none"/>
              </w:rPr>
              <w:t>强，得</w:t>
            </w:r>
            <w:r>
              <w:rPr>
                <w:rFonts w:hint="eastAsia" w:ascii="宋体" w:hAnsi="宋体" w:cs="宋体"/>
                <w:color w:val="auto"/>
                <w:sz w:val="22"/>
                <w:szCs w:val="24"/>
                <w:highlight w:val="none"/>
                <w:lang w:val="en-US" w:eastAsia="zh-CN"/>
              </w:rPr>
              <w:t>12</w:t>
            </w:r>
            <w:r>
              <w:rPr>
                <w:rFonts w:hint="eastAsia" w:ascii="宋体" w:hAnsi="宋体" w:cs="宋体"/>
                <w:color w:val="auto"/>
                <w:sz w:val="22"/>
                <w:szCs w:val="24"/>
                <w:highlight w:val="none"/>
              </w:rPr>
              <w:t>分；</w:t>
            </w:r>
          </w:p>
          <w:p>
            <w:pPr>
              <w:spacing w:line="276" w:lineRule="auto"/>
              <w:rPr>
                <w:rFonts w:hint="eastAsia" w:ascii="宋体" w:hAnsi="宋体" w:cs="宋体"/>
                <w:color w:val="auto"/>
                <w:sz w:val="22"/>
                <w:szCs w:val="24"/>
                <w:highlight w:val="none"/>
              </w:rPr>
            </w:pPr>
            <w:r>
              <w:rPr>
                <w:rFonts w:hint="eastAsia" w:ascii="宋体" w:hAnsi="宋体" w:cs="宋体"/>
                <w:color w:val="auto"/>
                <w:sz w:val="22"/>
                <w:szCs w:val="24"/>
                <w:highlight w:val="none"/>
                <w:lang w:val="en-US" w:eastAsia="zh-CN"/>
              </w:rPr>
              <w:t>2）对本项目设计要求较了解，</w:t>
            </w:r>
            <w:r>
              <w:rPr>
                <w:rFonts w:hint="eastAsia" w:ascii="宋体" w:hAnsi="宋体" w:cs="宋体"/>
                <w:color w:val="auto"/>
                <w:sz w:val="22"/>
                <w:szCs w:val="24"/>
                <w:highlight w:val="none"/>
              </w:rPr>
              <w:t>内容完整，严谨性、合理性、可行性较强，得</w:t>
            </w:r>
            <w:r>
              <w:rPr>
                <w:rFonts w:hint="eastAsia" w:ascii="宋体" w:hAnsi="宋体" w:cs="宋体"/>
                <w:color w:val="auto"/>
                <w:sz w:val="22"/>
                <w:szCs w:val="24"/>
                <w:highlight w:val="none"/>
                <w:lang w:val="en-US" w:eastAsia="zh-CN"/>
              </w:rPr>
              <w:t>8</w:t>
            </w:r>
            <w:r>
              <w:rPr>
                <w:rFonts w:hint="eastAsia" w:ascii="宋体" w:hAnsi="宋体" w:cs="宋体"/>
                <w:color w:val="auto"/>
                <w:sz w:val="22"/>
                <w:szCs w:val="24"/>
                <w:highlight w:val="none"/>
              </w:rPr>
              <w:t>分；</w:t>
            </w:r>
          </w:p>
          <w:p>
            <w:pPr>
              <w:spacing w:line="276" w:lineRule="auto"/>
              <w:rPr>
                <w:rFonts w:hint="eastAsia" w:ascii="宋体" w:hAnsi="宋体" w:cs="宋体"/>
                <w:color w:val="auto"/>
                <w:sz w:val="22"/>
                <w:szCs w:val="24"/>
                <w:highlight w:val="none"/>
              </w:rPr>
            </w:pPr>
            <w:r>
              <w:rPr>
                <w:rFonts w:hint="eastAsia" w:ascii="宋体" w:hAnsi="宋体" w:cs="宋体"/>
                <w:color w:val="auto"/>
                <w:sz w:val="22"/>
                <w:szCs w:val="24"/>
                <w:highlight w:val="none"/>
                <w:lang w:val="en-US" w:eastAsia="zh-CN"/>
              </w:rPr>
              <w:t>3）对本项目设计要求有一定理解，</w:t>
            </w:r>
            <w:r>
              <w:rPr>
                <w:rFonts w:hint="eastAsia" w:ascii="宋体" w:hAnsi="宋体" w:cs="宋体"/>
                <w:color w:val="auto"/>
                <w:sz w:val="22"/>
                <w:szCs w:val="24"/>
                <w:highlight w:val="none"/>
              </w:rPr>
              <w:t>内容较具体完整，严谨性、合理性、可行性一般，得</w:t>
            </w:r>
            <w:r>
              <w:rPr>
                <w:rFonts w:hint="eastAsia" w:ascii="宋体" w:hAnsi="宋体" w:cs="宋体"/>
                <w:color w:val="auto"/>
                <w:sz w:val="22"/>
                <w:szCs w:val="24"/>
                <w:highlight w:val="none"/>
                <w:lang w:val="en-US" w:eastAsia="zh-CN"/>
              </w:rPr>
              <w:t>5</w:t>
            </w:r>
            <w:r>
              <w:rPr>
                <w:rFonts w:hint="eastAsia" w:ascii="宋体" w:hAnsi="宋体" w:cs="宋体"/>
                <w:color w:val="auto"/>
                <w:sz w:val="22"/>
                <w:szCs w:val="24"/>
                <w:highlight w:val="none"/>
              </w:rPr>
              <w:t>分；</w:t>
            </w:r>
          </w:p>
          <w:p>
            <w:pPr>
              <w:spacing w:line="276" w:lineRule="auto"/>
              <w:rPr>
                <w:rFonts w:hint="eastAsia" w:ascii="宋体" w:hAnsi="宋体" w:cs="宋体"/>
                <w:color w:val="auto"/>
                <w:sz w:val="22"/>
                <w:szCs w:val="24"/>
                <w:highlight w:val="none"/>
              </w:rPr>
            </w:pPr>
            <w:r>
              <w:rPr>
                <w:rFonts w:hint="eastAsia" w:ascii="宋体" w:hAnsi="宋体" w:cs="宋体"/>
                <w:color w:val="auto"/>
                <w:sz w:val="22"/>
                <w:szCs w:val="24"/>
                <w:highlight w:val="none"/>
                <w:lang w:val="en-US" w:eastAsia="zh-CN"/>
              </w:rPr>
              <w:t>4）对本项目设计要求不理解，</w:t>
            </w:r>
            <w:r>
              <w:rPr>
                <w:rFonts w:hint="eastAsia" w:ascii="宋体" w:hAnsi="宋体" w:cs="宋体"/>
                <w:color w:val="auto"/>
                <w:sz w:val="22"/>
                <w:szCs w:val="24"/>
                <w:highlight w:val="none"/>
              </w:rPr>
              <w:t>内容缺项，严谨性、合理性、可行性较差，得</w:t>
            </w:r>
            <w:r>
              <w:rPr>
                <w:rFonts w:hint="eastAsia" w:ascii="宋体" w:hAnsi="宋体" w:cs="宋体"/>
                <w:color w:val="auto"/>
                <w:sz w:val="22"/>
                <w:szCs w:val="24"/>
                <w:highlight w:val="none"/>
                <w:lang w:val="en-US" w:eastAsia="zh-CN"/>
              </w:rPr>
              <w:t>2</w:t>
            </w:r>
            <w:r>
              <w:rPr>
                <w:rFonts w:hint="eastAsia" w:ascii="宋体" w:hAnsi="宋体" w:cs="宋体"/>
                <w:color w:val="auto"/>
                <w:sz w:val="22"/>
                <w:szCs w:val="24"/>
                <w:highlight w:val="none"/>
              </w:rPr>
              <w:t>分。</w:t>
            </w:r>
          </w:p>
          <w:p>
            <w:pPr>
              <w:pStyle w:val="2"/>
              <w:spacing w:line="360" w:lineRule="auto"/>
              <w:rPr>
                <w:rFonts w:hint="eastAsia" w:ascii="宋体" w:hAnsi="宋体"/>
                <w:b w:val="0"/>
                <w:bCs/>
                <w:color w:val="auto"/>
                <w:sz w:val="21"/>
                <w:szCs w:val="21"/>
                <w:highlight w:val="none"/>
              </w:rPr>
            </w:pPr>
            <w:r>
              <w:rPr>
                <w:rStyle w:val="351"/>
                <w:rFonts w:hint="eastAsia" w:ascii="宋体" w:hAnsi="宋体" w:cs="宋体"/>
                <w:color w:val="auto"/>
                <w:sz w:val="22"/>
                <w:szCs w:val="24"/>
                <w:highlight w:val="none"/>
              </w:rPr>
              <w:t>未按要求提供或提供不清晰导致评委无法判断的不得分</w:t>
            </w:r>
            <w:r>
              <w:rPr>
                <w:rFonts w:hint="eastAsia" w:ascii="宋体" w:hAnsi="宋体" w:cs="宋体"/>
                <w:color w:val="auto"/>
                <w:sz w:val="22"/>
                <w:szCs w:val="24"/>
                <w:highlight w:val="none"/>
              </w:rPr>
              <w:t>。</w:t>
            </w:r>
          </w:p>
        </w:tc>
        <w:tc>
          <w:tcPr>
            <w:tcW w:w="850" w:type="dxa"/>
            <w:tcBorders>
              <w:left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12</w:t>
            </w:r>
            <w:r>
              <w:rPr>
                <w:rFonts w:hint="eastAsia" w:ascii="宋体" w:hAnsi="宋体"/>
                <w:b w:val="0"/>
                <w:bCs/>
                <w:color w:val="auto"/>
                <w:sz w:val="21"/>
                <w:szCs w:val="21"/>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0" w:hRule="atLeast"/>
        </w:trPr>
        <w:tc>
          <w:tcPr>
            <w:tcW w:w="967"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rPr>
              <w:t>2</w:t>
            </w:r>
          </w:p>
        </w:tc>
        <w:tc>
          <w:tcPr>
            <w:tcW w:w="1653"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确保</w:t>
            </w:r>
            <w:r>
              <w:rPr>
                <w:rFonts w:hint="eastAsia" w:ascii="宋体" w:hAnsi="宋体"/>
                <w:b w:val="0"/>
                <w:bCs/>
                <w:color w:val="auto"/>
                <w:sz w:val="21"/>
                <w:szCs w:val="21"/>
                <w:highlight w:val="none"/>
              </w:rPr>
              <w:t>安全文明施工</w:t>
            </w:r>
            <w:r>
              <w:rPr>
                <w:rFonts w:hint="eastAsia" w:ascii="宋体" w:hAnsi="宋体"/>
                <w:b w:val="0"/>
                <w:bCs/>
                <w:color w:val="auto"/>
                <w:sz w:val="21"/>
                <w:szCs w:val="21"/>
                <w:highlight w:val="none"/>
                <w:lang w:val="en-US" w:eastAsia="zh-CN"/>
              </w:rPr>
              <w:t>的方案</w:t>
            </w:r>
            <w:r>
              <w:rPr>
                <w:rFonts w:hint="eastAsia" w:ascii="宋体" w:hAnsi="宋体"/>
                <w:b w:val="0"/>
                <w:bCs/>
                <w:color w:val="auto"/>
                <w:sz w:val="21"/>
                <w:szCs w:val="21"/>
                <w:highlight w:val="none"/>
              </w:rPr>
              <w:t>措施</w:t>
            </w:r>
          </w:p>
        </w:tc>
        <w:tc>
          <w:tcPr>
            <w:tcW w:w="6217" w:type="dxa"/>
            <w:tcBorders>
              <w:left w:val="single" w:color="auto" w:sz="4" w:space="0"/>
            </w:tcBorders>
            <w:noWrap w:val="0"/>
            <w:vAlign w:val="center"/>
          </w:tcPr>
          <w:p>
            <w:pPr>
              <w:pStyle w:val="2"/>
              <w:spacing w:line="360" w:lineRule="auto"/>
              <w:rPr>
                <w:rFonts w:hint="eastAsia" w:ascii="宋体" w:hAnsi="宋体"/>
                <w:b w:val="0"/>
                <w:bCs/>
                <w:color w:val="auto"/>
                <w:sz w:val="21"/>
                <w:szCs w:val="21"/>
                <w:highlight w:val="none"/>
                <w:lang w:eastAsia="zh-CN"/>
              </w:rPr>
            </w:pPr>
            <w:r>
              <w:rPr>
                <w:rFonts w:hint="eastAsia" w:ascii="宋体" w:hAnsi="宋体"/>
                <w:b w:val="0"/>
                <w:bCs/>
                <w:color w:val="auto"/>
                <w:sz w:val="21"/>
                <w:szCs w:val="21"/>
                <w:highlight w:val="none"/>
              </w:rPr>
              <w:t>根据投标文件所提供的安全文明施工</w:t>
            </w:r>
            <w:r>
              <w:rPr>
                <w:rFonts w:hint="eastAsia" w:ascii="宋体" w:hAnsi="宋体"/>
                <w:b w:val="0"/>
                <w:bCs/>
                <w:color w:val="auto"/>
                <w:sz w:val="21"/>
                <w:szCs w:val="21"/>
                <w:highlight w:val="none"/>
                <w:lang w:val="en-US" w:eastAsia="zh-CN"/>
              </w:rPr>
              <w:t>管理</w:t>
            </w:r>
            <w:r>
              <w:rPr>
                <w:rFonts w:hint="eastAsia" w:ascii="宋体" w:hAnsi="宋体"/>
                <w:b w:val="0"/>
                <w:bCs/>
                <w:color w:val="auto"/>
                <w:sz w:val="21"/>
                <w:szCs w:val="21"/>
                <w:highlight w:val="none"/>
              </w:rPr>
              <w:t>措施的合理化建议、管理制度等方面进行综合评审：</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zh-TW" w:eastAsia="zh-TW"/>
              </w:rPr>
              <w:t>内容完整准确，思路清晰，贴合实际情况，方案内容详细具体</w:t>
            </w:r>
            <w:r>
              <w:rPr>
                <w:rFonts w:hint="eastAsia" w:ascii="宋体" w:hAnsi="宋体"/>
                <w:b w:val="0"/>
                <w:bCs/>
                <w:color w:val="auto"/>
                <w:sz w:val="21"/>
                <w:szCs w:val="21"/>
                <w:highlight w:val="none"/>
                <w:lang w:val="zh-TW"/>
              </w:rPr>
              <w:t>，</w:t>
            </w:r>
            <w:r>
              <w:rPr>
                <w:rFonts w:hint="eastAsia" w:ascii="宋体" w:hAnsi="宋体"/>
                <w:b w:val="0"/>
                <w:bCs/>
                <w:color w:val="auto"/>
                <w:sz w:val="21"/>
                <w:szCs w:val="21"/>
                <w:highlight w:val="none"/>
                <w:lang w:val="zh-TW" w:eastAsia="zh-TW"/>
              </w:rPr>
              <w:t>保障措施针对性强，可执行性强</w:t>
            </w:r>
            <w:r>
              <w:rPr>
                <w:rFonts w:hint="eastAsia" w:ascii="宋体" w:hAnsi="宋体"/>
                <w:b w:val="0"/>
                <w:bCs/>
                <w:color w:val="auto"/>
                <w:sz w:val="21"/>
                <w:szCs w:val="21"/>
                <w:highlight w:val="none"/>
                <w:lang w:val="zh-TW"/>
              </w:rPr>
              <w:t>，得</w:t>
            </w: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r>
              <w:rPr>
                <w:rFonts w:hint="eastAsia" w:ascii="宋体" w:hAnsi="宋体"/>
                <w:b w:val="0"/>
                <w:bCs/>
                <w:color w:val="auto"/>
                <w:sz w:val="21"/>
                <w:szCs w:val="21"/>
                <w:highlight w:val="none"/>
                <w:lang w:val="zh-TW" w:eastAsia="zh-TW"/>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2</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zh-TW" w:eastAsia="zh-TW"/>
              </w:rPr>
              <w:t>内容完整准确，思路清晰，方案内容详细具体，但保障措施针对性一般，可执行性较强</w:t>
            </w:r>
            <w:r>
              <w:rPr>
                <w:rFonts w:hint="eastAsia" w:ascii="宋体" w:hAnsi="宋体"/>
                <w:b w:val="0"/>
                <w:bCs/>
                <w:color w:val="auto"/>
                <w:sz w:val="21"/>
                <w:szCs w:val="21"/>
                <w:highlight w:val="none"/>
                <w:lang w:val="zh-TW"/>
              </w:rPr>
              <w:t>，得</w:t>
            </w:r>
            <w:r>
              <w:rPr>
                <w:rFonts w:hint="eastAsia" w:ascii="宋体" w:hAnsi="宋体"/>
                <w:b w:val="0"/>
                <w:bCs/>
                <w:color w:val="auto"/>
                <w:sz w:val="21"/>
                <w:szCs w:val="21"/>
                <w:highlight w:val="none"/>
                <w:lang w:val="en-US" w:eastAsia="zh-CN"/>
              </w:rPr>
              <w:t>7</w:t>
            </w:r>
            <w:r>
              <w:rPr>
                <w:rFonts w:hint="eastAsia" w:ascii="宋体" w:hAnsi="宋体"/>
                <w:b w:val="0"/>
                <w:bCs/>
                <w:color w:val="auto"/>
                <w:sz w:val="21"/>
                <w:szCs w:val="21"/>
                <w:highlight w:val="none"/>
              </w:rPr>
              <w:t>分</w:t>
            </w:r>
            <w:r>
              <w:rPr>
                <w:rFonts w:hint="eastAsia" w:ascii="宋体" w:hAnsi="宋体"/>
                <w:b w:val="0"/>
                <w:bCs/>
                <w:color w:val="auto"/>
                <w:sz w:val="21"/>
                <w:szCs w:val="21"/>
                <w:highlight w:val="none"/>
                <w:lang w:val="zh-TW" w:eastAsia="zh-TW"/>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3</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zh-TW" w:eastAsia="zh-TW"/>
              </w:rPr>
              <w:t>方案内容简单，保障措施针对性一般，可执行性一般</w:t>
            </w:r>
            <w:r>
              <w:rPr>
                <w:rFonts w:hint="eastAsia" w:ascii="宋体" w:hAnsi="宋体"/>
                <w:b w:val="0"/>
                <w:bCs/>
                <w:color w:val="auto"/>
                <w:sz w:val="21"/>
                <w:szCs w:val="21"/>
                <w:highlight w:val="none"/>
                <w:lang w:val="zh-TW"/>
              </w:rPr>
              <w:t>，得</w:t>
            </w:r>
            <w:r>
              <w:rPr>
                <w:rFonts w:hint="default" w:ascii="宋体" w:hAnsi="宋体"/>
                <w:b w:val="0"/>
                <w:bCs/>
                <w:color w:val="auto"/>
                <w:sz w:val="21"/>
                <w:szCs w:val="21"/>
                <w:highlight w:val="none"/>
              </w:rPr>
              <w:t>3</w:t>
            </w:r>
            <w:r>
              <w:rPr>
                <w:rFonts w:hint="eastAsia" w:ascii="宋体" w:hAnsi="宋体"/>
                <w:b w:val="0"/>
                <w:bCs/>
                <w:color w:val="auto"/>
                <w:sz w:val="21"/>
                <w:szCs w:val="21"/>
                <w:highlight w:val="none"/>
              </w:rPr>
              <w:t>分</w:t>
            </w:r>
            <w:r>
              <w:rPr>
                <w:rFonts w:hint="eastAsia" w:ascii="宋体" w:hAnsi="宋体"/>
                <w:b w:val="0"/>
                <w:bCs/>
                <w:color w:val="auto"/>
                <w:sz w:val="21"/>
                <w:szCs w:val="21"/>
                <w:highlight w:val="none"/>
                <w:lang w:val="zh-TW" w:eastAsia="zh-TW"/>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4</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zh-TW" w:eastAsia="zh-TW"/>
              </w:rPr>
              <w:t>方案内容简单，可执行性差</w:t>
            </w:r>
            <w:r>
              <w:rPr>
                <w:rFonts w:hint="eastAsia" w:ascii="宋体" w:hAnsi="宋体"/>
                <w:b w:val="0"/>
                <w:bCs/>
                <w:color w:val="auto"/>
                <w:sz w:val="21"/>
                <w:szCs w:val="21"/>
                <w:highlight w:val="none"/>
                <w:lang w:val="zh-TW"/>
              </w:rPr>
              <w:t>，得</w:t>
            </w:r>
            <w:r>
              <w:rPr>
                <w:rFonts w:hint="eastAsia" w:ascii="宋体" w:hAnsi="宋体"/>
                <w:b w:val="0"/>
                <w:bCs/>
                <w:color w:val="auto"/>
                <w:sz w:val="21"/>
                <w:szCs w:val="21"/>
                <w:highlight w:val="none"/>
                <w:lang w:val="en-US" w:eastAsia="zh-CN"/>
              </w:rPr>
              <w:t>1</w:t>
            </w:r>
            <w:r>
              <w:rPr>
                <w:rFonts w:hint="eastAsia" w:ascii="宋体" w:hAnsi="宋体"/>
                <w:b w:val="0"/>
                <w:bCs/>
                <w:color w:val="auto"/>
                <w:sz w:val="21"/>
                <w:szCs w:val="21"/>
                <w:highlight w:val="none"/>
              </w:rPr>
              <w:t>分</w:t>
            </w:r>
            <w:r>
              <w:rPr>
                <w:rFonts w:hint="eastAsia" w:ascii="宋体" w:hAnsi="宋体"/>
                <w:b w:val="0"/>
                <w:bCs/>
                <w:color w:val="auto"/>
                <w:sz w:val="21"/>
                <w:szCs w:val="21"/>
                <w:highlight w:val="none"/>
                <w:lang w:val="zh-TW" w:eastAsia="zh-TW"/>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未按要求提供或提供不清晰导致评委无法判断的不得分。</w:t>
            </w:r>
          </w:p>
        </w:tc>
        <w:tc>
          <w:tcPr>
            <w:tcW w:w="850" w:type="dxa"/>
            <w:tcBorders>
              <w:left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5" w:hRule="atLeast"/>
        </w:trPr>
        <w:tc>
          <w:tcPr>
            <w:tcW w:w="967"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rPr>
              <w:t>3</w:t>
            </w:r>
          </w:p>
        </w:tc>
        <w:tc>
          <w:tcPr>
            <w:tcW w:w="1653"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zh-CN"/>
              </w:rPr>
              <w:t>突发事件应急处理措施</w:t>
            </w:r>
          </w:p>
        </w:tc>
        <w:tc>
          <w:tcPr>
            <w:tcW w:w="6217" w:type="dxa"/>
            <w:tcBorders>
              <w:left w:val="single" w:color="auto" w:sz="4" w:space="0"/>
            </w:tcBorders>
            <w:noWrap w:val="0"/>
            <w:vAlign w:val="center"/>
          </w:tcPr>
          <w:p>
            <w:pPr>
              <w:pStyle w:val="2"/>
              <w:spacing w:line="360" w:lineRule="auto"/>
              <w:rPr>
                <w:rFonts w:hint="eastAsia" w:ascii="宋体" w:hAnsi="宋体"/>
                <w:b w:val="0"/>
                <w:bCs/>
                <w:color w:val="auto"/>
                <w:sz w:val="21"/>
                <w:szCs w:val="21"/>
                <w:highlight w:val="none"/>
                <w:lang w:val="zh-TW"/>
              </w:rPr>
            </w:pPr>
            <w:r>
              <w:rPr>
                <w:rFonts w:hint="eastAsia" w:ascii="宋体" w:hAnsi="宋体"/>
                <w:b w:val="0"/>
                <w:bCs/>
                <w:color w:val="auto"/>
                <w:sz w:val="21"/>
                <w:szCs w:val="21"/>
                <w:highlight w:val="none"/>
                <w:lang w:val="zh-TW" w:eastAsia="zh-TW"/>
              </w:rPr>
              <w:t>评标委员会根据投标文件提供的突发事件应急处理措施，进行</w:t>
            </w:r>
            <w:r>
              <w:rPr>
                <w:rFonts w:hint="eastAsia" w:ascii="宋体" w:hAnsi="宋体"/>
                <w:b w:val="0"/>
                <w:bCs/>
                <w:color w:val="auto"/>
                <w:sz w:val="21"/>
                <w:szCs w:val="21"/>
                <w:highlight w:val="none"/>
                <w:lang w:val="zh-TW"/>
              </w:rPr>
              <w:t>综合评审</w:t>
            </w:r>
            <w:r>
              <w:rPr>
                <w:rFonts w:hint="eastAsia" w:ascii="宋体" w:hAnsi="宋体"/>
                <w:b w:val="0"/>
                <w:bCs/>
                <w:color w:val="auto"/>
                <w:sz w:val="21"/>
                <w:szCs w:val="21"/>
                <w:highlight w:val="none"/>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内容详细、合理性强、可行性强，得8分；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2</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内容详细、合理性较强、可行性较强，得5分；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3</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内容较详细、合理性一般、可行性一般，得</w:t>
            </w:r>
            <w:r>
              <w:rPr>
                <w:rFonts w:hint="default" w:ascii="宋体" w:hAnsi="宋体"/>
                <w:b w:val="0"/>
                <w:bCs/>
                <w:color w:val="auto"/>
                <w:sz w:val="21"/>
                <w:szCs w:val="21"/>
                <w:highlight w:val="none"/>
              </w:rPr>
              <w:t>2</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4</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内容缺项、合理性较差，不得分。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未按要求提供或提供不清晰导致评委无法判断的不得分。</w:t>
            </w:r>
          </w:p>
        </w:tc>
        <w:tc>
          <w:tcPr>
            <w:tcW w:w="850" w:type="dxa"/>
            <w:tcBorders>
              <w:left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8</w:t>
            </w:r>
            <w:r>
              <w:rPr>
                <w:rFonts w:hint="eastAsia" w:ascii="宋体" w:hAnsi="宋体"/>
                <w:b w:val="0"/>
                <w:bCs/>
                <w:color w:val="auto"/>
                <w:sz w:val="21"/>
                <w:szCs w:val="21"/>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trPr>
        <w:tc>
          <w:tcPr>
            <w:tcW w:w="967" w:type="dxa"/>
            <w:tcBorders>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lang w:eastAsia="zh-CN"/>
              </w:rPr>
            </w:pPr>
            <w:r>
              <w:rPr>
                <w:rFonts w:hint="eastAsia" w:ascii="宋体" w:hAnsi="宋体"/>
                <w:b w:val="0"/>
                <w:bCs/>
                <w:color w:val="auto"/>
                <w:sz w:val="21"/>
                <w:szCs w:val="21"/>
                <w:highlight w:val="none"/>
                <w:lang w:val="en-US" w:eastAsia="zh-CN"/>
              </w:rPr>
              <w:t>4</w:t>
            </w:r>
          </w:p>
        </w:tc>
        <w:tc>
          <w:tcPr>
            <w:tcW w:w="1653" w:type="dxa"/>
            <w:tcBorders>
              <w:bottom w:val="single" w:color="auto" w:sz="4" w:space="0"/>
            </w:tcBorders>
            <w:noWrap w:val="0"/>
            <w:vAlign w:val="center"/>
          </w:tcPr>
          <w:p>
            <w:pPr>
              <w:pStyle w:val="2"/>
              <w:spacing w:line="360" w:lineRule="auto"/>
              <w:jc w:val="center"/>
              <w:rPr>
                <w:rFonts w:hint="default" w:ascii="宋体" w:hAnsi="宋体"/>
                <w:b w:val="0"/>
                <w:bCs/>
                <w:color w:val="auto"/>
                <w:sz w:val="21"/>
                <w:szCs w:val="21"/>
                <w:highlight w:val="none"/>
                <w:lang w:val="en-US" w:eastAsia="zh-CN"/>
              </w:rPr>
            </w:pPr>
            <w:bookmarkStart w:id="153" w:name="_Toc15110"/>
            <w:r>
              <w:rPr>
                <w:rFonts w:hint="eastAsia" w:ascii="宋体" w:hAnsi="宋体"/>
                <w:b w:val="0"/>
                <w:bCs/>
                <w:color w:val="auto"/>
                <w:sz w:val="21"/>
                <w:szCs w:val="21"/>
                <w:highlight w:val="none"/>
                <w:lang w:val="zh-CN" w:eastAsia="zh-CN"/>
              </w:rPr>
              <w:t>确保工程质量的</w:t>
            </w:r>
            <w:r>
              <w:rPr>
                <w:rFonts w:hint="eastAsia" w:ascii="宋体" w:hAnsi="宋体"/>
                <w:b w:val="0"/>
                <w:bCs/>
                <w:color w:val="auto"/>
                <w:sz w:val="21"/>
                <w:szCs w:val="21"/>
                <w:highlight w:val="none"/>
                <w:lang w:val="en-US" w:eastAsia="zh-CN"/>
              </w:rPr>
              <w:t>方案</w:t>
            </w:r>
            <w:r>
              <w:rPr>
                <w:rFonts w:hint="eastAsia" w:ascii="宋体" w:hAnsi="宋体"/>
                <w:b w:val="0"/>
                <w:bCs/>
                <w:color w:val="auto"/>
                <w:sz w:val="21"/>
                <w:szCs w:val="21"/>
                <w:highlight w:val="none"/>
                <w:lang w:val="zh-CN" w:eastAsia="zh-CN"/>
              </w:rPr>
              <w:t>措施</w:t>
            </w:r>
            <w:bookmarkEnd w:id="153"/>
          </w:p>
        </w:tc>
        <w:tc>
          <w:tcPr>
            <w:tcW w:w="6217" w:type="dxa"/>
            <w:tcBorders>
              <w:left w:val="single" w:color="auto" w:sz="4" w:space="0"/>
            </w:tcBorders>
            <w:noWrap w:val="0"/>
            <w:vAlign w:val="center"/>
          </w:tcPr>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zh-TW" w:eastAsia="zh-TW"/>
              </w:rPr>
              <w:t>根据投标文件提供的</w:t>
            </w:r>
            <w:r>
              <w:rPr>
                <w:rFonts w:hint="eastAsia" w:ascii="宋体" w:hAnsi="宋体"/>
                <w:b w:val="0"/>
                <w:bCs/>
                <w:color w:val="auto"/>
                <w:sz w:val="21"/>
                <w:szCs w:val="21"/>
                <w:highlight w:val="none"/>
              </w:rPr>
              <w:t>施工质量（安全、环保）保障措施，</w:t>
            </w:r>
            <w:r>
              <w:rPr>
                <w:rFonts w:hint="eastAsia" w:ascii="宋体" w:hAnsi="宋体"/>
                <w:b w:val="0"/>
                <w:bCs/>
                <w:color w:val="auto"/>
                <w:sz w:val="21"/>
                <w:szCs w:val="21"/>
                <w:highlight w:val="none"/>
                <w:lang w:val="zh-TW" w:eastAsia="zh-TW"/>
              </w:rPr>
              <w:t>进行</w:t>
            </w:r>
            <w:r>
              <w:rPr>
                <w:rFonts w:hint="eastAsia" w:ascii="宋体" w:hAnsi="宋体"/>
                <w:b w:val="0"/>
                <w:bCs/>
                <w:color w:val="auto"/>
                <w:sz w:val="21"/>
                <w:szCs w:val="21"/>
                <w:highlight w:val="none"/>
                <w:lang w:val="zh-TW"/>
              </w:rPr>
              <w:t>综合评审</w:t>
            </w:r>
            <w:r>
              <w:rPr>
                <w:rFonts w:hint="eastAsia" w:ascii="宋体" w:hAnsi="宋体"/>
                <w:b w:val="0"/>
                <w:bCs/>
                <w:color w:val="auto"/>
                <w:sz w:val="21"/>
                <w:szCs w:val="21"/>
                <w:highlight w:val="none"/>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有详细及重点难点施工质量（安全、环保）保障措施，得</w:t>
            </w: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2</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施工质量（安全、环保）保障措施较好的,得</w:t>
            </w:r>
            <w:r>
              <w:rPr>
                <w:rFonts w:hint="eastAsia" w:ascii="宋体" w:hAnsi="宋体"/>
                <w:b w:val="0"/>
                <w:bCs/>
                <w:color w:val="auto"/>
                <w:sz w:val="21"/>
                <w:szCs w:val="21"/>
                <w:highlight w:val="none"/>
                <w:lang w:val="en-US" w:eastAsia="zh-CN"/>
              </w:rPr>
              <w:t>7</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3</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施工质量（安全、环保）保障措施一般的，得</w:t>
            </w:r>
            <w:r>
              <w:rPr>
                <w:rFonts w:hint="default" w:ascii="宋体" w:hAnsi="宋体"/>
                <w:b w:val="0"/>
                <w:bCs/>
                <w:color w:val="auto"/>
                <w:sz w:val="21"/>
                <w:szCs w:val="21"/>
                <w:highlight w:val="none"/>
              </w:rPr>
              <w:t>3</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4</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rPr>
              <w:t>施工质量（安全、环保）保障措施较差的，得</w:t>
            </w:r>
            <w:r>
              <w:rPr>
                <w:rFonts w:hint="default" w:ascii="宋体" w:hAnsi="宋体"/>
                <w:b w:val="0"/>
                <w:bCs/>
                <w:color w:val="auto"/>
                <w:sz w:val="21"/>
                <w:szCs w:val="21"/>
                <w:highlight w:val="none"/>
              </w:rPr>
              <w:t>1</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rPr>
              <w:t>未按要求提供或提供不清晰导致评委无法判断的不得分。</w:t>
            </w:r>
          </w:p>
        </w:tc>
        <w:tc>
          <w:tcPr>
            <w:tcW w:w="850" w:type="dxa"/>
            <w:tcBorders>
              <w:left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7" w:hRule="atLeast"/>
        </w:trPr>
        <w:tc>
          <w:tcPr>
            <w:tcW w:w="967"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lang w:eastAsia="zh-CN"/>
              </w:rPr>
            </w:pPr>
            <w:r>
              <w:rPr>
                <w:rFonts w:hint="eastAsia" w:ascii="宋体" w:hAnsi="宋体"/>
                <w:b w:val="0"/>
                <w:bCs/>
                <w:color w:val="auto"/>
                <w:sz w:val="21"/>
                <w:szCs w:val="21"/>
                <w:highlight w:val="none"/>
                <w:lang w:val="en-US" w:eastAsia="zh-CN"/>
              </w:rPr>
              <w:t>5</w:t>
            </w:r>
          </w:p>
        </w:tc>
        <w:tc>
          <w:tcPr>
            <w:tcW w:w="1653" w:type="dxa"/>
            <w:tcBorders>
              <w:top w:val="single" w:color="auto" w:sz="4" w:space="0"/>
              <w:bottom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bookmarkStart w:id="154" w:name="_Toc22362"/>
            <w:r>
              <w:rPr>
                <w:rFonts w:hint="eastAsia" w:ascii="宋体" w:hAnsi="宋体"/>
                <w:b w:val="0"/>
                <w:bCs/>
                <w:color w:val="auto"/>
                <w:sz w:val="21"/>
                <w:szCs w:val="21"/>
                <w:highlight w:val="none"/>
                <w:lang w:val="zh-CN" w:eastAsia="zh-CN"/>
              </w:rPr>
              <w:t>确保</w:t>
            </w:r>
            <w:r>
              <w:rPr>
                <w:rFonts w:hint="eastAsia" w:ascii="宋体" w:hAnsi="宋体"/>
                <w:b w:val="0"/>
                <w:bCs/>
                <w:color w:val="auto"/>
                <w:sz w:val="21"/>
                <w:szCs w:val="21"/>
                <w:highlight w:val="none"/>
                <w:lang w:val="en-US" w:eastAsia="zh-CN"/>
              </w:rPr>
              <w:t>工程</w:t>
            </w:r>
            <w:r>
              <w:rPr>
                <w:rFonts w:hint="eastAsia" w:ascii="宋体" w:hAnsi="宋体"/>
                <w:b w:val="0"/>
                <w:bCs/>
                <w:color w:val="auto"/>
                <w:sz w:val="21"/>
                <w:szCs w:val="21"/>
                <w:highlight w:val="none"/>
                <w:lang w:val="zh-CN" w:eastAsia="zh-CN"/>
              </w:rPr>
              <w:t>工期的</w:t>
            </w:r>
            <w:r>
              <w:rPr>
                <w:rFonts w:hint="eastAsia" w:ascii="宋体" w:hAnsi="宋体"/>
                <w:b w:val="0"/>
                <w:bCs/>
                <w:color w:val="auto"/>
                <w:sz w:val="21"/>
                <w:szCs w:val="21"/>
                <w:highlight w:val="none"/>
                <w:lang w:val="en-US" w:eastAsia="zh-CN"/>
              </w:rPr>
              <w:t>方案</w:t>
            </w:r>
            <w:r>
              <w:rPr>
                <w:rFonts w:hint="eastAsia" w:ascii="宋体" w:hAnsi="宋体"/>
                <w:b w:val="0"/>
                <w:bCs/>
                <w:color w:val="auto"/>
                <w:sz w:val="21"/>
                <w:szCs w:val="21"/>
                <w:highlight w:val="none"/>
                <w:lang w:val="zh-CN" w:eastAsia="zh-CN"/>
              </w:rPr>
              <w:t>措施</w:t>
            </w:r>
            <w:bookmarkEnd w:id="154"/>
          </w:p>
        </w:tc>
        <w:tc>
          <w:tcPr>
            <w:tcW w:w="6217" w:type="dxa"/>
            <w:tcBorders>
              <w:left w:val="single" w:color="auto" w:sz="4" w:space="0"/>
            </w:tcBorders>
            <w:noWrap w:val="0"/>
            <w:vAlign w:val="center"/>
          </w:tcPr>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rPr>
              <w:t>根据招标文件要求</w:t>
            </w:r>
            <w:r>
              <w:rPr>
                <w:rFonts w:hint="eastAsia" w:ascii="宋体" w:hAnsi="宋体"/>
                <w:b w:val="0"/>
                <w:bCs/>
                <w:color w:val="auto"/>
                <w:sz w:val="21"/>
                <w:szCs w:val="21"/>
                <w:highlight w:val="none"/>
                <w:lang w:val="en-US" w:eastAsia="zh-CN"/>
              </w:rPr>
              <w:t>并</w:t>
            </w:r>
            <w:r>
              <w:rPr>
                <w:rFonts w:hint="eastAsia" w:ascii="宋体" w:hAnsi="宋体"/>
                <w:b w:val="0"/>
                <w:bCs/>
                <w:color w:val="auto"/>
                <w:sz w:val="21"/>
                <w:szCs w:val="21"/>
                <w:highlight w:val="none"/>
              </w:rPr>
              <w:t>结合</w:t>
            </w:r>
            <w:r>
              <w:rPr>
                <w:rFonts w:hint="eastAsia" w:ascii="宋体" w:hAnsi="宋体"/>
                <w:b w:val="0"/>
                <w:bCs/>
                <w:color w:val="auto"/>
                <w:sz w:val="21"/>
                <w:szCs w:val="21"/>
                <w:highlight w:val="none"/>
                <w:lang w:val="en-US" w:eastAsia="zh-CN"/>
              </w:rPr>
              <w:t>项目</w:t>
            </w:r>
            <w:r>
              <w:rPr>
                <w:rFonts w:hint="eastAsia" w:ascii="宋体" w:hAnsi="宋体"/>
                <w:b w:val="0"/>
                <w:bCs/>
                <w:color w:val="auto"/>
                <w:sz w:val="21"/>
                <w:szCs w:val="21"/>
                <w:highlight w:val="none"/>
              </w:rPr>
              <w:t>实际情况，</w:t>
            </w:r>
            <w:r>
              <w:rPr>
                <w:rFonts w:hint="eastAsia" w:ascii="宋体" w:hAnsi="宋体"/>
                <w:b w:val="0"/>
                <w:bCs/>
                <w:color w:val="auto"/>
                <w:sz w:val="21"/>
                <w:szCs w:val="21"/>
                <w:highlight w:val="none"/>
                <w:lang w:val="en-US" w:eastAsia="zh-CN"/>
              </w:rPr>
              <w:t>制定</w:t>
            </w:r>
            <w:r>
              <w:rPr>
                <w:rFonts w:hint="eastAsia" w:ascii="宋体" w:hAnsi="宋体"/>
                <w:b w:val="0"/>
                <w:bCs/>
                <w:color w:val="auto"/>
                <w:sz w:val="21"/>
                <w:szCs w:val="21"/>
                <w:highlight w:val="none"/>
                <w:lang w:val="zh-CN" w:eastAsia="zh-CN"/>
              </w:rPr>
              <w:t>确保工期的</w:t>
            </w:r>
            <w:r>
              <w:rPr>
                <w:rFonts w:hint="eastAsia" w:ascii="宋体" w:hAnsi="宋体"/>
                <w:b w:val="0"/>
                <w:bCs/>
                <w:color w:val="auto"/>
                <w:sz w:val="21"/>
                <w:szCs w:val="21"/>
                <w:highlight w:val="none"/>
                <w:lang w:val="en-US" w:eastAsia="zh-CN"/>
              </w:rPr>
              <w:t>方案措施，从方案的</w:t>
            </w:r>
            <w:r>
              <w:rPr>
                <w:rFonts w:hint="eastAsia" w:ascii="宋体" w:hAnsi="宋体"/>
                <w:b w:val="0"/>
                <w:bCs/>
                <w:color w:val="auto"/>
                <w:sz w:val="21"/>
                <w:szCs w:val="21"/>
                <w:highlight w:val="none"/>
                <w:lang w:val="en-US" w:eastAsia="zh-TW"/>
              </w:rPr>
              <w:t>技术</w:t>
            </w:r>
            <w:r>
              <w:rPr>
                <w:rFonts w:hint="eastAsia" w:ascii="宋体" w:hAnsi="宋体"/>
                <w:b w:val="0"/>
                <w:bCs/>
                <w:color w:val="auto"/>
                <w:sz w:val="21"/>
                <w:szCs w:val="21"/>
                <w:highlight w:val="none"/>
                <w:lang w:val="en-US" w:eastAsia="zh-CN"/>
              </w:rPr>
              <w:t>、</w:t>
            </w:r>
            <w:r>
              <w:rPr>
                <w:rFonts w:hint="eastAsia" w:ascii="宋体" w:hAnsi="宋体"/>
                <w:b w:val="0"/>
                <w:bCs/>
                <w:color w:val="auto"/>
                <w:sz w:val="21"/>
                <w:szCs w:val="21"/>
                <w:highlight w:val="none"/>
                <w:lang w:val="en-US" w:eastAsia="zh-TW"/>
              </w:rPr>
              <w:t>人员</w:t>
            </w:r>
            <w:r>
              <w:rPr>
                <w:rFonts w:hint="eastAsia" w:ascii="宋体" w:hAnsi="宋体"/>
                <w:b w:val="0"/>
                <w:bCs/>
                <w:color w:val="auto"/>
                <w:sz w:val="21"/>
                <w:szCs w:val="21"/>
                <w:highlight w:val="none"/>
                <w:lang w:val="en-US" w:eastAsia="zh-CN"/>
              </w:rPr>
              <w:t>、设备、环境、协调与沟通管理等多方面进行综合评审</w:t>
            </w:r>
            <w:r>
              <w:rPr>
                <w:rFonts w:hint="eastAsia" w:ascii="宋体" w:hAnsi="宋体"/>
                <w:b w:val="0"/>
                <w:bCs/>
                <w:color w:val="auto"/>
                <w:sz w:val="21"/>
                <w:szCs w:val="21"/>
                <w:highlight w:val="none"/>
              </w:rPr>
              <w:t>：</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en-US" w:eastAsia="zh-CN"/>
              </w:rPr>
              <w:t>方案进度计划</w:t>
            </w:r>
            <w:r>
              <w:rPr>
                <w:rFonts w:hint="eastAsia" w:ascii="宋体" w:hAnsi="宋体"/>
                <w:b w:val="0"/>
                <w:bCs/>
                <w:color w:val="auto"/>
                <w:sz w:val="21"/>
                <w:szCs w:val="21"/>
                <w:highlight w:val="none"/>
              </w:rPr>
              <w:t>清晰、准确、完整，计划编制合理、可行</w:t>
            </w:r>
            <w:r>
              <w:rPr>
                <w:rFonts w:hint="eastAsia" w:ascii="宋体" w:hAnsi="宋体"/>
                <w:b w:val="0"/>
                <w:bCs/>
                <w:color w:val="auto"/>
                <w:sz w:val="21"/>
                <w:szCs w:val="21"/>
                <w:highlight w:val="none"/>
                <w:lang w:eastAsia="zh-CN"/>
              </w:rPr>
              <w:t>，</w:t>
            </w:r>
            <w:r>
              <w:rPr>
                <w:rFonts w:hint="eastAsia" w:ascii="宋体" w:hAnsi="宋体"/>
                <w:b w:val="0"/>
                <w:bCs/>
                <w:color w:val="auto"/>
                <w:sz w:val="21"/>
                <w:szCs w:val="21"/>
                <w:highlight w:val="none"/>
              </w:rPr>
              <w:t>关键节点的控制措施有力、合理、可行。得分：</w:t>
            </w: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2</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en-US" w:eastAsia="zh-CN"/>
              </w:rPr>
              <w:t>方案</w:t>
            </w:r>
            <w:r>
              <w:rPr>
                <w:rFonts w:hint="eastAsia" w:ascii="宋体" w:hAnsi="宋体"/>
                <w:b w:val="0"/>
                <w:bCs/>
                <w:color w:val="auto"/>
                <w:sz w:val="21"/>
                <w:szCs w:val="21"/>
                <w:highlight w:val="none"/>
              </w:rPr>
              <w:t>清晰、</w:t>
            </w:r>
            <w:r>
              <w:rPr>
                <w:rFonts w:hint="eastAsia" w:ascii="宋体" w:hAnsi="宋体"/>
                <w:b w:val="0"/>
                <w:bCs/>
                <w:color w:val="auto"/>
                <w:sz w:val="21"/>
                <w:szCs w:val="21"/>
                <w:highlight w:val="none"/>
                <w:lang w:val="en-US" w:eastAsia="zh-CN"/>
              </w:rPr>
              <w:t>较</w:t>
            </w:r>
            <w:r>
              <w:rPr>
                <w:rFonts w:hint="eastAsia" w:ascii="宋体" w:hAnsi="宋体"/>
                <w:b w:val="0"/>
                <w:bCs/>
                <w:color w:val="auto"/>
                <w:sz w:val="21"/>
                <w:szCs w:val="21"/>
                <w:highlight w:val="none"/>
              </w:rPr>
              <w:t>完整，计划编制可行。关键节点的控制措施合理、可行。得分：</w:t>
            </w:r>
            <w:r>
              <w:rPr>
                <w:rFonts w:hint="eastAsia" w:ascii="宋体" w:hAnsi="宋体"/>
                <w:b w:val="0"/>
                <w:bCs/>
                <w:color w:val="auto"/>
                <w:sz w:val="21"/>
                <w:szCs w:val="21"/>
                <w:highlight w:val="none"/>
                <w:lang w:val="en-US" w:eastAsia="zh-CN"/>
              </w:rPr>
              <w:t>7</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3</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en-US" w:eastAsia="zh-CN"/>
              </w:rPr>
              <w:t>方案</w:t>
            </w:r>
            <w:r>
              <w:rPr>
                <w:rFonts w:hint="eastAsia" w:ascii="宋体" w:hAnsi="宋体"/>
                <w:b w:val="0"/>
                <w:bCs/>
                <w:color w:val="auto"/>
                <w:sz w:val="21"/>
                <w:szCs w:val="21"/>
                <w:highlight w:val="none"/>
              </w:rPr>
              <w:t>基本准确，计划编制基本合理，关键节点的控制措施基本可行。得分：</w:t>
            </w:r>
            <w:r>
              <w:rPr>
                <w:rFonts w:hint="default" w:ascii="宋体" w:hAnsi="宋体"/>
                <w:b w:val="0"/>
                <w:bCs/>
                <w:color w:val="auto"/>
                <w:sz w:val="21"/>
                <w:szCs w:val="21"/>
                <w:highlight w:val="none"/>
              </w:rPr>
              <w:t>3</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4</w:t>
            </w:r>
            <w:r>
              <w:rPr>
                <w:rFonts w:hint="eastAsia" w:ascii="宋体" w:hAnsi="宋体"/>
                <w:b w:val="0"/>
                <w:bCs/>
                <w:color w:val="auto"/>
                <w:highlight w:val="none"/>
                <w:lang w:val="en-US" w:eastAsia="zh-CN"/>
              </w:rPr>
              <w:t>）</w:t>
            </w:r>
            <w:r>
              <w:rPr>
                <w:rFonts w:hint="eastAsia" w:ascii="宋体" w:hAnsi="宋体"/>
                <w:b w:val="0"/>
                <w:bCs/>
                <w:color w:val="auto"/>
                <w:sz w:val="21"/>
                <w:szCs w:val="21"/>
                <w:highlight w:val="none"/>
                <w:lang w:val="en-US" w:eastAsia="zh-CN"/>
              </w:rPr>
              <w:t>方案</w:t>
            </w:r>
            <w:r>
              <w:rPr>
                <w:rFonts w:hint="eastAsia" w:ascii="宋体" w:hAnsi="宋体"/>
                <w:b w:val="0"/>
                <w:bCs/>
                <w:color w:val="auto"/>
                <w:sz w:val="21"/>
                <w:szCs w:val="21"/>
                <w:highlight w:val="none"/>
              </w:rPr>
              <w:t>不准确，计划编制</w:t>
            </w:r>
            <w:r>
              <w:rPr>
                <w:rFonts w:hint="eastAsia" w:ascii="宋体" w:hAnsi="宋体"/>
                <w:b w:val="0"/>
                <w:bCs/>
                <w:color w:val="auto"/>
                <w:sz w:val="21"/>
                <w:szCs w:val="21"/>
                <w:highlight w:val="none"/>
                <w:lang w:val="en-US" w:eastAsia="zh-CN"/>
              </w:rPr>
              <w:t>明显</w:t>
            </w:r>
            <w:r>
              <w:rPr>
                <w:rFonts w:hint="eastAsia" w:ascii="宋体" w:hAnsi="宋体"/>
                <w:b w:val="0"/>
                <w:bCs/>
                <w:color w:val="auto"/>
                <w:sz w:val="21"/>
                <w:szCs w:val="21"/>
                <w:highlight w:val="none"/>
              </w:rPr>
              <w:t>不合理</w:t>
            </w:r>
            <w:r>
              <w:rPr>
                <w:rFonts w:hint="eastAsia" w:ascii="宋体" w:hAnsi="宋体"/>
                <w:b w:val="0"/>
                <w:bCs/>
                <w:color w:val="auto"/>
                <w:sz w:val="21"/>
                <w:szCs w:val="21"/>
                <w:highlight w:val="none"/>
                <w:lang w:eastAsia="zh-CN"/>
              </w:rPr>
              <w:t>，</w:t>
            </w:r>
            <w:r>
              <w:rPr>
                <w:rFonts w:hint="eastAsia" w:ascii="宋体" w:hAnsi="宋体"/>
                <w:b w:val="0"/>
                <w:bCs/>
                <w:color w:val="auto"/>
                <w:sz w:val="21"/>
                <w:szCs w:val="21"/>
                <w:highlight w:val="none"/>
              </w:rPr>
              <w:t>关键节点的控制不可行。得分：</w:t>
            </w:r>
            <w:r>
              <w:rPr>
                <w:rFonts w:hint="eastAsia" w:ascii="宋体" w:hAnsi="宋体"/>
                <w:b w:val="0"/>
                <w:bCs/>
                <w:color w:val="auto"/>
                <w:sz w:val="21"/>
                <w:szCs w:val="21"/>
                <w:highlight w:val="none"/>
                <w:lang w:val="en-US" w:eastAsia="zh-CN"/>
              </w:rPr>
              <w:t>1</w:t>
            </w:r>
            <w:r>
              <w:rPr>
                <w:rFonts w:hint="eastAsia" w:ascii="宋体" w:hAnsi="宋体"/>
                <w:b w:val="0"/>
                <w:bCs/>
                <w:color w:val="auto"/>
                <w:sz w:val="21"/>
                <w:szCs w:val="21"/>
                <w:highlight w:val="none"/>
              </w:rPr>
              <w:t>分。</w:t>
            </w:r>
          </w:p>
          <w:p>
            <w:pPr>
              <w:pStyle w:val="2"/>
              <w:spacing w:line="360" w:lineRule="auto"/>
              <w:rPr>
                <w:rFonts w:hint="eastAsia" w:ascii="宋体" w:hAnsi="宋体"/>
                <w:b w:val="0"/>
                <w:bCs/>
                <w:color w:val="auto"/>
                <w:sz w:val="21"/>
                <w:szCs w:val="21"/>
                <w:highlight w:val="none"/>
              </w:rPr>
            </w:pPr>
            <w:r>
              <w:rPr>
                <w:rFonts w:hint="eastAsia" w:ascii="宋体" w:hAnsi="宋体"/>
                <w:b w:val="0"/>
                <w:bCs/>
                <w:color w:val="auto"/>
                <w:sz w:val="21"/>
                <w:szCs w:val="21"/>
                <w:highlight w:val="none"/>
              </w:rPr>
              <w:t>未按要求提供或提供不清晰导致评委无法判断的不得分。</w:t>
            </w:r>
          </w:p>
        </w:tc>
        <w:tc>
          <w:tcPr>
            <w:tcW w:w="850" w:type="dxa"/>
            <w:tcBorders>
              <w:left w:val="single" w:color="auto" w:sz="4" w:space="0"/>
            </w:tcBorders>
            <w:noWrap w:val="0"/>
            <w:vAlign w:val="center"/>
          </w:tcPr>
          <w:p>
            <w:pPr>
              <w:pStyle w:val="2"/>
              <w:spacing w:line="360" w:lineRule="auto"/>
              <w:jc w:val="center"/>
              <w:rPr>
                <w:rFonts w:hint="eastAsia" w:ascii="宋体" w:hAnsi="宋体"/>
                <w:b w:val="0"/>
                <w:bCs/>
                <w:color w:val="auto"/>
                <w:sz w:val="21"/>
                <w:szCs w:val="21"/>
                <w:highlight w:val="none"/>
              </w:rPr>
            </w:pPr>
            <w:r>
              <w:rPr>
                <w:rFonts w:hint="eastAsia" w:ascii="宋体" w:hAnsi="宋体"/>
                <w:b w:val="0"/>
                <w:bCs/>
                <w:color w:val="auto"/>
                <w:sz w:val="21"/>
                <w:szCs w:val="21"/>
                <w:highlight w:val="none"/>
                <w:lang w:val="en-US" w:eastAsia="zh-CN"/>
              </w:rPr>
              <w:t>10</w:t>
            </w:r>
            <w:r>
              <w:rPr>
                <w:rFonts w:hint="eastAsia" w:ascii="宋体" w:hAnsi="宋体"/>
                <w:b w:val="0"/>
                <w:bCs/>
                <w:color w:val="auto"/>
                <w:sz w:val="21"/>
                <w:szCs w:val="21"/>
                <w:highlight w:val="none"/>
              </w:rPr>
              <w:t>分</w:t>
            </w:r>
          </w:p>
        </w:tc>
      </w:tr>
    </w:tbl>
    <w:p>
      <w:pPr>
        <w:pStyle w:val="2"/>
        <w:rPr>
          <w:rFonts w:ascii="宋体" w:hAnsi="宋体"/>
          <w:b/>
          <w:color w:val="auto"/>
          <w:highlight w:val="none"/>
        </w:rPr>
      </w:pPr>
    </w:p>
    <w:p>
      <w:pPr>
        <w:pStyle w:val="2"/>
        <w:rPr>
          <w:rFonts w:ascii="宋体" w:hAnsi="宋体"/>
          <w:b/>
          <w:color w:val="auto"/>
          <w:highlight w:val="none"/>
        </w:rPr>
      </w:pPr>
    </w:p>
    <w:p>
      <w:pPr>
        <w:spacing w:line="360" w:lineRule="auto"/>
        <w:rPr>
          <w:rFonts w:ascii="宋体" w:hAnsi="宋体"/>
          <w:b/>
          <w:color w:val="auto"/>
          <w:highlight w:val="none"/>
        </w:rPr>
      </w:pPr>
      <w:r>
        <w:rPr>
          <w:rFonts w:hint="eastAsia" w:ascii="宋体" w:hAnsi="宋体"/>
          <w:b/>
          <w:color w:val="auto"/>
          <w:highlight w:val="none"/>
        </w:rPr>
        <w:t>价 格 评 分 表</w:t>
      </w:r>
    </w:p>
    <w:p>
      <w:pPr>
        <w:spacing w:line="360" w:lineRule="auto"/>
        <w:rPr>
          <w:rFonts w:ascii="宋体" w:hAnsi="宋体"/>
          <w:color w:val="auto"/>
          <w:highlight w:val="none"/>
        </w:rPr>
      </w:pPr>
      <w:r>
        <w:rPr>
          <w:rFonts w:hint="eastAsia" w:ascii="宋体" w:hAnsi="宋体"/>
          <w:color w:val="auto"/>
          <w:highlight w:val="none"/>
        </w:rPr>
        <w:t>价格核准：磋商小组详细分析、核准价格表，检查其是否存在计算上或累加上的算术错误，修正错误的原则。</w:t>
      </w:r>
    </w:p>
    <w:p>
      <w:pPr>
        <w:spacing w:line="360" w:lineRule="auto"/>
        <w:rPr>
          <w:rFonts w:ascii="宋体" w:hAnsi="宋体"/>
          <w:color w:val="auto"/>
          <w:highlight w:val="none"/>
        </w:rPr>
      </w:pPr>
      <w:r>
        <w:rPr>
          <w:rFonts w:ascii="宋体" w:hAnsi="宋体"/>
          <w:color w:val="auto"/>
          <w:highlight w:val="none"/>
        </w:rPr>
        <w:t>综合评分法中的价格分统一采用低价优先法计算，即满足招标文件要求</w:t>
      </w:r>
      <w:r>
        <w:rPr>
          <w:rFonts w:hint="eastAsia" w:ascii="宋体" w:hAnsi="宋体"/>
          <w:color w:val="auto"/>
          <w:highlight w:val="none"/>
        </w:rPr>
        <w:t>（通过资格性、符合性审查）</w:t>
      </w:r>
      <w:r>
        <w:rPr>
          <w:rFonts w:ascii="宋体" w:hAnsi="宋体"/>
          <w:color w:val="auto"/>
          <w:highlight w:val="none"/>
        </w:rPr>
        <w:t>且投标价格最低的</w:t>
      </w:r>
      <w:r>
        <w:rPr>
          <w:rFonts w:hint="eastAsia" w:ascii="宋体" w:hAnsi="宋体"/>
          <w:color w:val="auto"/>
          <w:highlight w:val="none"/>
        </w:rPr>
        <w:t>有效</w:t>
      </w:r>
      <w:r>
        <w:rPr>
          <w:rFonts w:ascii="宋体" w:hAnsi="宋体"/>
          <w:color w:val="auto"/>
          <w:highlight w:val="none"/>
        </w:rPr>
        <w:t>投标报价</w:t>
      </w:r>
      <w:r>
        <w:rPr>
          <w:rFonts w:hint="eastAsia" w:ascii="宋体" w:hAnsi="宋体"/>
          <w:color w:val="auto"/>
          <w:highlight w:val="none"/>
        </w:rPr>
        <w:t>（指价格核准后的价格，下同）</w:t>
      </w:r>
      <w:r>
        <w:rPr>
          <w:rFonts w:ascii="宋体" w:hAnsi="宋体"/>
          <w:color w:val="auto"/>
          <w:highlight w:val="none"/>
        </w:rPr>
        <w:t>为评标基准价，其价格分为满分。其他投标人的价格分统一按照下列公式计算：</w:t>
      </w:r>
    </w:p>
    <w:p>
      <w:pPr>
        <w:spacing w:line="360" w:lineRule="auto"/>
        <w:rPr>
          <w:rFonts w:ascii="宋体" w:hAnsi="宋体"/>
          <w:color w:val="auto"/>
          <w:highlight w:val="none"/>
        </w:rPr>
      </w:pPr>
      <w:r>
        <w:rPr>
          <w:rFonts w:hint="eastAsia" w:ascii="宋体" w:hAnsi="宋体"/>
          <w:color w:val="auto"/>
          <w:highlight w:val="none"/>
        </w:rPr>
        <w:t>投标报价得分=(评标基准价/投标报价)×价格权值×100</w:t>
      </w:r>
    </w:p>
    <w:p>
      <w:pPr>
        <w:spacing w:line="360" w:lineRule="auto"/>
        <w:rPr>
          <w:rFonts w:ascii="宋体" w:hAnsi="宋体"/>
          <w:color w:val="auto"/>
          <w:highlight w:val="none"/>
        </w:rPr>
      </w:pPr>
      <w:r>
        <w:rPr>
          <w:rFonts w:hint="eastAsia" w:ascii="宋体" w:hAnsi="宋体"/>
          <w:color w:val="auto"/>
          <w:highlight w:val="none"/>
        </w:rPr>
        <w:t>备注：投标报价得分四舍五入后，小数点后保留两位有效数；</w:t>
      </w:r>
    </w:p>
    <w:p>
      <w:pPr>
        <w:spacing w:line="360" w:lineRule="auto"/>
        <w:rPr>
          <w:rFonts w:ascii="宋体" w:hAnsi="宋体"/>
          <w:color w:val="auto"/>
          <w:highlight w:val="none"/>
        </w:rPr>
      </w:pPr>
      <w:r>
        <w:rPr>
          <w:rFonts w:hint="eastAsia" w:ascii="宋体" w:hAnsi="宋体"/>
          <w:color w:val="auto"/>
          <w:highlight w:val="none"/>
        </w:rPr>
        <w:t>小型和微型企业产品价格扣除（所投产品全部生产厂家为小微型企业才享受价格扣除）</w:t>
      </w:r>
    </w:p>
    <w:p>
      <w:pPr>
        <w:spacing w:line="360" w:lineRule="auto"/>
        <w:rPr>
          <w:rFonts w:ascii="宋体" w:hAnsi="宋体"/>
          <w:color w:val="auto"/>
          <w:highlight w:val="none"/>
        </w:rPr>
      </w:pPr>
      <w:r>
        <w:rPr>
          <w:rFonts w:hint="eastAsia" w:ascii="宋体" w:hAnsi="宋体"/>
          <w:color w:val="auto"/>
          <w:highlight w:val="none"/>
        </w:rPr>
        <w:t>3.1根据财政部、工业和信息化部印发的《政府采购促进中小企业发展暂行办法》（财库[2011]181号）的规定，对小型和微型企业产品的价格给予6%的扣除，用扣除后的价格参与评审。</w:t>
      </w:r>
    </w:p>
    <w:p>
      <w:pPr>
        <w:spacing w:line="360" w:lineRule="auto"/>
        <w:rPr>
          <w:rFonts w:ascii="宋体" w:hAnsi="宋体"/>
          <w:color w:val="auto"/>
          <w:highlight w:val="none"/>
        </w:rPr>
      </w:pPr>
      <w:r>
        <w:rPr>
          <w:rFonts w:hint="eastAsia" w:ascii="宋体" w:hAnsi="宋体"/>
          <w:color w:val="auto"/>
          <w:highlight w:val="none"/>
        </w:rPr>
        <w:t>3.2 《政府采购促进中小企业发展暂行办法》所称中小企业（含中型、小型、微型企业，下同）应当同时符合以下条件：</w:t>
      </w:r>
    </w:p>
    <w:p>
      <w:pPr>
        <w:spacing w:line="360" w:lineRule="auto"/>
        <w:rPr>
          <w:rFonts w:ascii="宋体" w:hAnsi="宋体"/>
          <w:color w:val="auto"/>
          <w:highlight w:val="none"/>
        </w:rPr>
      </w:pPr>
      <w:r>
        <w:rPr>
          <w:rFonts w:hint="eastAsia" w:ascii="宋体" w:hAnsi="宋体"/>
          <w:color w:val="auto"/>
          <w:highlight w:val="none"/>
        </w:rPr>
        <w:t xml:space="preserve">3.2.1符合中小企业划分标准； </w:t>
      </w:r>
    </w:p>
    <w:p>
      <w:pPr>
        <w:spacing w:line="360" w:lineRule="auto"/>
        <w:rPr>
          <w:rFonts w:ascii="宋体" w:hAnsi="宋体"/>
          <w:color w:val="auto"/>
          <w:highlight w:val="none"/>
        </w:rPr>
      </w:pPr>
      <w:r>
        <w:rPr>
          <w:rFonts w:hint="eastAsia" w:ascii="宋体" w:hAnsi="宋体"/>
          <w:color w:val="auto"/>
          <w:highlight w:val="none"/>
        </w:rPr>
        <w:t>3.2.2提供本企业制造的货物、承担的工程或者服务，或者提供其他中小企业制造的货物。本项所称货物不包括使用大型企业注册商标的货物。</w:t>
      </w:r>
    </w:p>
    <w:p>
      <w:pPr>
        <w:spacing w:line="360" w:lineRule="auto"/>
        <w:rPr>
          <w:rFonts w:ascii="宋体" w:hAnsi="宋体"/>
          <w:color w:val="auto"/>
          <w:highlight w:val="none"/>
        </w:rPr>
      </w:pPr>
      <w:r>
        <w:rPr>
          <w:rFonts w:hint="eastAsia" w:ascii="宋体" w:hAnsi="宋体"/>
          <w:color w:val="auto"/>
          <w:highlight w:val="none"/>
        </w:rPr>
        <w:t>中小企业划分标准以《工业和信息化部、国家统计局、国家发展和改革委员会、财政部关于印发中小企业划型标准规定的通知》（工信部联企业[2011]300号）规定的划分标准为准。</w:t>
      </w:r>
    </w:p>
    <w:p>
      <w:pPr>
        <w:spacing w:line="360" w:lineRule="auto"/>
        <w:rPr>
          <w:rFonts w:ascii="宋体" w:hAnsi="宋体"/>
          <w:color w:val="auto"/>
          <w:highlight w:val="none"/>
        </w:rPr>
      </w:pPr>
      <w:r>
        <w:rPr>
          <w:rFonts w:hint="eastAsia" w:ascii="宋体" w:hAnsi="宋体"/>
          <w:color w:val="auto"/>
          <w:highlight w:val="none"/>
        </w:rPr>
        <w:t>小型、微型企业提供中型企业制造的货物的，视同为中型企业。</w:t>
      </w:r>
    </w:p>
    <w:p>
      <w:pPr>
        <w:spacing w:line="360" w:lineRule="auto"/>
        <w:rPr>
          <w:rFonts w:ascii="宋体" w:hAnsi="宋体"/>
          <w:color w:val="auto"/>
          <w:highlight w:val="none"/>
        </w:rPr>
      </w:pPr>
      <w:r>
        <w:rPr>
          <w:rFonts w:hint="eastAsia" w:ascii="宋体" w:hAnsi="宋体"/>
          <w:color w:val="auto"/>
          <w:highlight w:val="none"/>
        </w:rPr>
        <w:t>3.3 参加政府采购活动的中小企业应当提供《中小企业声明函》（格式见第七章投标文件格式），如投标人为非制造商，其代理产品的制造商也应同时提交《中小企业声明函》，否则评审时不能享受相应的价格扣除。</w:t>
      </w:r>
    </w:p>
    <w:p>
      <w:pPr>
        <w:spacing w:line="360" w:lineRule="auto"/>
        <w:rPr>
          <w:rFonts w:ascii="宋体" w:hAnsi="宋体"/>
          <w:color w:val="auto"/>
          <w:highlight w:val="none"/>
        </w:rPr>
      </w:pPr>
      <w:r>
        <w:rPr>
          <w:rFonts w:hint="eastAsia" w:ascii="宋体" w:hAnsi="宋体"/>
          <w:color w:val="auto"/>
          <w:highlight w:val="none"/>
        </w:rPr>
        <w:t>3.4 监狱企业视同小型、微型企业，享受评审中价格扣除。</w:t>
      </w:r>
    </w:p>
    <w:p>
      <w:pPr>
        <w:spacing w:line="360" w:lineRule="auto"/>
        <w:rPr>
          <w:rFonts w:ascii="宋体" w:hAnsi="宋体"/>
          <w:color w:val="auto"/>
          <w:highlight w:val="none"/>
        </w:rPr>
      </w:pPr>
      <w:r>
        <w:rPr>
          <w:rFonts w:hint="eastAsia" w:ascii="宋体" w:hAnsi="宋体"/>
          <w:color w:val="auto"/>
          <w:highlight w:val="none"/>
        </w:rPr>
        <w:t>3.4.1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rPr>
          <w:rFonts w:ascii="宋体" w:hAnsi="宋体"/>
          <w:color w:val="auto"/>
          <w:highlight w:val="none"/>
        </w:rPr>
      </w:pPr>
      <w:r>
        <w:rPr>
          <w:rFonts w:hint="eastAsia" w:ascii="宋体" w:hAnsi="宋体"/>
          <w:color w:val="auto"/>
          <w:highlight w:val="none"/>
        </w:rPr>
        <w:t>3.4.2监狱企业参加政府采购活动时，应当提供由省级以上监狱管理局、戒毒管理局（含新疆生产建设兵团）出具的属于监狱企业的证明文件，否则不予认可。</w:t>
      </w:r>
    </w:p>
    <w:p>
      <w:pPr>
        <w:spacing w:line="360" w:lineRule="auto"/>
        <w:rPr>
          <w:rFonts w:ascii="宋体" w:hAnsi="宋体"/>
          <w:color w:val="auto"/>
          <w:highlight w:val="none"/>
        </w:rPr>
      </w:pPr>
      <w:r>
        <w:rPr>
          <w:rFonts w:hint="eastAsia" w:ascii="宋体" w:hAnsi="宋体"/>
          <w:color w:val="auto"/>
          <w:highlight w:val="none"/>
        </w:rPr>
        <w:t>3.5 投标人同时为小型、微型企业和监狱企业的，评审中只享受一次价格扣除。不重复进行价格扣除。</w:t>
      </w:r>
      <w:bookmarkEnd w:id="35"/>
    </w:p>
    <w:p>
      <w:pPr>
        <w:pStyle w:val="4"/>
        <w:numPr>
          <w:ilvl w:val="0"/>
          <w:numId w:val="0"/>
        </w:numPr>
        <w:rPr>
          <w:color w:val="auto"/>
          <w:sz w:val="24"/>
          <w:highlight w:val="none"/>
        </w:rPr>
      </w:pPr>
      <w:bookmarkStart w:id="155" w:name="_Toc500843104"/>
      <w:bookmarkStart w:id="156" w:name="_Toc10167"/>
      <w:bookmarkStart w:id="157" w:name="_Toc430185803"/>
      <w:bookmarkStart w:id="158" w:name="_Toc430771060"/>
      <w:bookmarkStart w:id="159" w:name="_Toc480010734"/>
      <w:bookmarkStart w:id="160" w:name="_Toc468157562"/>
      <w:bookmarkStart w:id="161" w:name="_Toc468606055"/>
      <w:bookmarkStart w:id="162" w:name="_Toc479991608"/>
      <w:bookmarkStart w:id="163" w:name="_Toc491658677"/>
      <w:bookmarkStart w:id="164" w:name="_Toc500861024"/>
      <w:bookmarkStart w:id="165" w:name="_Toc467236766"/>
      <w:bookmarkStart w:id="166" w:name="_Toc467987849"/>
      <w:bookmarkStart w:id="167" w:name="_Toc480021079"/>
      <w:bookmarkStart w:id="168" w:name="_Toc480020283"/>
      <w:bookmarkStart w:id="169" w:name="_Toc6397151"/>
      <w:bookmarkStart w:id="170" w:name="_Toc500861027"/>
      <w:bookmarkStart w:id="171" w:name="_Toc26066260"/>
      <w:bookmarkStart w:id="172" w:name="_Toc491658680"/>
      <w:bookmarkStart w:id="173" w:name="_Toc6727972"/>
      <w:r>
        <w:rPr>
          <w:rFonts w:hint="eastAsia"/>
          <w:color w:val="auto"/>
          <w:sz w:val="24"/>
          <w:highlight w:val="none"/>
        </w:rPr>
        <w:t>政府采购政策</w:t>
      </w:r>
      <w:bookmarkEnd w:id="155"/>
      <w:bookmarkEnd w:id="156"/>
    </w:p>
    <w:p>
      <w:pPr>
        <w:spacing w:line="360" w:lineRule="auto"/>
        <w:rPr>
          <w:rFonts w:ascii="宋体" w:hAnsi="宋体"/>
          <w:color w:val="auto"/>
          <w:highlight w:val="none"/>
        </w:rPr>
      </w:pPr>
      <w:r>
        <w:rPr>
          <w:rFonts w:hint="eastAsia" w:ascii="宋体" w:hAnsi="宋体"/>
          <w:color w:val="auto"/>
          <w:highlight w:val="none"/>
        </w:rPr>
        <w:t>1．</w:t>
      </w:r>
      <w:bookmarkEnd w:id="157"/>
      <w:bookmarkEnd w:id="158"/>
      <w:r>
        <w:rPr>
          <w:rFonts w:hint="eastAsia"/>
          <w:color w:val="auto"/>
          <w:highlight w:val="none"/>
        </w:rPr>
        <w:t>若没有明示采购进口产品的，则视为采购产品为非进口产品（进口产品指中国海关验放进入中国境内且产自关境外的产品）。</w:t>
      </w:r>
    </w:p>
    <w:p>
      <w:pPr>
        <w:spacing w:line="360" w:lineRule="auto"/>
        <w:rPr>
          <w:rFonts w:ascii="宋体" w:hAnsi="宋体"/>
          <w:color w:val="auto"/>
          <w:highlight w:val="none"/>
        </w:rPr>
      </w:pPr>
      <w:bookmarkStart w:id="174" w:name="_Toc430185804"/>
      <w:bookmarkStart w:id="175" w:name="_Toc430771061"/>
      <w:r>
        <w:rPr>
          <w:rFonts w:hint="eastAsia" w:ascii="宋体" w:hAnsi="宋体"/>
          <w:color w:val="auto"/>
          <w:highlight w:val="none"/>
        </w:rPr>
        <w:t>2．若采购产品属政府强制采购节能产品的，投标人所投产品应已列入最新一期的《节能产品政府采购清单》（该清单投标人可查询中国政府采购网</w:t>
      </w:r>
      <w:r>
        <w:rPr>
          <w:rFonts w:ascii="宋体" w:hAnsi="宋体"/>
          <w:color w:val="auto"/>
          <w:highlight w:val="none"/>
        </w:rPr>
        <w:t>http://www.ccgp.gov.cn</w:t>
      </w:r>
      <w:r>
        <w:rPr>
          <w:rFonts w:hint="eastAsia" w:ascii="宋体" w:hAnsi="宋体"/>
          <w:color w:val="auto"/>
          <w:highlight w:val="none"/>
        </w:rPr>
        <w:t>）。</w:t>
      </w:r>
      <w:r>
        <w:rPr>
          <w:rFonts w:ascii="宋体" w:hAnsi="宋体"/>
          <w:color w:val="auto"/>
          <w:highlight w:val="none"/>
        </w:rPr>
        <w:t xml:space="preserve"> </w:t>
      </w:r>
      <w:r>
        <w:rPr>
          <w:rFonts w:hint="eastAsia" w:ascii="宋体" w:hAnsi="宋体"/>
          <w:color w:val="auto"/>
          <w:highlight w:val="none"/>
        </w:rPr>
        <w:t>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磋商文件公告后国家有关部门再发布新一期的节能清单，则两期清单中的产品都接受。</w:t>
      </w:r>
      <w:bookmarkEnd w:id="174"/>
      <w:bookmarkEnd w:id="175"/>
    </w:p>
    <w:p>
      <w:pPr>
        <w:spacing w:line="360" w:lineRule="auto"/>
        <w:rPr>
          <w:rFonts w:ascii="宋体" w:hAnsi="宋体"/>
          <w:color w:val="auto"/>
          <w:highlight w:val="none"/>
        </w:rPr>
      </w:pPr>
      <w:bookmarkStart w:id="176" w:name="_Toc430185805"/>
      <w:bookmarkStart w:id="177" w:name="_Toc430771062"/>
      <w:r>
        <w:rPr>
          <w:rFonts w:hint="eastAsia" w:ascii="宋体" w:hAnsi="宋体"/>
          <w:color w:val="auto"/>
          <w:highlight w:val="none"/>
        </w:rPr>
        <w:t>3. 根据</w:t>
      </w:r>
      <w:r>
        <w:rPr>
          <w:rFonts w:hint="eastAsia" w:ascii="宋体" w:hAnsi="宋体"/>
          <w:color w:val="auto"/>
          <w:highlight w:val="none"/>
        </w:rPr>
        <w:t>《财政部、国家环保总局联合印发</w:t>
      </w:r>
      <w:r>
        <w:rPr>
          <w:rFonts w:ascii="宋体" w:hAnsi="宋体"/>
          <w:color w:val="auto"/>
          <w:highlight w:val="none"/>
        </w:rPr>
        <w:t>&lt;</w:t>
      </w:r>
      <w:r>
        <w:rPr>
          <w:rFonts w:hint="eastAsia" w:ascii="宋体" w:hAnsi="宋体"/>
          <w:color w:val="auto"/>
          <w:highlight w:val="none"/>
        </w:rPr>
        <w:t>关于环境标志产品政府采购实施意见</w:t>
      </w:r>
      <w:r>
        <w:rPr>
          <w:rFonts w:ascii="宋体" w:hAnsi="宋体"/>
          <w:color w:val="auto"/>
          <w:highlight w:val="none"/>
        </w:rPr>
        <w:t>&gt;</w:t>
      </w:r>
      <w:r>
        <w:rPr>
          <w:rFonts w:hint="eastAsia" w:ascii="宋体" w:hAnsi="宋体"/>
          <w:color w:val="auto"/>
          <w:highlight w:val="none"/>
        </w:rPr>
        <w:t>》（财库</w:t>
      </w:r>
      <w:r>
        <w:rPr>
          <w:rFonts w:ascii="宋体" w:hAnsi="宋体"/>
          <w:color w:val="auto"/>
          <w:highlight w:val="none"/>
        </w:rPr>
        <w:t>[2006]90</w:t>
      </w:r>
      <w:r>
        <w:rPr>
          <w:rFonts w:hint="eastAsia" w:ascii="宋体" w:hAnsi="宋体"/>
          <w:color w:val="auto"/>
          <w:highlight w:val="none"/>
        </w:rPr>
        <w:t>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Style w:val="59"/>
          <w:rFonts w:ascii="宋体" w:hAnsi="宋体"/>
          <w:color w:val="auto"/>
          <w:highlight w:val="none"/>
        </w:rPr>
        <w:t>http://www.ccgp.gov.cn</w:t>
      </w:r>
      <w:r>
        <w:rPr>
          <w:rStyle w:val="59"/>
          <w:rFonts w:ascii="宋体" w:hAnsi="宋体"/>
          <w:color w:val="auto"/>
          <w:highlight w:val="none"/>
        </w:rPr>
        <w:fldChar w:fldCharType="end"/>
      </w:r>
      <w:r>
        <w:rPr>
          <w:rFonts w:ascii="宋体" w:hAnsi="宋体"/>
          <w:color w:val="auto"/>
          <w:highlight w:val="none"/>
        </w:rPr>
        <w:t>/</w:t>
      </w:r>
      <w:r>
        <w:rPr>
          <w:rFonts w:hint="eastAsia" w:ascii="宋体" w:hAnsi="宋体"/>
          <w:color w:val="auto"/>
          <w:highlight w:val="none"/>
        </w:rPr>
        <w:t>）、国家环境保护总局网（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Style w:val="59"/>
          <w:rFonts w:ascii="宋体" w:hAnsi="宋体"/>
          <w:color w:val="auto"/>
          <w:highlight w:val="none"/>
        </w:rPr>
        <w:t>http://www.sepa.gov.cn</w:t>
      </w:r>
      <w:r>
        <w:rPr>
          <w:rStyle w:val="59"/>
          <w:rFonts w:ascii="宋体" w:hAnsi="宋体"/>
          <w:color w:val="auto"/>
          <w:highlight w:val="none"/>
        </w:rPr>
        <w:fldChar w:fldCharType="end"/>
      </w:r>
      <w:r>
        <w:rPr>
          <w:rFonts w:ascii="宋体" w:hAnsi="宋体"/>
          <w:color w:val="auto"/>
          <w:highlight w:val="none"/>
        </w:rPr>
        <w:t>/</w:t>
      </w:r>
      <w:r>
        <w:rPr>
          <w:rFonts w:hint="eastAsia" w:ascii="宋体" w:hAnsi="宋体"/>
          <w:color w:val="auto"/>
          <w:highlight w:val="none"/>
        </w:rPr>
        <w:t>）、中国绿色采购网（</w:t>
      </w:r>
      <w:r>
        <w:rPr>
          <w:color w:val="auto"/>
          <w:highlight w:val="none"/>
        </w:rPr>
        <w:fldChar w:fldCharType="begin"/>
      </w:r>
      <w:r>
        <w:rPr>
          <w:color w:val="auto"/>
          <w:highlight w:val="none"/>
        </w:rPr>
        <w:instrText xml:space="preserve"> HYPERLINK "http://www.cgpn.cn" </w:instrText>
      </w:r>
      <w:r>
        <w:rPr>
          <w:color w:val="auto"/>
          <w:highlight w:val="none"/>
        </w:rPr>
        <w:fldChar w:fldCharType="separate"/>
      </w:r>
      <w:r>
        <w:rPr>
          <w:rStyle w:val="59"/>
          <w:rFonts w:ascii="宋体" w:hAnsi="宋体"/>
          <w:color w:val="auto"/>
          <w:highlight w:val="none"/>
        </w:rPr>
        <w:t>http://www.cgpn.cn</w:t>
      </w:r>
      <w:r>
        <w:rPr>
          <w:rStyle w:val="59"/>
          <w:rFonts w:ascii="宋体" w:hAnsi="宋体"/>
          <w:color w:val="auto"/>
          <w:highlight w:val="none"/>
        </w:rPr>
        <w:fldChar w:fldCharType="end"/>
      </w:r>
      <w:r>
        <w:rPr>
          <w:rFonts w:ascii="宋体" w:hAnsi="宋体"/>
          <w:color w:val="auto"/>
          <w:highlight w:val="none"/>
        </w:rPr>
        <w:t>/</w:t>
      </w:r>
      <w:r>
        <w:rPr>
          <w:rFonts w:hint="eastAsia" w:ascii="宋体" w:hAnsi="宋体"/>
          <w:color w:val="auto"/>
          <w:highlight w:val="none"/>
        </w:rPr>
        <w:t>）上发布。</w:t>
      </w:r>
      <w:bookmarkEnd w:id="176"/>
      <w:bookmarkEnd w:id="177"/>
    </w:p>
    <w:p>
      <w:pPr>
        <w:spacing w:line="360" w:lineRule="auto"/>
        <w:rPr>
          <w:rFonts w:ascii="宋体" w:hAnsi="宋体"/>
          <w:color w:val="auto"/>
          <w:highlight w:val="none"/>
        </w:rPr>
      </w:pPr>
      <w:bookmarkStart w:id="178" w:name="_Toc430185806"/>
      <w:bookmarkStart w:id="179" w:name="_Toc430771063"/>
      <w:r>
        <w:rPr>
          <w:rFonts w:hint="eastAsia" w:ascii="宋体" w:hAnsi="宋体"/>
          <w:color w:val="auto"/>
          <w:highlight w:val="none"/>
        </w:rPr>
        <w:t>4．</w:t>
      </w:r>
      <w:bookmarkEnd w:id="178"/>
      <w:bookmarkEnd w:id="179"/>
      <w:r>
        <w:rPr>
          <w:rFonts w:hint="eastAsia" w:ascii="宋体" w:hAnsi="宋体" w:eastAsia="宋体" w:cs="宋体"/>
          <w:color w:val="auto"/>
          <w:highlight w:val="none"/>
        </w:rPr>
        <w:t>根据《关于印发《政府采购促进中小企业发展管理方法》的通知》（财库[2020]46号）的规定，投标人投标时需注意：</w:t>
      </w:r>
    </w:p>
    <w:p>
      <w:pPr>
        <w:spacing w:line="360" w:lineRule="auto"/>
        <w:rPr>
          <w:rFonts w:ascii="宋体" w:hAnsi="宋体"/>
          <w:color w:val="auto"/>
          <w:highlight w:val="none"/>
        </w:rPr>
      </w:pPr>
      <w:r>
        <w:rPr>
          <w:rFonts w:hint="eastAsia" w:ascii="宋体" w:hAnsi="宋体"/>
          <w:color w:val="auto"/>
          <w:highlight w:val="none"/>
        </w:rPr>
        <w:t>4.1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w:t>
      </w:r>
      <w:r>
        <w:rPr>
          <w:rFonts w:ascii="宋体" w:hAnsi="宋体"/>
          <w:color w:val="auto"/>
          <w:highlight w:val="none"/>
        </w:rPr>
        <w:t>[2011]300</w:t>
      </w:r>
      <w:r>
        <w:rPr>
          <w:rFonts w:hint="eastAsia" w:ascii="宋体" w:hAnsi="宋体"/>
          <w:color w:val="auto"/>
          <w:highlight w:val="none"/>
        </w:rPr>
        <w:t>号）执行。</w:t>
      </w:r>
    </w:p>
    <w:p>
      <w:pPr>
        <w:spacing w:line="360" w:lineRule="auto"/>
        <w:rPr>
          <w:rFonts w:ascii="宋体" w:hAnsi="宋体"/>
          <w:color w:val="auto"/>
          <w:highlight w:val="none"/>
        </w:rPr>
      </w:pPr>
      <w:r>
        <w:rPr>
          <w:rFonts w:hint="eastAsia" w:ascii="宋体" w:hAnsi="宋体"/>
          <w:color w:val="auto"/>
          <w:highlight w:val="none"/>
        </w:rPr>
        <w:t>4.2参加政府采购活动的中小企业投标时需提供《中小企业声明函》。否则不予认可。</w:t>
      </w:r>
    </w:p>
    <w:p>
      <w:pPr>
        <w:spacing w:line="360" w:lineRule="auto"/>
        <w:rPr>
          <w:rFonts w:hint="eastAsia" w:ascii="宋体" w:hAnsi="宋体"/>
          <w:color w:val="auto"/>
          <w:highlight w:val="none"/>
        </w:rPr>
      </w:pPr>
      <w:r>
        <w:rPr>
          <w:rFonts w:hint="eastAsia" w:ascii="宋体" w:hAnsi="宋体"/>
          <w:color w:val="auto"/>
          <w:highlight w:val="none"/>
        </w:rPr>
        <w:t>4.3根据财库〔</w:t>
      </w:r>
      <w:r>
        <w:rPr>
          <w:rFonts w:ascii="宋体" w:hAnsi="宋体"/>
          <w:color w:val="auto"/>
          <w:highlight w:val="none"/>
        </w:rPr>
        <w:t xml:space="preserve"> 2014</w:t>
      </w:r>
      <w:r>
        <w:rPr>
          <w:rFonts w:hint="eastAsia" w:ascii="宋体" w:hAnsi="宋体"/>
          <w:color w:val="auto"/>
          <w:highlight w:val="none"/>
        </w:rPr>
        <w:t>〕</w:t>
      </w:r>
      <w:r>
        <w:rPr>
          <w:rFonts w:ascii="宋体" w:hAnsi="宋体"/>
          <w:color w:val="auto"/>
          <w:highlight w:val="none"/>
        </w:rPr>
        <w:t xml:space="preserve"> 68 </w:t>
      </w:r>
      <w:r>
        <w:rPr>
          <w:rFonts w:hint="eastAsia" w:ascii="宋体" w:hAnsi="宋体"/>
          <w:color w:val="auto"/>
          <w:highlight w:val="none"/>
        </w:rPr>
        <w:t>号《财政部</w:t>
      </w:r>
      <w:r>
        <w:rPr>
          <w:rFonts w:ascii="宋体" w:hAnsi="宋体"/>
          <w:color w:val="auto"/>
          <w:highlight w:val="none"/>
        </w:rPr>
        <w:t xml:space="preserve"> </w:t>
      </w:r>
      <w:r>
        <w:rPr>
          <w:rFonts w:hint="eastAsia" w:ascii="宋体" w:hAnsi="宋体"/>
          <w:color w:val="auto"/>
          <w:highlight w:val="none"/>
        </w:rPr>
        <w:t>司法部关于政府采购支持监狱企业发展有关问题的</w:t>
      </w:r>
      <w:r>
        <w:rPr>
          <w:rFonts w:ascii="宋体" w:hAnsi="宋体"/>
          <w:color w:val="auto"/>
          <w:highlight w:val="none"/>
        </w:rPr>
        <w:t xml:space="preserve"> </w:t>
      </w:r>
      <w:r>
        <w:rPr>
          <w:rFonts w:hint="eastAsia" w:ascii="宋体" w:hAnsi="宋体"/>
          <w:color w:val="auto"/>
          <w:highlight w:val="none"/>
        </w:rPr>
        <w:t>通知》，监狱企业视同小微企业。监狱企业是指由司法部认定的为罪犯、戒毒人员提供生产</w:t>
      </w:r>
      <w:r>
        <w:rPr>
          <w:rFonts w:ascii="宋体" w:hAnsi="宋体"/>
          <w:color w:val="auto"/>
          <w:highlight w:val="none"/>
        </w:rPr>
        <w:t xml:space="preserve"> </w:t>
      </w:r>
      <w:r>
        <w:rPr>
          <w:rFonts w:hint="eastAsia" w:ascii="宋体" w:hAnsi="宋体"/>
          <w:color w:val="auto"/>
          <w:highlight w:val="none"/>
        </w:rPr>
        <w:t>项目和劳动对象，且全部产权属于司法部监狱管理局、戒毒管理局、直属煤矿管理局，各省、自治区、直辖市监狱管理局、戒毒管理局，各地</w:t>
      </w:r>
      <w:r>
        <w:rPr>
          <w:rFonts w:ascii="宋体" w:hAnsi="宋体"/>
          <w:color w:val="auto"/>
          <w:highlight w:val="none"/>
        </w:rPr>
        <w:t>(</w:t>
      </w:r>
      <w:r>
        <w:rPr>
          <w:rFonts w:hint="eastAsia" w:ascii="宋体" w:hAnsi="宋体"/>
          <w:color w:val="auto"/>
          <w:highlight w:val="none"/>
        </w:rPr>
        <w:t>设区的市</w:t>
      </w:r>
      <w:r>
        <w:rPr>
          <w:rFonts w:ascii="宋体" w:hAnsi="宋体"/>
          <w:color w:val="auto"/>
          <w:highlight w:val="none"/>
        </w:rPr>
        <w:t>)</w:t>
      </w:r>
      <w:r>
        <w:rPr>
          <w:rFonts w:hint="eastAsia" w:ascii="宋体" w:hAnsi="宋体"/>
          <w:color w:val="auto"/>
          <w:highlight w:val="none"/>
        </w:rPr>
        <w:t>监狱、强制隔离戒毒所、</w:t>
      </w:r>
      <w:r>
        <w:rPr>
          <w:rFonts w:ascii="宋体" w:hAnsi="宋体"/>
          <w:color w:val="auto"/>
          <w:highlight w:val="none"/>
        </w:rPr>
        <w:t xml:space="preserve"> </w:t>
      </w:r>
      <w:r>
        <w:rPr>
          <w:rFonts w:hint="eastAsia" w:ascii="宋体" w:hAnsi="宋体"/>
          <w:color w:val="auto"/>
          <w:highlight w:val="none"/>
        </w:rPr>
        <w:t>戒毒康复所，以及新疆生产建设兵团监狱管理局、戒毒管理局的企业。监狱企业投标时，</w:t>
      </w:r>
      <w:r>
        <w:rPr>
          <w:rFonts w:ascii="宋体" w:hAnsi="宋体"/>
          <w:color w:val="auto"/>
          <w:highlight w:val="none"/>
        </w:rPr>
        <w:t xml:space="preserve"> </w:t>
      </w:r>
      <w:r>
        <w:rPr>
          <w:rFonts w:hint="eastAsia" w:ascii="宋体" w:hAnsi="宋体"/>
          <w:color w:val="auto"/>
          <w:highlight w:val="none"/>
        </w:rPr>
        <w:t>提供由省级以上监狱管理局、戒毒管理局</w:t>
      </w:r>
      <w:r>
        <w:rPr>
          <w:rFonts w:ascii="宋体" w:hAnsi="宋体"/>
          <w:color w:val="auto"/>
          <w:highlight w:val="none"/>
        </w:rPr>
        <w:t>(</w:t>
      </w:r>
      <w:r>
        <w:rPr>
          <w:rFonts w:hint="eastAsia" w:ascii="宋体" w:hAnsi="宋体"/>
          <w:color w:val="auto"/>
          <w:highlight w:val="none"/>
        </w:rPr>
        <w:t>含新疆生产建设兵团</w:t>
      </w:r>
      <w:r>
        <w:rPr>
          <w:rFonts w:ascii="宋体" w:hAnsi="宋体"/>
          <w:color w:val="auto"/>
          <w:highlight w:val="none"/>
        </w:rPr>
        <w:t>)</w:t>
      </w:r>
      <w:r>
        <w:rPr>
          <w:rFonts w:hint="eastAsia" w:ascii="宋体" w:hAnsi="宋体"/>
          <w:color w:val="auto"/>
          <w:highlight w:val="none"/>
        </w:rPr>
        <w:t>出具的属于监狱企业的证明文件，不再提供《中小微企业声明函》。</w:t>
      </w:r>
    </w:p>
    <w:p>
      <w:pPr>
        <w:spacing w:line="360" w:lineRule="auto"/>
        <w:rPr>
          <w:rFonts w:hint="default" w:ascii="宋体" w:hAnsi="宋体" w:eastAsia="宋体"/>
          <w:color w:val="auto"/>
          <w:highlight w:val="none"/>
          <w:lang w:val="en-US" w:eastAsia="zh-CN"/>
        </w:rPr>
      </w:pPr>
      <w:r>
        <w:rPr>
          <w:rFonts w:hint="eastAsia" w:ascii="宋体" w:hAnsi="宋体"/>
          <w:color w:val="auto"/>
          <w:highlight w:val="none"/>
          <w:lang w:val="en-US" w:eastAsia="zh-CN"/>
        </w:rPr>
        <w:t>4.4</w:t>
      </w:r>
      <w:r>
        <w:rPr>
          <w:rFonts w:hint="eastAsia" w:ascii="宋体" w:hAnsi="宋体" w:eastAsia="宋体" w:cs="宋体"/>
          <w:bCs/>
          <w:color w:val="auto"/>
          <w:highlight w:val="none"/>
          <w:lang w:val="en-US" w:eastAsia="zh-CN"/>
        </w:rPr>
        <w:t>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rPr>
          <w:rFonts w:ascii="宋体" w:hAnsi="宋体"/>
          <w:color w:val="auto"/>
          <w:highlight w:val="none"/>
        </w:rPr>
      </w:pPr>
      <w:r>
        <w:rPr>
          <w:rFonts w:hint="eastAsia" w:ascii="宋体" w:hAnsi="宋体"/>
          <w:color w:val="auto"/>
          <w:highlight w:val="none"/>
        </w:rPr>
        <w:t>4.</w:t>
      </w:r>
      <w:r>
        <w:rPr>
          <w:rFonts w:hint="eastAsia" w:ascii="宋体" w:hAnsi="宋体"/>
          <w:color w:val="auto"/>
          <w:highlight w:val="none"/>
          <w:lang w:val="en-US" w:eastAsia="zh-CN"/>
        </w:rPr>
        <w:t>5</w:t>
      </w:r>
      <w:r>
        <w:rPr>
          <w:rFonts w:hint="eastAsia" w:ascii="宋体" w:hAnsi="宋体"/>
          <w:color w:val="auto"/>
          <w:highlight w:val="none"/>
        </w:rPr>
        <w:t>对于非专门面向中小微型企业采购的项目，依照《政府采购促进中小企业发展暂行办法》的规定，凡符合要求的有效投标人，按照以下比例给予相应的价格扣除：</w:t>
      </w:r>
    </w:p>
    <w:tbl>
      <w:tblPr>
        <w:tblStyle w:val="52"/>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ascii="宋体" w:hAnsi="宋体"/>
                <w:color w:val="auto"/>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对小型和微型企业产品的价格扣除</w:t>
            </w:r>
            <w:r>
              <w:rPr>
                <w:rFonts w:hint="eastAsia" w:ascii="宋体" w:hAnsi="宋体"/>
                <w:color w:val="auto"/>
                <w:highlight w:val="none"/>
                <w:lang w:val="en-US" w:eastAsia="zh-CN"/>
              </w:rPr>
              <w:t>3</w:t>
            </w:r>
            <w:r>
              <w:rPr>
                <w:rFonts w:ascii="宋体" w:hAnsi="宋体"/>
                <w:color w:val="auto"/>
                <w:highlight w:val="non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评标价</w:t>
            </w:r>
            <w:r>
              <w:rPr>
                <w:rFonts w:ascii="宋体" w:hAnsi="宋体"/>
                <w:color w:val="auto"/>
                <w:highlight w:val="none"/>
              </w:rPr>
              <w:t>=</w:t>
            </w:r>
            <w:r>
              <w:rPr>
                <w:rFonts w:hint="eastAsia" w:ascii="宋体" w:hAnsi="宋体"/>
                <w:color w:val="auto"/>
                <w:highlight w:val="none"/>
              </w:rPr>
              <w:t>总投标报价</w:t>
            </w:r>
            <w:r>
              <w:rPr>
                <w:rFonts w:ascii="宋体" w:hAnsi="宋体"/>
                <w:color w:val="auto"/>
                <w:highlight w:val="none"/>
              </w:rPr>
              <w:t>-</w:t>
            </w:r>
            <w:r>
              <w:rPr>
                <w:rFonts w:hint="eastAsia" w:ascii="宋体" w:hAnsi="宋体"/>
                <w:color w:val="auto"/>
                <w:highlight w:val="none"/>
              </w:rPr>
              <w:t>小型和微型企业产品的价格×</w:t>
            </w:r>
            <w:r>
              <w:rPr>
                <w:rFonts w:hint="eastAsia" w:ascii="宋体" w:hAnsi="宋体"/>
                <w:color w:val="auto"/>
                <w:highlight w:val="none"/>
                <w:lang w:val="en-US" w:eastAsia="zh-CN"/>
              </w:rPr>
              <w:t>3</w:t>
            </w:r>
            <w:r>
              <w:rPr>
                <w:rFonts w:ascii="宋体" w:hAnsi="宋体"/>
                <w:color w:val="auto"/>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ascii="宋体" w:hAnsi="宋体"/>
                <w:color w:val="auto"/>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对小型和微型企业产品的价格扣除</w:t>
            </w:r>
            <w:r>
              <w:rPr>
                <w:rFonts w:hint="eastAsia" w:ascii="宋体" w:hAnsi="宋体"/>
                <w:color w:val="auto"/>
                <w:highlight w:val="none"/>
                <w:lang w:val="en-US" w:eastAsia="zh-CN"/>
              </w:rPr>
              <w:t>3</w:t>
            </w:r>
            <w:r>
              <w:rPr>
                <w:rFonts w:ascii="宋体" w:hAnsi="宋体"/>
                <w:color w:val="auto"/>
                <w:highlight w:val="none"/>
              </w:rPr>
              <w:t>%(</w:t>
            </w:r>
            <w:r>
              <w:rPr>
                <w:rFonts w:hint="eastAsia" w:ascii="宋体" w:hAnsi="宋体"/>
                <w:color w:val="auto"/>
                <w:highlight w:val="none"/>
              </w:rPr>
              <w:t>不再享受序号</w:t>
            </w:r>
            <w:r>
              <w:rPr>
                <w:rFonts w:ascii="宋体" w:hAnsi="宋体"/>
                <w:color w:val="auto"/>
                <w:highlight w:val="none"/>
              </w:rPr>
              <w:t>3</w:t>
            </w:r>
            <w:r>
              <w:rPr>
                <w:rFonts w:hint="eastAsia" w:ascii="宋体" w:hAnsi="宋体"/>
                <w:color w:val="auto"/>
                <w:highlight w:val="none"/>
              </w:rPr>
              <w:t>的价格折扣</w:t>
            </w:r>
            <w:r>
              <w:rPr>
                <w:rFonts w:ascii="宋体" w:hAnsi="宋体"/>
                <w:color w:val="auto"/>
                <w:highlight w:val="none"/>
              </w:rPr>
              <w:t>)</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jc w:val="center"/>
        </w:trPr>
        <w:tc>
          <w:tcPr>
            <w:tcW w:w="688"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ascii="宋体" w:hAnsi="宋体"/>
                <w:color w:val="auto"/>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联合体一方为小型、微型企业且小型、微型企业协议合同金额占联合体协议合同总金额</w:t>
            </w:r>
            <w:r>
              <w:rPr>
                <w:rFonts w:ascii="宋体" w:hAnsi="宋体"/>
                <w:color w:val="auto"/>
                <w:highlight w:val="none"/>
              </w:rPr>
              <w:t>30%</w:t>
            </w:r>
            <w:r>
              <w:rPr>
                <w:rFonts w:hint="eastAsia" w:ascii="宋体" w:hAnsi="宋体"/>
                <w:color w:val="auto"/>
                <w:highlight w:val="none"/>
              </w:rPr>
              <w:t>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对联合体总金额扣除</w:t>
            </w:r>
            <w:r>
              <w:rPr>
                <w:rFonts w:ascii="宋体" w:hAnsi="宋体"/>
                <w:color w:val="auto"/>
                <w:highlight w:val="non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ascii="宋体" w:hAnsi="宋体"/>
                <w:color w:val="auto"/>
                <w:highlight w:val="none"/>
              </w:rPr>
            </w:pPr>
            <w:r>
              <w:rPr>
                <w:rFonts w:hint="eastAsia" w:ascii="宋体" w:hAnsi="宋体"/>
                <w:color w:val="auto"/>
                <w:highlight w:val="none"/>
              </w:rPr>
              <w:t>评标价</w:t>
            </w:r>
            <w:r>
              <w:rPr>
                <w:rFonts w:ascii="宋体" w:hAnsi="宋体"/>
                <w:color w:val="auto"/>
                <w:highlight w:val="none"/>
              </w:rPr>
              <w:t>=</w:t>
            </w:r>
            <w:r>
              <w:rPr>
                <w:rFonts w:hint="eastAsia" w:ascii="宋体" w:hAnsi="宋体"/>
                <w:color w:val="auto"/>
                <w:highlight w:val="none"/>
              </w:rPr>
              <w:t>总投标报价×（</w:t>
            </w:r>
            <w:r>
              <w:rPr>
                <w:rFonts w:ascii="宋体" w:hAnsi="宋体"/>
                <w:color w:val="auto"/>
                <w:highlight w:val="none"/>
                <w:u w:val="single"/>
              </w:rPr>
              <w:t>1-2%</w:t>
            </w:r>
            <w:r>
              <w:rPr>
                <w:rFonts w:hint="eastAsia" w:ascii="宋体" w:hAnsi="宋体"/>
                <w:color w:val="auto"/>
                <w:highlight w:val="none"/>
              </w:rPr>
              <w:t>）</w:t>
            </w:r>
          </w:p>
        </w:tc>
      </w:tr>
      <w:bookmarkEnd w:id="159"/>
      <w:bookmarkEnd w:id="160"/>
      <w:bookmarkEnd w:id="161"/>
      <w:bookmarkEnd w:id="162"/>
      <w:bookmarkEnd w:id="163"/>
      <w:bookmarkEnd w:id="164"/>
      <w:bookmarkEnd w:id="165"/>
      <w:bookmarkEnd w:id="166"/>
      <w:bookmarkEnd w:id="167"/>
      <w:bookmarkEnd w:id="168"/>
    </w:tbl>
    <w:p>
      <w:pPr>
        <w:spacing w:line="360" w:lineRule="auto"/>
        <w:rPr>
          <w:rFonts w:ascii="宋体" w:hAnsi="宋体"/>
          <w:color w:val="auto"/>
          <w:highlight w:val="none"/>
        </w:rPr>
      </w:pPr>
    </w:p>
    <w:p>
      <w:pPr>
        <w:widowControl/>
        <w:tabs>
          <w:tab w:val="left" w:pos="753"/>
        </w:tabs>
        <w:adjustRightInd w:val="0"/>
        <w:snapToGrid w:val="0"/>
        <w:spacing w:line="360" w:lineRule="auto"/>
        <w:ind w:left="753" w:hanging="753"/>
        <w:rPr>
          <w:rFonts w:ascii="宋体" w:hAnsi="宋体" w:cs="Arial"/>
          <w:color w:val="auto"/>
          <w:szCs w:val="21"/>
          <w:highlight w:val="none"/>
        </w:rPr>
        <w:sectPr>
          <w:footerReference r:id="rId10" w:type="first"/>
          <w:footerReference r:id="rId9" w:type="default"/>
          <w:pgSz w:w="11906" w:h="16838"/>
          <w:pgMar w:top="1418" w:right="1230" w:bottom="1134" w:left="1230" w:header="851" w:footer="851" w:gutter="0"/>
          <w:cols w:space="720" w:num="1"/>
          <w:titlePg/>
          <w:docGrid w:linePitch="312" w:charSpace="0"/>
        </w:sectPr>
      </w:pPr>
    </w:p>
    <w:p>
      <w:pPr>
        <w:pStyle w:val="3"/>
        <w:numPr>
          <w:ilvl w:val="0"/>
          <w:numId w:val="0"/>
        </w:numPr>
        <w:spacing w:beforeLines="0"/>
        <w:rPr>
          <w:rFonts w:ascii="宋体" w:hAnsi="宋体" w:eastAsia="宋体"/>
          <w:b/>
          <w:color w:val="auto"/>
          <w:highlight w:val="none"/>
        </w:rPr>
      </w:pPr>
      <w:bookmarkStart w:id="180" w:name="_Hlt21939000"/>
      <w:bookmarkEnd w:id="180"/>
      <w:bookmarkStart w:id="181" w:name="_Toc339362309"/>
      <w:bookmarkStart w:id="182" w:name="_Toc339020104"/>
      <w:bookmarkStart w:id="183" w:name="_Toc349127635"/>
      <w:bookmarkStart w:id="184" w:name="_Toc365985187"/>
      <w:bookmarkStart w:id="185" w:name="_Toc336681589"/>
      <w:bookmarkStart w:id="186" w:name="_Toc340672878"/>
      <w:bookmarkStart w:id="187" w:name="_Toc339020242"/>
      <w:bookmarkStart w:id="188" w:name="_Toc350438758"/>
      <w:bookmarkStart w:id="189" w:name="_Toc342296769"/>
      <w:bookmarkStart w:id="190" w:name="_Toc333238642"/>
      <w:bookmarkStart w:id="191" w:name="_Toc333935696"/>
      <w:bookmarkStart w:id="192" w:name="_Toc336681944"/>
      <w:bookmarkStart w:id="193" w:name="_Toc332270355"/>
      <w:bookmarkStart w:id="194" w:name="_Toc342060383"/>
      <w:bookmarkStart w:id="195" w:name="_Toc331684047"/>
      <w:bookmarkStart w:id="196" w:name="_Toc339019898"/>
      <w:bookmarkStart w:id="197" w:name="_Toc345513910"/>
      <w:bookmarkStart w:id="198" w:name="_Toc366072538"/>
      <w:bookmarkStart w:id="199" w:name="_Toc339441096"/>
      <w:bookmarkStart w:id="200" w:name="_Toc374454610"/>
      <w:bookmarkStart w:id="201" w:name="_Toc340507451"/>
      <w:bookmarkStart w:id="202" w:name="_Toc341348347"/>
      <w:bookmarkStart w:id="203" w:name="_Toc340677079"/>
      <w:bookmarkStart w:id="204" w:name="_Toc350756459"/>
      <w:bookmarkStart w:id="205" w:name="_Toc337632367"/>
      <w:bookmarkStart w:id="206" w:name="_Toc333237797"/>
      <w:bookmarkStart w:id="207" w:name="_Toc365967081"/>
      <w:bookmarkStart w:id="208" w:name="_Toc330459994"/>
      <w:bookmarkStart w:id="209" w:name="_Toc339020024"/>
      <w:bookmarkStart w:id="210" w:name="_Toc333237686"/>
      <w:bookmarkStart w:id="211" w:name="_Toc331512907"/>
      <w:bookmarkStart w:id="212" w:name="_Toc333935355"/>
      <w:bookmarkStart w:id="213" w:name="_Toc332206717"/>
      <w:bookmarkStart w:id="214" w:name="_Toc349143598"/>
      <w:bookmarkStart w:id="215" w:name="_Toc4630"/>
      <w:r>
        <w:rPr>
          <w:rFonts w:hint="eastAsia" w:ascii="宋体" w:hAnsi="宋体" w:eastAsia="宋体"/>
          <w:b/>
          <w:color w:val="auto"/>
          <w:highlight w:val="none"/>
        </w:rPr>
        <w:t xml:space="preserve">第五部分  </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Start w:id="216" w:name="_Hlt97188170"/>
      <w:bookmarkEnd w:id="216"/>
      <w:r>
        <w:rPr>
          <w:rFonts w:hint="eastAsia" w:ascii="宋体" w:hAnsi="宋体"/>
          <w:b/>
          <w:color w:val="auto"/>
          <w:sz w:val="21"/>
          <w:szCs w:val="21"/>
          <w:highlight w:val="none"/>
        </w:rPr>
        <w:t>合同书格式（参考范本）</w:t>
      </w:r>
      <w:bookmarkEnd w:id="215"/>
    </w:p>
    <w:p>
      <w:pPr>
        <w:spacing w:line="360" w:lineRule="auto"/>
        <w:ind w:firstLine="420" w:firstLineChars="200"/>
        <w:rPr>
          <w:rFonts w:ascii="宋体" w:hAnsi="宋体"/>
          <w:bCs/>
          <w:color w:val="auto"/>
          <w:highlight w:val="none"/>
        </w:rPr>
      </w:pPr>
      <w:r>
        <w:rPr>
          <w:rFonts w:hint="eastAsia" w:ascii="宋体" w:hAnsi="宋体"/>
          <w:bCs/>
          <w:color w:val="auto"/>
          <w:szCs w:val="21"/>
          <w:highlight w:val="none"/>
        </w:rPr>
        <w:t>甲乙双方根据</w:t>
      </w:r>
      <w:r>
        <w:rPr>
          <w:rFonts w:hint="eastAsia" w:ascii="宋体" w:hAnsi="宋体"/>
          <w:bCs/>
          <w:color w:val="auto"/>
          <w:szCs w:val="21"/>
          <w:highlight w:val="none"/>
          <w:u w:val="single"/>
        </w:rPr>
        <w:t xml:space="preserve">     </w:t>
      </w:r>
      <w:r>
        <w:rPr>
          <w:rFonts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rPr>
        <w:t>日</w:t>
      </w:r>
      <w:r>
        <w:rPr>
          <w:rFonts w:hint="eastAsia" w:ascii="宋体" w:hAnsi="宋体" w:cs="宋体"/>
          <w:color w:val="auto"/>
          <w:szCs w:val="21"/>
          <w:highlight w:val="none"/>
          <w:u w:val="single"/>
        </w:rPr>
        <w:t xml:space="preserve">  采购项目名称  </w:t>
      </w:r>
      <w:r>
        <w:rPr>
          <w:rFonts w:hint="eastAsia" w:ascii="宋体" w:hAnsi="宋体"/>
          <w:bCs/>
          <w:color w:val="auto"/>
          <w:szCs w:val="21"/>
          <w:highlight w:val="none"/>
        </w:rPr>
        <w:t>（项目编号:</w:t>
      </w:r>
      <w:r>
        <w:rPr>
          <w:rFonts w:hint="eastAsia" w:hAnsi="宋体"/>
          <w:b/>
          <w:color w:val="auto"/>
          <w:sz w:val="32"/>
          <w:szCs w:val="32"/>
          <w:highlight w:val="none"/>
        </w:rPr>
        <w:t xml:space="preserve"> </w:t>
      </w:r>
      <w:r>
        <w:rPr>
          <w:rFonts w:hint="eastAsia" w:ascii="宋体" w:hAnsi="宋体"/>
          <w:b/>
          <w:color w:val="auto"/>
          <w:szCs w:val="21"/>
          <w:highlight w:val="none"/>
          <w:u w:val="single"/>
        </w:rPr>
        <w:t xml:space="preserve">       </w:t>
      </w:r>
      <w:r>
        <w:rPr>
          <w:rFonts w:hint="eastAsia" w:ascii="宋体" w:hAnsi="宋体"/>
          <w:bCs/>
          <w:color w:val="auto"/>
          <w:szCs w:val="21"/>
          <w:highlight w:val="none"/>
        </w:rPr>
        <w:t>）成交结果和有关磋商文件、磋商响应文件的要求，经双方协商一致，订立以下合同：</w:t>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第一条  </w:t>
      </w:r>
      <w:r>
        <w:rPr>
          <w:rFonts w:hint="eastAsia" w:ascii="宋体" w:hAnsi="宋体"/>
          <w:bCs/>
          <w:color w:val="auto"/>
          <w:szCs w:val="21"/>
          <w:highlight w:val="none"/>
        </w:rPr>
        <w:tab/>
      </w:r>
      <w:r>
        <w:rPr>
          <w:rFonts w:hint="eastAsia" w:ascii="宋体" w:hAnsi="宋体"/>
          <w:bCs/>
          <w:color w:val="auto"/>
          <w:szCs w:val="21"/>
          <w:highlight w:val="none"/>
        </w:rPr>
        <w:t>项目的名称、单价、总价，项目所包含服务的范围</w:t>
      </w:r>
    </w:p>
    <w:p>
      <w:pPr>
        <w:tabs>
          <w:tab w:val="left" w:pos="1004"/>
        </w:tabs>
        <w:spacing w:line="36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1. 项目名称：</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36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2. 服务范围：</w:t>
      </w:r>
      <w:r>
        <w:rPr>
          <w:rFonts w:hint="eastAsia" w:ascii="宋体" w:hAnsi="宋体"/>
          <w:bCs/>
          <w:color w:val="auto"/>
          <w:szCs w:val="21"/>
          <w:highlight w:val="none"/>
          <w:u w:val="single"/>
        </w:rPr>
        <w:t xml:space="preserve">（另附）                               </w:t>
      </w:r>
      <w:r>
        <w:rPr>
          <w:rFonts w:hint="eastAsia" w:ascii="宋体" w:hAnsi="宋体"/>
          <w:bCs/>
          <w:color w:val="auto"/>
          <w:szCs w:val="21"/>
          <w:highlight w:val="none"/>
        </w:rPr>
        <w:t>；</w:t>
      </w:r>
    </w:p>
    <w:p>
      <w:pPr>
        <w:tabs>
          <w:tab w:val="left" w:pos="1004"/>
        </w:tabs>
        <w:spacing w:line="360" w:lineRule="auto"/>
        <w:ind w:right="31" w:rightChars="15" w:firstLine="1003" w:firstLineChars="478"/>
        <w:rPr>
          <w:rFonts w:ascii="宋体" w:hAnsi="宋体"/>
          <w:bCs/>
          <w:color w:val="auto"/>
          <w:szCs w:val="21"/>
          <w:highlight w:val="none"/>
          <w:u w:val="single"/>
        </w:rPr>
      </w:pPr>
      <w:r>
        <w:rPr>
          <w:rFonts w:hint="eastAsia" w:ascii="宋体" w:hAnsi="宋体"/>
          <w:bCs/>
          <w:color w:val="auto"/>
          <w:szCs w:val="21"/>
          <w:highlight w:val="none"/>
        </w:rPr>
        <w:t>3. 项目总价：</w:t>
      </w:r>
      <w:r>
        <w:rPr>
          <w:rFonts w:hint="eastAsia" w:ascii="宋体" w:hAnsi="宋体"/>
          <w:bCs/>
          <w:color w:val="auto"/>
          <w:szCs w:val="21"/>
          <w:highlight w:val="none"/>
          <w:u w:val="single"/>
        </w:rPr>
        <w:t xml:space="preserve">（小写）                               </w:t>
      </w:r>
    </w:p>
    <w:p>
      <w:pPr>
        <w:tabs>
          <w:tab w:val="left" w:pos="1004"/>
        </w:tabs>
        <w:spacing w:line="360" w:lineRule="auto"/>
        <w:ind w:right="31" w:rightChars="15" w:firstLine="1003" w:firstLineChars="478"/>
        <w:rPr>
          <w:rFonts w:ascii="宋体" w:hAnsi="宋体"/>
          <w:bCs/>
          <w:color w:val="auto"/>
          <w:szCs w:val="21"/>
          <w:highlight w:val="none"/>
          <w:u w:val="single"/>
        </w:rPr>
      </w:pPr>
      <w:r>
        <w:rPr>
          <w:rFonts w:hint="eastAsia" w:ascii="宋体" w:hAnsi="宋体"/>
          <w:bCs/>
          <w:color w:val="auto"/>
          <w:szCs w:val="21"/>
          <w:highlight w:val="none"/>
        </w:rPr>
        <w:t xml:space="preserve">            </w:t>
      </w:r>
      <w:r>
        <w:rPr>
          <w:rFonts w:hint="eastAsia" w:ascii="宋体" w:hAnsi="宋体"/>
          <w:bCs/>
          <w:color w:val="auto"/>
          <w:szCs w:val="21"/>
          <w:highlight w:val="none"/>
          <w:u w:val="single"/>
        </w:rPr>
        <w:t xml:space="preserve">（大写）                               </w:t>
      </w:r>
    </w:p>
    <w:p>
      <w:pPr>
        <w:tabs>
          <w:tab w:val="left" w:pos="1004"/>
        </w:tabs>
        <w:spacing w:line="360" w:lineRule="auto"/>
        <w:ind w:right="31" w:rightChars="15" w:firstLine="1003" w:firstLineChars="478"/>
        <w:rPr>
          <w:rFonts w:ascii="宋体" w:hAnsi="宋体"/>
          <w:bCs/>
          <w:color w:val="auto"/>
          <w:szCs w:val="21"/>
          <w:highlight w:val="none"/>
        </w:rPr>
      </w:pPr>
      <w:r>
        <w:rPr>
          <w:rFonts w:hint="eastAsia" w:ascii="宋体" w:hAnsi="宋体"/>
          <w:bCs/>
          <w:color w:val="auto"/>
          <w:szCs w:val="21"/>
          <w:highlight w:val="none"/>
        </w:rPr>
        <w:t>甲方不再另付任何费用。项目总价为完成项目含税的全包价。</w:t>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第二条  </w:t>
      </w:r>
      <w:r>
        <w:rPr>
          <w:rFonts w:hint="eastAsia" w:ascii="宋体" w:hAnsi="宋体"/>
          <w:bCs/>
          <w:color w:val="auto"/>
          <w:szCs w:val="21"/>
          <w:highlight w:val="none"/>
        </w:rPr>
        <w:tab/>
      </w:r>
      <w:r>
        <w:rPr>
          <w:rFonts w:hint="eastAsia" w:ascii="宋体" w:hAnsi="宋体"/>
          <w:bCs/>
          <w:color w:val="auto"/>
          <w:szCs w:val="21"/>
          <w:highlight w:val="none"/>
        </w:rPr>
        <w:t>服务的质量要求、售后服务、培训费用及损害赔偿</w:t>
      </w:r>
    </w:p>
    <w:p>
      <w:pPr>
        <w:tabs>
          <w:tab w:val="left" w:pos="1004"/>
        </w:tabs>
        <w:spacing w:line="360" w:lineRule="auto"/>
        <w:ind w:left="1079" w:leftChars="514" w:right="31" w:rightChars="15"/>
        <w:rPr>
          <w:rFonts w:ascii="宋体" w:hAnsi="宋体"/>
          <w:bCs/>
          <w:color w:val="auto"/>
          <w:szCs w:val="21"/>
          <w:highlight w:val="none"/>
        </w:rPr>
      </w:pP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第三条</w:t>
      </w:r>
      <w:r>
        <w:rPr>
          <w:rFonts w:hint="eastAsia" w:ascii="宋体" w:hAnsi="宋体"/>
          <w:bCs/>
          <w:color w:val="auto"/>
          <w:szCs w:val="21"/>
          <w:highlight w:val="none"/>
        </w:rPr>
        <w:tab/>
      </w:r>
      <w:r>
        <w:rPr>
          <w:rFonts w:hint="eastAsia" w:ascii="宋体" w:hAnsi="宋体"/>
          <w:bCs/>
          <w:color w:val="auto"/>
          <w:szCs w:val="21"/>
          <w:highlight w:val="none"/>
        </w:rPr>
        <w:t>完工和验收</w:t>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1.</w:t>
      </w:r>
      <w:r>
        <w:rPr>
          <w:rFonts w:hint="eastAsia" w:ascii="宋体" w:hAnsi="宋体"/>
          <w:bCs/>
          <w:color w:val="auto"/>
          <w:szCs w:val="21"/>
          <w:highlight w:val="none"/>
          <w:lang w:val="en-US" w:eastAsia="zh-CN"/>
        </w:rPr>
        <w:t>完工</w:t>
      </w:r>
      <w:r>
        <w:rPr>
          <w:rFonts w:hint="eastAsia" w:ascii="宋体" w:hAnsi="宋体"/>
          <w:bCs/>
          <w:color w:val="auto"/>
          <w:szCs w:val="21"/>
          <w:highlight w:val="none"/>
        </w:rPr>
        <w:t>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2.</w:t>
      </w:r>
      <w:r>
        <w:rPr>
          <w:rFonts w:hint="eastAsia" w:ascii="宋体" w:hAnsi="宋体"/>
          <w:bCs/>
          <w:color w:val="auto"/>
          <w:szCs w:val="21"/>
          <w:highlight w:val="none"/>
          <w:lang w:val="en-US" w:eastAsia="zh-CN"/>
        </w:rPr>
        <w:t>施工</w:t>
      </w:r>
      <w:r>
        <w:rPr>
          <w:rFonts w:hint="eastAsia" w:ascii="宋体" w:hAnsi="宋体"/>
          <w:bCs/>
          <w:color w:val="auto"/>
          <w:szCs w:val="21"/>
          <w:highlight w:val="none"/>
        </w:rPr>
        <w:t>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360" w:lineRule="auto"/>
        <w:ind w:left="1361" w:leftChars="428" w:right="31" w:rightChars="15" w:hanging="462" w:hangingChars="220"/>
        <w:rPr>
          <w:rFonts w:ascii="宋体" w:hAnsi="宋体"/>
          <w:bCs/>
          <w:color w:val="auto"/>
          <w:szCs w:val="21"/>
          <w:highlight w:val="none"/>
        </w:rPr>
      </w:pPr>
      <w:r>
        <w:rPr>
          <w:rFonts w:hint="eastAsia" w:ascii="宋体" w:hAnsi="宋体"/>
          <w:bCs/>
          <w:color w:val="auto"/>
          <w:szCs w:val="21"/>
          <w:highlight w:val="none"/>
        </w:rPr>
        <w:tab/>
      </w:r>
      <w:r>
        <w:rPr>
          <w:rFonts w:hint="eastAsia" w:ascii="宋体" w:hAnsi="宋体"/>
          <w:bCs/>
          <w:color w:val="auto"/>
          <w:szCs w:val="21"/>
          <w:highlight w:val="none"/>
        </w:rPr>
        <w:t>3.验收时间：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1004"/>
        </w:tabs>
        <w:spacing w:line="360" w:lineRule="auto"/>
        <w:ind w:right="31" w:rightChars="15"/>
        <w:rPr>
          <w:rFonts w:ascii="宋体" w:hAnsi="宋体"/>
          <w:bCs/>
          <w:color w:val="auto"/>
          <w:szCs w:val="21"/>
          <w:highlight w:val="none"/>
          <w:u w:val="single"/>
        </w:rPr>
      </w:pPr>
      <w:r>
        <w:rPr>
          <w:rFonts w:hint="eastAsia" w:ascii="宋体" w:hAnsi="宋体"/>
          <w:bCs/>
          <w:color w:val="auto"/>
          <w:szCs w:val="21"/>
          <w:highlight w:val="none"/>
        </w:rPr>
        <w:tab/>
      </w:r>
      <w:r>
        <w:rPr>
          <w:rFonts w:hint="eastAsia" w:ascii="宋体" w:hAnsi="宋体"/>
          <w:bCs/>
          <w:color w:val="auto"/>
          <w:szCs w:val="21"/>
          <w:highlight w:val="none"/>
        </w:rPr>
        <w:t>4.</w:t>
      </w:r>
      <w:r>
        <w:rPr>
          <w:rFonts w:hint="eastAsia" w:ascii="宋体" w:hAnsi="宋体"/>
          <w:bCs/>
          <w:color w:val="auto"/>
          <w:szCs w:val="21"/>
          <w:highlight w:val="none"/>
          <w:lang w:val="en-US" w:eastAsia="zh-CN"/>
        </w:rPr>
        <w:t>工程</w:t>
      </w:r>
      <w:r>
        <w:rPr>
          <w:rFonts w:hint="eastAsia" w:ascii="宋体" w:hAnsi="宋体"/>
          <w:bCs/>
          <w:color w:val="auto"/>
          <w:szCs w:val="21"/>
          <w:highlight w:val="none"/>
        </w:rPr>
        <w:t>验收方式：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spacing w:line="360" w:lineRule="auto"/>
        <w:ind w:right="31" w:rightChars="15" w:firstLine="1050" w:firstLineChars="500"/>
        <w:rPr>
          <w:rFonts w:ascii="宋体" w:hAnsi="宋体"/>
          <w:color w:val="auto"/>
          <w:szCs w:val="21"/>
          <w:highlight w:val="none"/>
        </w:rPr>
      </w:pPr>
      <w:r>
        <w:rPr>
          <w:rFonts w:hint="eastAsia" w:ascii="宋体" w:hAnsi="宋体"/>
          <w:color w:val="auto"/>
          <w:szCs w:val="21"/>
          <w:highlight w:val="none"/>
        </w:rPr>
        <w:t>5.验收标准：</w:t>
      </w:r>
    </w:p>
    <w:p>
      <w:pPr>
        <w:numPr>
          <w:ilvl w:val="6"/>
          <w:numId w:val="24"/>
        </w:numPr>
        <w:tabs>
          <w:tab w:val="left" w:pos="1680"/>
        </w:tabs>
        <w:spacing w:line="360" w:lineRule="auto"/>
        <w:ind w:left="1680" w:hanging="315"/>
        <w:rPr>
          <w:rFonts w:ascii="宋体" w:hAnsi="宋体"/>
          <w:bCs/>
          <w:color w:val="auto"/>
          <w:szCs w:val="21"/>
          <w:highlight w:val="none"/>
        </w:rPr>
      </w:pPr>
      <w:r>
        <w:rPr>
          <w:rFonts w:hint="eastAsia" w:ascii="宋体" w:hAnsi="宋体"/>
          <w:color w:val="auto"/>
          <w:szCs w:val="21"/>
          <w:highlight w:val="none"/>
        </w:rPr>
        <w:t>质量符合磋商文件和磋商响应文件的要求；</w:t>
      </w:r>
    </w:p>
    <w:p>
      <w:pPr>
        <w:numPr>
          <w:ilvl w:val="6"/>
          <w:numId w:val="24"/>
        </w:numPr>
        <w:tabs>
          <w:tab w:val="left" w:pos="1680"/>
          <w:tab w:val="clear" w:pos="4830"/>
        </w:tabs>
        <w:spacing w:line="360" w:lineRule="auto"/>
        <w:ind w:left="1680" w:right="31" w:rightChars="15" w:hanging="315"/>
        <w:rPr>
          <w:rFonts w:ascii="宋体" w:hAnsi="宋体"/>
          <w:bCs/>
          <w:color w:val="auto"/>
          <w:szCs w:val="21"/>
          <w:highlight w:val="none"/>
        </w:rPr>
      </w:pPr>
      <w:r>
        <w:rPr>
          <w:rFonts w:hint="eastAsia" w:ascii="宋体" w:hAnsi="宋体"/>
          <w:bCs/>
          <w:color w:val="auto"/>
          <w:szCs w:val="21"/>
          <w:highlight w:val="none"/>
        </w:rPr>
        <w:t>双方约定的其他验收标准。</w:t>
      </w:r>
      <w:r>
        <w:rPr>
          <w:rFonts w:hint="eastAsia" w:ascii="宋体" w:hAnsi="宋体"/>
          <w:bCs/>
          <w:color w:val="auto"/>
          <w:szCs w:val="21"/>
          <w:highlight w:val="none"/>
        </w:rPr>
        <w:tab/>
      </w:r>
    </w:p>
    <w:p>
      <w:pPr>
        <w:tabs>
          <w:tab w:val="left" w:pos="1004"/>
        </w:tabs>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第四条   价款的结算、付款时间</w:t>
      </w:r>
    </w:p>
    <w:p>
      <w:pPr>
        <w:numPr>
          <w:ilvl w:val="0"/>
          <w:numId w:val="25"/>
        </w:numPr>
        <w:tabs>
          <w:tab w:val="left" w:pos="945"/>
        </w:tabs>
        <w:adjustRightInd w:val="0"/>
        <w:snapToGrid w:val="0"/>
        <w:spacing w:line="360" w:lineRule="auto"/>
        <w:ind w:right="31" w:rightChars="15"/>
        <w:rPr>
          <w:rFonts w:ascii="宋体" w:hAnsi="宋体"/>
          <w:bCs/>
          <w:color w:val="auto"/>
          <w:szCs w:val="21"/>
          <w:highlight w:val="none"/>
        </w:rPr>
      </w:pPr>
      <w:r>
        <w:rPr>
          <w:rFonts w:hint="eastAsia" w:ascii="宋体" w:hAnsi="宋体"/>
          <w:bCs/>
          <w:color w:val="auto"/>
          <w:szCs w:val="21"/>
          <w:highlight w:val="none"/>
        </w:rPr>
        <w:t>付款方式：</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numPr>
          <w:ilvl w:val="0"/>
          <w:numId w:val="25"/>
        </w:numPr>
        <w:tabs>
          <w:tab w:val="left" w:pos="1155"/>
          <w:tab w:val="clear" w:pos="1203"/>
        </w:tabs>
        <w:adjustRightInd w:val="0"/>
        <w:snapToGrid w:val="0"/>
        <w:spacing w:line="360" w:lineRule="auto"/>
        <w:ind w:right="31" w:rightChars="15"/>
        <w:rPr>
          <w:rFonts w:ascii="宋体" w:hAnsi="宋体"/>
          <w:color w:val="auto"/>
          <w:szCs w:val="21"/>
          <w:highlight w:val="none"/>
        </w:rPr>
      </w:pPr>
      <w:r>
        <w:rPr>
          <w:rFonts w:hint="eastAsia" w:ascii="宋体" w:hAnsi="宋体"/>
          <w:bCs/>
          <w:color w:val="auto"/>
          <w:szCs w:val="21"/>
          <w:highlight w:val="none"/>
        </w:rPr>
        <w:t>付款时间：</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tabs>
          <w:tab w:val="left" w:pos="945"/>
        </w:tabs>
        <w:adjustRightInd w:val="0"/>
        <w:snapToGrid w:val="0"/>
        <w:spacing w:line="360" w:lineRule="auto"/>
        <w:ind w:left="945" w:right="31" w:rightChars="15" w:hanging="945" w:hangingChars="450"/>
        <w:rPr>
          <w:rFonts w:ascii="宋体" w:hAnsi="宋体"/>
          <w:bCs/>
          <w:color w:val="auto"/>
          <w:szCs w:val="21"/>
          <w:highlight w:val="none"/>
        </w:rPr>
      </w:pPr>
      <w:r>
        <w:rPr>
          <w:rFonts w:hint="eastAsia" w:ascii="宋体" w:hAnsi="宋体"/>
          <w:bCs/>
          <w:color w:val="auto"/>
          <w:szCs w:val="21"/>
          <w:highlight w:val="none"/>
        </w:rPr>
        <w:t>第五条   对产品异议的时间和办法</w:t>
      </w:r>
    </w:p>
    <w:p>
      <w:pPr>
        <w:tabs>
          <w:tab w:val="left" w:pos="1255"/>
        </w:tabs>
        <w:spacing w:line="36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rPr>
        <w:tab/>
      </w:r>
      <w:r>
        <w:rPr>
          <w:rFonts w:hint="eastAsia" w:ascii="宋体" w:hAnsi="宋体"/>
          <w:bCs/>
          <w:color w:val="auto"/>
          <w:szCs w:val="21"/>
          <w:highlight w:val="none"/>
        </w:rPr>
        <w:t>甲方在验收中，如果发现乙方所提供的服务质量或相关服务不合规定的，在2日内向乙方提出书面异议；甲方怠于通知乙方的，视为乙方所提供的服务合乎规定。</w:t>
      </w:r>
    </w:p>
    <w:p>
      <w:pPr>
        <w:tabs>
          <w:tab w:val="left" w:pos="1255"/>
        </w:tabs>
        <w:spacing w:line="360" w:lineRule="auto"/>
        <w:ind w:left="1258" w:leftChars="429" w:right="31" w:rightChars="15" w:hanging="357" w:hangingChars="170"/>
        <w:rPr>
          <w:rFonts w:ascii="宋体" w:hAnsi="宋体"/>
          <w:bCs/>
          <w:color w:val="auto"/>
          <w:szCs w:val="21"/>
          <w:highlight w:val="none"/>
        </w:rPr>
      </w:pPr>
      <w:r>
        <w:rPr>
          <w:rFonts w:hint="eastAsia" w:ascii="宋体" w:hAnsi="宋体"/>
          <w:bCs/>
          <w:color w:val="auto"/>
          <w:szCs w:val="21"/>
          <w:highlight w:val="none"/>
        </w:rPr>
        <w:t>2. 乙方在接到甲方书面异议后，应在10日历日内负责处理，否则，即视为默认甲方提出的异议和处理意见。</w:t>
      </w:r>
    </w:p>
    <w:p>
      <w:pPr>
        <w:tabs>
          <w:tab w:val="left" w:pos="1004"/>
        </w:tabs>
        <w:spacing w:line="360" w:lineRule="auto"/>
        <w:rPr>
          <w:rFonts w:ascii="宋体" w:hAnsi="宋体"/>
          <w:bCs/>
          <w:color w:val="auto"/>
          <w:szCs w:val="21"/>
          <w:highlight w:val="none"/>
        </w:rPr>
      </w:pP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第六条   乙方的违约责任</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 xml:space="preserve">     1. 乙方所提供的服务质量、拟投入人员不符合合同规定的，由乙方负责按照原磋商文件、更正公告内容和质疑答疑文件（若有）、磋商响应文件、中标（成交）通知书等实质性内容重新免费提供该项目服务内容。</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 xml:space="preserve">    2. 每推迟一天按总价的1%罚款。</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第七条</w:t>
      </w:r>
      <w:r>
        <w:rPr>
          <w:rFonts w:hint="eastAsia" w:ascii="宋体" w:hAnsi="宋体"/>
          <w:bCs/>
          <w:color w:val="auto"/>
          <w:szCs w:val="21"/>
          <w:highlight w:val="none"/>
        </w:rPr>
        <w:tab/>
      </w:r>
      <w:r>
        <w:rPr>
          <w:rFonts w:hint="eastAsia" w:ascii="宋体" w:hAnsi="宋体"/>
          <w:bCs/>
          <w:color w:val="auto"/>
          <w:szCs w:val="21"/>
          <w:highlight w:val="none"/>
        </w:rPr>
        <w:t>甲方的违约责任</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1. 甲方逾期付款的，每日应向乙方偿付合同总额的千分之五作为违约金。</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2. 甲方违反合同规定拒绝接货的，应当承担由此对乙方造成的损失。</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第八条    不可抗力</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1.不可抗力事故系指买卖双方在缔结合同时所不能预见的，并且它的发生及其后果是无法避免和无法克服的事故。受阻一方应在不可抗力事故发生后尽快用电报、传真或电话通知对方，并于事故发生后</w:t>
      </w:r>
      <w:r>
        <w:rPr>
          <w:rFonts w:ascii="宋体" w:hAnsi="宋体"/>
          <w:bCs/>
          <w:color w:val="auto"/>
          <w:szCs w:val="21"/>
          <w:highlight w:val="none"/>
        </w:rPr>
        <w:t>1</w:t>
      </w:r>
      <w:r>
        <w:rPr>
          <w:rFonts w:hint="eastAsia" w:ascii="宋体" w:hAnsi="宋体"/>
          <w:bCs/>
          <w:color w:val="auto"/>
          <w:szCs w:val="21"/>
          <w:highlight w:val="none"/>
        </w:rPr>
        <w:t>0个工作日内将有关当局出具的证明文件用专人递交、特快专递或挂号信寄给对方审阅确认。</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2.签约双方任一方由于不可抗力事故的影响而不能执行合同时，经确认后，允许延期履行、部分履行或不履行合同，根据情况可部分或全部免予承担违约责任。</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第九条  争议的解决</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1. 因</w:t>
      </w:r>
      <w:r>
        <w:rPr>
          <w:rFonts w:hint="eastAsia" w:ascii="宋体" w:hAnsi="宋体"/>
          <w:bCs/>
          <w:color w:val="auto"/>
          <w:szCs w:val="21"/>
          <w:highlight w:val="none"/>
          <w:lang w:eastAsia="zh-CN"/>
        </w:rPr>
        <w:t>完工期</w:t>
      </w:r>
      <w:r>
        <w:rPr>
          <w:rFonts w:hint="eastAsia" w:ascii="宋体" w:hAnsi="宋体"/>
          <w:bCs/>
          <w:color w:val="auto"/>
          <w:szCs w:val="21"/>
          <w:highlight w:val="none"/>
        </w:rPr>
        <w:t>间质量问题发生争议，由法律及有关规章规定的技术单位进行质量鉴定，双方无条件服从该鉴定的结论。</w:t>
      </w:r>
    </w:p>
    <w:p>
      <w:pPr>
        <w:tabs>
          <w:tab w:val="left" w:pos="1255"/>
        </w:tabs>
        <w:spacing w:line="360" w:lineRule="auto"/>
        <w:ind w:firstLine="420" w:firstLineChars="200"/>
        <w:rPr>
          <w:rFonts w:ascii="宋体" w:hAnsi="宋体"/>
          <w:color w:val="auto"/>
          <w:szCs w:val="21"/>
          <w:highlight w:val="none"/>
        </w:rPr>
      </w:pPr>
      <w:r>
        <w:rPr>
          <w:rFonts w:hint="eastAsia" w:ascii="宋体" w:hAnsi="宋体"/>
          <w:bCs/>
          <w:color w:val="auto"/>
          <w:szCs w:val="21"/>
          <w:highlight w:val="none"/>
        </w:rPr>
        <w:t xml:space="preserve">2. </w:t>
      </w:r>
      <w:r>
        <w:rPr>
          <w:rFonts w:hint="eastAsia" w:ascii="宋体" w:hAnsi="宋体"/>
          <w:color w:val="auto"/>
          <w:szCs w:val="21"/>
          <w:highlight w:val="none"/>
        </w:rPr>
        <w:t>合同实施或与合同有关的一切争议应通过双方友好协商解决。如果友好协商不能解决，争议应提交阳江市仲裁委员会裁决或向阳江市法院提出诉讼。仲裁费或诉讼费应由败诉方负担。</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第十条  监督和管理</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本项目合同订立后，应提供至</w:t>
      </w:r>
      <w:r>
        <w:rPr>
          <w:rFonts w:hint="eastAsia" w:ascii="宋体" w:hAnsi="宋体"/>
          <w:bCs/>
          <w:color w:val="auto"/>
          <w:szCs w:val="21"/>
          <w:highlight w:val="none"/>
          <w:u w:val="single"/>
        </w:rPr>
        <w:t>广东业信采购招标有限公司</w:t>
      </w:r>
      <w:r>
        <w:rPr>
          <w:rFonts w:hint="eastAsia" w:ascii="宋体" w:hAnsi="宋体"/>
          <w:bCs/>
          <w:color w:val="auto"/>
          <w:szCs w:val="21"/>
          <w:highlight w:val="none"/>
        </w:rPr>
        <w:t>备案；</w:t>
      </w:r>
      <w:r>
        <w:rPr>
          <w:rFonts w:ascii="宋体" w:hAnsi="宋体"/>
          <w:bCs/>
          <w:color w:val="auto"/>
          <w:szCs w:val="21"/>
          <w:highlight w:val="none"/>
        </w:rPr>
        <w:t xml:space="preserve"> </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第十一条  无效合同</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 xml:space="preserve">    甲乙双方如因违反国家法律、法规和有关政府采购规定，导致合同无效，责任由过错方承担。</w:t>
      </w:r>
    </w:p>
    <w:p>
      <w:pPr>
        <w:tabs>
          <w:tab w:val="left" w:pos="1004"/>
        </w:tabs>
        <w:spacing w:line="360" w:lineRule="auto"/>
        <w:rPr>
          <w:rFonts w:ascii="宋体" w:hAnsi="宋体"/>
          <w:bCs/>
          <w:color w:val="auto"/>
          <w:szCs w:val="21"/>
          <w:highlight w:val="none"/>
        </w:rPr>
      </w:pPr>
      <w:r>
        <w:rPr>
          <w:rFonts w:hint="eastAsia" w:ascii="宋体" w:hAnsi="宋体"/>
          <w:bCs/>
          <w:color w:val="auto"/>
          <w:szCs w:val="21"/>
          <w:highlight w:val="none"/>
        </w:rPr>
        <w:t xml:space="preserve">第十二条  附则   </w:t>
      </w:r>
    </w:p>
    <w:p>
      <w:pPr>
        <w:tabs>
          <w:tab w:val="left" w:pos="1004"/>
        </w:tabs>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本合同一式</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 xml:space="preserve"> 份，甲乙双方各执</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份。</w:t>
      </w:r>
    </w:p>
    <w:p>
      <w:pPr>
        <w:spacing w:line="360" w:lineRule="auto"/>
        <w:ind w:left="752" w:leftChars="358" w:firstLine="420"/>
        <w:rPr>
          <w:rFonts w:ascii="宋体" w:hAnsi="宋体"/>
          <w:bCs/>
          <w:color w:val="auto"/>
          <w:szCs w:val="21"/>
          <w:highlight w:val="none"/>
        </w:rPr>
      </w:pPr>
    </w:p>
    <w:p>
      <w:pPr>
        <w:spacing w:line="360" w:lineRule="auto"/>
        <w:ind w:left="752" w:leftChars="358" w:firstLine="420"/>
        <w:rPr>
          <w:rFonts w:ascii="宋体" w:hAnsi="宋体"/>
          <w:bCs/>
          <w:color w:val="auto"/>
          <w:szCs w:val="21"/>
          <w:highlight w:val="none"/>
        </w:rPr>
      </w:pP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 xml:space="preserve">甲方：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乙方：</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法定代表人：</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法定代表人：</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委托代理人：</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委托代理人：</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地址：</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地址：</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开户银行：</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开户银行：</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帐号：</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帐号</w:t>
      </w:r>
    </w:p>
    <w:p>
      <w:pPr>
        <w:tabs>
          <w:tab w:val="left" w:pos="1004"/>
          <w:tab w:val="left" w:pos="4267"/>
        </w:tabs>
        <w:spacing w:line="360" w:lineRule="auto"/>
        <w:rPr>
          <w:rFonts w:ascii="宋体" w:hAnsi="宋体"/>
          <w:bCs/>
          <w:color w:val="auto"/>
          <w:szCs w:val="21"/>
          <w:highlight w:val="none"/>
        </w:rPr>
      </w:pPr>
      <w:r>
        <w:rPr>
          <w:rFonts w:hint="eastAsia" w:ascii="宋体" w:hAnsi="宋体"/>
          <w:bCs/>
          <w:color w:val="auto"/>
          <w:szCs w:val="21"/>
          <w:highlight w:val="none"/>
        </w:rPr>
        <w:t>电话：</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ascii="宋体" w:hAnsi="宋体"/>
          <w:bCs/>
          <w:color w:val="auto"/>
          <w:szCs w:val="21"/>
          <w:highlight w:val="none"/>
        </w:rPr>
        <w:t xml:space="preserve">      </w:t>
      </w:r>
      <w:r>
        <w:rPr>
          <w:rFonts w:hint="eastAsia" w:ascii="宋体" w:hAnsi="宋体"/>
          <w:bCs/>
          <w:color w:val="auto"/>
          <w:szCs w:val="21"/>
          <w:highlight w:val="none"/>
        </w:rPr>
        <w:t xml:space="preserve">      </w:t>
      </w:r>
      <w:r>
        <w:rPr>
          <w:rFonts w:hint="eastAsia" w:ascii="宋体" w:hAnsi="宋体"/>
          <w:bCs/>
          <w:color w:val="auto"/>
          <w:szCs w:val="21"/>
          <w:highlight w:val="none"/>
        </w:rPr>
        <w:tab/>
      </w:r>
      <w:r>
        <w:rPr>
          <w:rFonts w:hint="eastAsia" w:ascii="宋体" w:hAnsi="宋体"/>
          <w:bCs/>
          <w:color w:val="auto"/>
          <w:szCs w:val="21"/>
          <w:highlight w:val="none"/>
        </w:rPr>
        <w:t>电话：</w:t>
      </w:r>
    </w:p>
    <w:p>
      <w:pPr>
        <w:tabs>
          <w:tab w:val="left" w:pos="1004"/>
        </w:tabs>
        <w:spacing w:line="360" w:lineRule="auto"/>
        <w:ind w:firstLine="630" w:firstLineChars="300"/>
        <w:rPr>
          <w:rFonts w:ascii="宋体" w:hAnsi="宋体"/>
          <w:bCs/>
          <w:color w:val="auto"/>
          <w:szCs w:val="21"/>
          <w:highlight w:val="none"/>
        </w:rPr>
      </w:pPr>
      <w:r>
        <w:rPr>
          <w:rFonts w:hint="eastAsia" w:ascii="宋体" w:hAnsi="宋体"/>
          <w:bCs/>
          <w:color w:val="auto"/>
          <w:szCs w:val="21"/>
          <w:highlight w:val="none"/>
        </w:rPr>
        <w:t>年  月  日                              年  月  日</w:t>
      </w:r>
    </w:p>
    <w:p>
      <w:pPr>
        <w:tabs>
          <w:tab w:val="left" w:pos="1004"/>
        </w:tabs>
        <w:spacing w:line="440" w:lineRule="exact"/>
        <w:ind w:right="31" w:rightChars="15"/>
        <w:rPr>
          <w:rFonts w:ascii="宋体" w:hAnsi="宋体"/>
          <w:b/>
          <w:bCs/>
          <w:color w:val="auto"/>
          <w:szCs w:val="21"/>
          <w:highlight w:val="none"/>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rFonts w:ascii="宋体" w:hAnsi="宋体" w:eastAsia="宋体"/>
          <w:b/>
          <w:color w:val="auto"/>
          <w:highlight w:val="none"/>
        </w:rPr>
      </w:pPr>
      <w:bookmarkStart w:id="217" w:name="_Toc339019899"/>
      <w:bookmarkStart w:id="218" w:name="_Toc339441097"/>
      <w:bookmarkStart w:id="219" w:name="_Toc336681590"/>
      <w:bookmarkStart w:id="220" w:name="_Toc337632368"/>
      <w:bookmarkStart w:id="221" w:name="_Toc331512908"/>
      <w:bookmarkStart w:id="222" w:name="_Toc333237798"/>
      <w:bookmarkStart w:id="223" w:name="_Toc349127636"/>
      <w:bookmarkStart w:id="224" w:name="_Toc342296770"/>
      <w:bookmarkStart w:id="225" w:name="_Toc500861025"/>
      <w:bookmarkStart w:id="226" w:name="_Toc333238643"/>
      <w:bookmarkStart w:id="227" w:name="_Toc340507452"/>
      <w:bookmarkStart w:id="228" w:name="_Toc342060384"/>
      <w:bookmarkStart w:id="229" w:name="_Toc491658678"/>
      <w:bookmarkStart w:id="230" w:name="_Toc333935356"/>
      <w:bookmarkStart w:id="231" w:name="_Toc339020243"/>
      <w:bookmarkStart w:id="232" w:name="_Toc336681945"/>
      <w:bookmarkStart w:id="233" w:name="_Toc349143599"/>
      <w:bookmarkStart w:id="234" w:name="_Toc341348348"/>
      <w:bookmarkStart w:id="235" w:name="_Toc333935697"/>
      <w:bookmarkStart w:id="236" w:name="_Toc333237687"/>
      <w:bookmarkStart w:id="237" w:name="_Toc332270356"/>
      <w:bookmarkStart w:id="238" w:name="_Toc330459995"/>
      <w:bookmarkStart w:id="239" w:name="_Toc331684048"/>
      <w:bookmarkStart w:id="240" w:name="_Toc339020025"/>
      <w:bookmarkStart w:id="241" w:name="_Toc332206718"/>
      <w:bookmarkStart w:id="242" w:name="_Toc340672879"/>
      <w:bookmarkStart w:id="243" w:name="_Toc339020105"/>
      <w:bookmarkStart w:id="244" w:name="_Toc339362310"/>
      <w:bookmarkStart w:id="245" w:name="_Toc365967082"/>
      <w:bookmarkStart w:id="246" w:name="_Toc340677080"/>
      <w:bookmarkStart w:id="247" w:name="_Toc365985188"/>
      <w:bookmarkStart w:id="248" w:name="_Toc350438759"/>
      <w:bookmarkStart w:id="249" w:name="_Toc345513911"/>
      <w:bookmarkStart w:id="250" w:name="_Toc366072539"/>
      <w:bookmarkStart w:id="251" w:name="_Toc16853"/>
      <w:bookmarkStart w:id="252" w:name="_Toc350756460"/>
      <w:r>
        <w:rPr>
          <w:rFonts w:hint="eastAsia" w:ascii="宋体" w:hAnsi="宋体" w:eastAsia="宋体"/>
          <w:b/>
          <w:color w:val="auto"/>
          <w:highlight w:val="none"/>
        </w:rPr>
        <w:t>第六部分</w:t>
      </w:r>
      <w:bookmarkStart w:id="253" w:name="_Hlt97188172"/>
      <w:bookmarkEnd w:id="253"/>
      <w:r>
        <w:rPr>
          <w:rFonts w:hint="eastAsia" w:ascii="宋体" w:hAnsi="宋体" w:eastAsia="宋体"/>
          <w:b/>
          <w:color w:val="auto"/>
          <w:highlight w:val="none"/>
        </w:rPr>
        <w:t xml:space="preserve"> </w:t>
      </w:r>
      <w:r>
        <w:rPr>
          <w:rFonts w:ascii="宋体" w:hAnsi="宋体" w:eastAsia="宋体"/>
          <w:b/>
          <w:color w:val="auto"/>
          <w:highlight w:val="none"/>
        </w:rPr>
        <w:t xml:space="preserve"> </w:t>
      </w:r>
      <w:r>
        <w:rPr>
          <w:rFonts w:hint="eastAsia" w:ascii="宋体" w:hAnsi="宋体" w:eastAsia="宋体"/>
          <w:b/>
          <w:color w:val="auto"/>
          <w:highlight w:val="none"/>
        </w:rPr>
        <w:t>磋商响应文件格式</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Start w:id="254" w:name="_Hlt21938933"/>
      <w:bookmarkEnd w:id="254"/>
    </w:p>
    <w:p>
      <w:pPr>
        <w:rPr>
          <w:rFonts w:ascii="宋体" w:hAnsi="宋体"/>
          <w:color w:val="auto"/>
          <w:highlight w:val="none"/>
        </w:rPr>
      </w:pPr>
    </w:p>
    <w:p>
      <w:pPr>
        <w:pStyle w:val="4"/>
        <w:numPr>
          <w:ilvl w:val="1"/>
          <w:numId w:val="0"/>
        </w:numPr>
        <w:rPr>
          <w:rFonts w:ascii="宋体" w:hAnsi="宋体"/>
          <w:color w:val="auto"/>
          <w:sz w:val="24"/>
          <w:highlight w:val="none"/>
        </w:rPr>
      </w:pPr>
      <w:bookmarkStart w:id="255" w:name="_Toc339362311"/>
      <w:bookmarkStart w:id="256" w:name="_Toc341348349"/>
      <w:bookmarkStart w:id="257" w:name="_Toc340672880"/>
      <w:bookmarkStart w:id="258" w:name="_Toc332270357"/>
      <w:bookmarkStart w:id="259" w:name="_Toc339020106"/>
      <w:bookmarkStart w:id="260" w:name="_Toc340677081"/>
      <w:bookmarkStart w:id="261" w:name="_Toc336681591"/>
      <w:bookmarkStart w:id="262" w:name="_Toc349143600"/>
      <w:bookmarkStart w:id="263" w:name="_Toc339019900"/>
      <w:bookmarkStart w:id="264" w:name="_Toc345513912"/>
      <w:bookmarkStart w:id="265" w:name="_Toc350756461"/>
      <w:bookmarkStart w:id="266" w:name="_Toc332206719"/>
      <w:bookmarkStart w:id="267" w:name="_Toc340507453"/>
      <w:bookmarkStart w:id="268" w:name="_Toc32052"/>
      <w:bookmarkStart w:id="269" w:name="_Toc365985189"/>
      <w:bookmarkStart w:id="270" w:name="_Toc349127637"/>
      <w:bookmarkStart w:id="271" w:name="_Toc342296771"/>
      <w:bookmarkStart w:id="272" w:name="_Toc365967083"/>
      <w:bookmarkStart w:id="273" w:name="_Toc333238644"/>
      <w:bookmarkStart w:id="274" w:name="_Toc331512909"/>
      <w:bookmarkStart w:id="275" w:name="_Toc333935698"/>
      <w:bookmarkStart w:id="276" w:name="_Toc339020244"/>
      <w:bookmarkStart w:id="277" w:name="_Toc339020026"/>
      <w:bookmarkStart w:id="278" w:name="_Toc339441098"/>
      <w:bookmarkStart w:id="279" w:name="_Toc333237799"/>
      <w:bookmarkStart w:id="280" w:name="_Toc350438760"/>
      <w:bookmarkStart w:id="281" w:name="_Toc333237688"/>
      <w:bookmarkStart w:id="282" w:name="_Toc336681946"/>
      <w:bookmarkStart w:id="283" w:name="_Toc331684049"/>
      <w:bookmarkStart w:id="284" w:name="_Toc337632369"/>
      <w:bookmarkStart w:id="285" w:name="_Toc333935357"/>
      <w:bookmarkStart w:id="286" w:name="_Toc366072540"/>
      <w:bookmarkStart w:id="287" w:name="_Toc330459996"/>
      <w:bookmarkStart w:id="288" w:name="_Toc342060385"/>
      <w:r>
        <w:rPr>
          <w:rFonts w:hint="eastAsia" w:ascii="宋体" w:hAnsi="宋体"/>
          <w:color w:val="auto"/>
          <w:sz w:val="24"/>
          <w:highlight w:val="none"/>
        </w:rPr>
        <w:t>封面格式</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p>
    <w:p>
      <w:pPr>
        <w:pStyle w:val="5"/>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投标内容应当编有目录、页码，按页码排序并装订成册；一切未装订成册的磋商响应文件在开标、评标过程中若出现缺页、漏页等现象可能影响投标人评审结果的，后果将由投标人本人负责。</w:t>
      </w:r>
    </w:p>
    <w:p>
      <w:pPr>
        <w:pStyle w:val="5"/>
        <w:spacing w:line="360" w:lineRule="auto"/>
        <w:rPr>
          <w:rFonts w:hAnsi="宋体"/>
          <w:b/>
          <w:color w:val="auto"/>
          <w:sz w:val="21"/>
          <w:szCs w:val="21"/>
          <w:highlight w:val="none"/>
        </w:rPr>
      </w:pPr>
      <w:r>
        <w:rPr>
          <w:rFonts w:hint="eastAsia" w:hAnsi="宋体"/>
          <w:bCs/>
          <w:color w:val="auto"/>
          <w:sz w:val="21"/>
          <w:highlight w:val="none"/>
        </w:rPr>
        <w:t>文件的封面格式由投标人自拟，并应注明“磋商响应文件、项目编号、项目名称、投标人名称及地址、法定代表人（负责人）或授权代理人、联系电话、传真、邮编，并加盖投标人公章。如：</w:t>
      </w:r>
      <w:r>
        <w:rPr>
          <w:rFonts w:hint="eastAsia" w:hAnsi="宋体"/>
          <w:b/>
          <w:color w:val="auto"/>
          <w:sz w:val="21"/>
          <w:szCs w:val="21"/>
          <w:highlight w:val="none"/>
        </w:rPr>
        <w:t xml:space="preserve"> </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r>
        <w:rPr>
          <w:rFonts w:hint="eastAsia" w:hAnsi="宋体"/>
          <w:bCs/>
          <w:color w:val="auto"/>
          <w:sz w:val="21"/>
          <w:highlight w:val="none"/>
        </w:rPr>
        <w:t>磋商响应文件（□正本、□副本）</w:t>
      </w: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int="eastAsia" w:hAnsi="宋体"/>
          <w:bCs/>
          <w:color w:val="auto"/>
          <w:sz w:val="21"/>
          <w:highlight w:val="none"/>
          <w:u w:val="single"/>
          <w:lang w:eastAsia="zh-CN"/>
        </w:rPr>
        <w:t>YXCG-20220622</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rFonts w:hAnsi="宋体"/>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sectPr>
          <w:footerReference r:id="rId12" w:type="first"/>
          <w:footerReference r:id="rId11" w:type="default"/>
          <w:pgSz w:w="11906" w:h="16838"/>
          <w:pgMar w:top="1418" w:right="1474" w:bottom="1418" w:left="1474" w:header="851" w:footer="851" w:gutter="0"/>
          <w:cols w:space="720" w:num="1"/>
          <w:titlePg/>
          <w:docGrid w:linePitch="312" w:charSpace="0"/>
        </w:sectPr>
      </w:pPr>
      <w:r>
        <w:rPr>
          <w:rFonts w:hint="eastAsia" w:ascii="宋体" w:hAnsi="宋体"/>
          <w:bCs/>
          <w:color w:val="auto"/>
          <w:highlight w:val="none"/>
        </w:rPr>
        <w:t xml:space="preserve"> </w:t>
      </w:r>
    </w:p>
    <w:p>
      <w:pPr>
        <w:pStyle w:val="4"/>
        <w:numPr>
          <w:ilvl w:val="7"/>
          <w:numId w:val="6"/>
        </w:numPr>
        <w:tabs>
          <w:tab w:val="clear" w:pos="720"/>
        </w:tabs>
        <w:spacing w:before="240" w:after="240" w:line="240" w:lineRule="exact"/>
        <w:ind w:left="0" w:firstLine="0"/>
        <w:rPr>
          <w:rFonts w:ascii="宋体" w:hAnsi="宋体"/>
          <w:b w:val="0"/>
          <w:color w:val="auto"/>
          <w:sz w:val="24"/>
          <w:highlight w:val="none"/>
        </w:rPr>
      </w:pPr>
      <w:bookmarkStart w:id="289" w:name="_Toc26035"/>
      <w:r>
        <w:rPr>
          <w:rFonts w:hint="eastAsia" w:ascii="宋体" w:hAnsi="宋体"/>
          <w:b w:val="0"/>
          <w:color w:val="auto"/>
          <w:sz w:val="24"/>
          <w:highlight w:val="none"/>
        </w:rPr>
        <w:t>自查表</w:t>
      </w:r>
      <w:bookmarkEnd w:id="289"/>
    </w:p>
    <w:p>
      <w:pPr>
        <w:pStyle w:val="4"/>
        <w:keepLines w:val="0"/>
        <w:numPr>
          <w:ilvl w:val="0"/>
          <w:numId w:val="0"/>
        </w:numPr>
        <w:tabs>
          <w:tab w:val="left" w:pos="4320"/>
        </w:tabs>
        <w:spacing w:before="240" w:after="60" w:line="480" w:lineRule="exact"/>
        <w:rPr>
          <w:rFonts w:ascii="宋体"/>
          <w:b w:val="0"/>
          <w:bCs w:val="0"/>
          <w:color w:val="auto"/>
          <w:szCs w:val="21"/>
          <w:highlight w:val="none"/>
        </w:rPr>
      </w:pPr>
      <w:bookmarkStart w:id="290" w:name="_Toc18086"/>
      <w:bookmarkStart w:id="291" w:name="_Toc31777"/>
      <w:bookmarkStart w:id="292" w:name="_Toc11538"/>
      <w:r>
        <w:rPr>
          <w:rFonts w:hint="eastAsia" w:ascii="宋体"/>
          <w:bCs w:val="0"/>
          <w:color w:val="auto"/>
          <w:szCs w:val="21"/>
          <w:highlight w:val="none"/>
        </w:rPr>
        <w:t>1.1  资格性/符合性自查表</w:t>
      </w:r>
      <w:bookmarkEnd w:id="290"/>
      <w:bookmarkEnd w:id="291"/>
      <w:bookmarkEnd w:id="292"/>
    </w:p>
    <w:p>
      <w:pPr>
        <w:jc w:val="center"/>
        <w:rPr>
          <w:rFonts w:ascii="宋体" w:hAnsi="宋体"/>
          <w:b/>
          <w:bCs/>
          <w:color w:val="auto"/>
          <w:szCs w:val="21"/>
          <w:highlight w:val="none"/>
        </w:rPr>
      </w:pPr>
    </w:p>
    <w:tbl>
      <w:tblPr>
        <w:tblStyle w:val="52"/>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2126"/>
        <w:gridCol w:w="2410"/>
        <w:gridCol w:w="1701"/>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22"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2410"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磋商</w:t>
            </w:r>
            <w:r>
              <w:rPr>
                <w:rFonts w:hint="eastAsia" w:ascii="宋体" w:hAnsi="宋体"/>
                <w:b/>
                <w:bCs/>
                <w:color w:val="auto"/>
                <w:szCs w:val="21"/>
                <w:highlight w:val="none"/>
              </w:rPr>
              <w:t>文件要求</w:t>
            </w:r>
          </w:p>
        </w:tc>
        <w:tc>
          <w:tcPr>
            <w:tcW w:w="1701"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207"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6" w:type="dxa"/>
            <w:vMerge w:val="restart"/>
            <w:vAlign w:val="center"/>
          </w:tcPr>
          <w:p>
            <w:pPr>
              <w:tabs>
                <w:tab w:val="left" w:pos="480"/>
              </w:tabs>
              <w:ind w:left="480" w:hanging="480"/>
              <w:rPr>
                <w:rFonts w:ascii="宋体" w:hAnsi="宋体"/>
                <w:b/>
                <w:bCs/>
                <w:color w:val="auto"/>
                <w:szCs w:val="21"/>
                <w:highlight w:val="none"/>
              </w:rPr>
            </w:pPr>
            <w:r>
              <w:rPr>
                <w:rFonts w:hint="eastAsia" w:ascii="宋体" w:hAnsi="宋体"/>
                <w:color w:val="auto"/>
                <w:szCs w:val="21"/>
                <w:highlight w:val="none"/>
              </w:rPr>
              <w:t>资格性检查</w:t>
            </w:r>
          </w:p>
        </w:tc>
        <w:tc>
          <w:tcPr>
            <w:tcW w:w="2126" w:type="dxa"/>
            <w:vMerge w:val="restart"/>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投标人要求</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投标人应具备《中华人民共和国政府采购法》第二十二条规定的条件</w:t>
            </w:r>
          </w:p>
          <w:p>
            <w:pPr>
              <w:tabs>
                <w:tab w:val="left" w:pos="0"/>
              </w:tabs>
              <w:rPr>
                <w:rFonts w:ascii="宋体" w:hAnsi="宋体"/>
                <w:b/>
                <w:bCs/>
                <w:color w:val="auto"/>
                <w:szCs w:val="21"/>
                <w:highlight w:val="none"/>
              </w:rPr>
            </w:pP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w:t>
            </w:r>
            <w:r>
              <w:rPr>
                <w:rFonts w:hint="eastAsia" w:ascii="宋体" w:hAnsi="宋体"/>
                <w:color w:val="auto"/>
                <w:szCs w:val="21"/>
                <w:highlight w:val="none"/>
              </w:rPr>
              <w:t>磋商响应</w:t>
            </w:r>
            <w:r>
              <w:rPr>
                <w:rFonts w:hint="eastAsia" w:ascii="宋体" w:hAnsi="宋体"/>
                <w:b/>
                <w:color w:val="auto"/>
                <w:szCs w:val="21"/>
                <w:highlight w:val="none"/>
              </w:rPr>
              <w:t>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 w:val="18"/>
                <w:szCs w:val="18"/>
                <w:highlight w:val="none"/>
              </w:rPr>
            </w:pPr>
            <w:r>
              <w:rPr>
                <w:rFonts w:hint="eastAsia" w:ascii="宋体" w:hAnsi="宋体"/>
                <w:color w:val="auto"/>
                <w:sz w:val="18"/>
                <w:szCs w:val="18"/>
                <w:highlight w:val="none"/>
              </w:rPr>
              <w:t>要求：提交合法有效的营业执照复印件加盖公章、</w:t>
            </w:r>
            <w:r>
              <w:rPr>
                <w:rFonts w:hint="eastAsia" w:ascii="宋体" w:hAnsi="宋体"/>
                <w:color w:val="auto"/>
                <w:kern w:val="0"/>
                <w:sz w:val="18"/>
                <w:szCs w:val="18"/>
                <w:highlight w:val="none"/>
              </w:rPr>
              <w:t>财务报表</w:t>
            </w:r>
            <w:r>
              <w:rPr>
                <w:rFonts w:hint="eastAsia" w:ascii="宋体" w:hAnsi="宋体"/>
                <w:color w:val="auto"/>
                <w:sz w:val="18"/>
                <w:szCs w:val="18"/>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096" w:type="dxa"/>
            <w:vMerge w:val="continue"/>
            <w:vAlign w:val="center"/>
          </w:tcPr>
          <w:p>
            <w:pPr>
              <w:tabs>
                <w:tab w:val="left" w:pos="480"/>
              </w:tabs>
              <w:ind w:left="480" w:hanging="480"/>
              <w:rPr>
                <w:rFonts w:hint="eastAsia" w:ascii="宋体" w:hAnsi="宋体"/>
                <w:color w:val="auto"/>
                <w:szCs w:val="21"/>
                <w:highlight w:val="none"/>
              </w:rPr>
            </w:pPr>
          </w:p>
        </w:tc>
        <w:tc>
          <w:tcPr>
            <w:tcW w:w="2126" w:type="dxa"/>
            <w:vMerge w:val="continue"/>
            <w:vAlign w:val="center"/>
          </w:tcPr>
          <w:p>
            <w:pPr>
              <w:tabs>
                <w:tab w:val="left" w:pos="146"/>
              </w:tabs>
              <w:ind w:left="146"/>
              <w:rPr>
                <w:rFonts w:hint="eastAsia" w:ascii="宋体" w:hAnsi="宋体"/>
                <w:color w:val="auto"/>
                <w:szCs w:val="21"/>
                <w:highlight w:val="none"/>
              </w:rPr>
            </w:pPr>
          </w:p>
        </w:tc>
        <w:tc>
          <w:tcPr>
            <w:tcW w:w="2410" w:type="dxa"/>
            <w:vAlign w:val="center"/>
          </w:tcPr>
          <w:p>
            <w:pPr>
              <w:tabs>
                <w:tab w:val="left" w:pos="0"/>
              </w:tabs>
              <w:rPr>
                <w:rFonts w:hint="eastAsia" w:ascii="宋体" w:hAnsi="宋体" w:cs="Times New Roman"/>
                <w:color w:val="auto"/>
                <w:spacing w:val="-6"/>
                <w:szCs w:val="21"/>
                <w:highlight w:val="none"/>
              </w:rPr>
            </w:pPr>
            <w:r>
              <w:rPr>
                <w:rFonts w:hint="eastAsia" w:ascii="宋体" w:hAnsi="宋体" w:cs="Times New Roman"/>
                <w:color w:val="auto"/>
                <w:spacing w:val="-6"/>
                <w:szCs w:val="21"/>
                <w:highlight w:val="none"/>
              </w:rPr>
              <w:t>投标人持有建设行政主管部门颁发的安全生产许可证</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hint="eastAsia"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hint="eastAsia" w:ascii="宋体" w:hAnsi="宋体"/>
                <w:color w:val="auto"/>
                <w:sz w:val="18"/>
                <w:szCs w:val="18"/>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96" w:type="dxa"/>
            <w:vMerge w:val="continue"/>
            <w:vAlign w:val="center"/>
          </w:tcPr>
          <w:p>
            <w:pPr>
              <w:tabs>
                <w:tab w:val="left" w:pos="480"/>
              </w:tabs>
              <w:ind w:left="480" w:hanging="480"/>
              <w:rPr>
                <w:rFonts w:hint="eastAsia" w:ascii="宋体" w:hAnsi="宋体"/>
                <w:color w:val="auto"/>
                <w:szCs w:val="21"/>
                <w:highlight w:val="none"/>
              </w:rPr>
            </w:pPr>
          </w:p>
        </w:tc>
        <w:tc>
          <w:tcPr>
            <w:tcW w:w="2126" w:type="dxa"/>
            <w:vMerge w:val="continue"/>
            <w:vAlign w:val="center"/>
          </w:tcPr>
          <w:p>
            <w:pPr>
              <w:tabs>
                <w:tab w:val="left" w:pos="146"/>
              </w:tabs>
              <w:ind w:left="146"/>
              <w:rPr>
                <w:rFonts w:hint="eastAsia" w:ascii="宋体" w:hAnsi="宋体"/>
                <w:color w:val="auto"/>
                <w:szCs w:val="21"/>
                <w:highlight w:val="none"/>
              </w:rPr>
            </w:pPr>
          </w:p>
        </w:tc>
        <w:tc>
          <w:tcPr>
            <w:tcW w:w="2410" w:type="dxa"/>
            <w:vAlign w:val="center"/>
          </w:tcPr>
          <w:p>
            <w:pPr>
              <w:tabs>
                <w:tab w:val="left" w:pos="0"/>
              </w:tabs>
              <w:rPr>
                <w:rFonts w:hint="eastAsia" w:ascii="宋体" w:hAnsi="宋体" w:cs="Times New Roman"/>
                <w:color w:val="auto"/>
                <w:spacing w:val="-6"/>
                <w:szCs w:val="21"/>
                <w:highlight w:val="none"/>
              </w:rPr>
            </w:pPr>
            <w:r>
              <w:rPr>
                <w:rFonts w:hint="eastAsia" w:ascii="宋体" w:hAnsi="宋体" w:cs="Times New Roman"/>
                <w:color w:val="auto"/>
                <w:spacing w:val="-6"/>
                <w:szCs w:val="21"/>
                <w:highlight w:val="none"/>
                <w:lang w:val="en-US" w:eastAsia="zh-CN"/>
              </w:rPr>
              <w:t>投标人具有承接本工程所需的建筑装修装饰工程专业承包二级或以上级别资质。</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jc w:val="center"/>
              <w:rPr>
                <w:rFonts w:hint="eastAsia" w:ascii="宋体" w:hAnsi="宋体"/>
                <w:color w:val="auto"/>
                <w:szCs w:val="21"/>
                <w:highlight w:val="none"/>
              </w:rPr>
            </w:pPr>
            <w:r>
              <w:rPr>
                <w:rFonts w:hint="eastAsia" w:ascii="宋体" w:hAnsi="宋体"/>
                <w:color w:val="auto"/>
                <w:szCs w:val="21"/>
                <w:highlight w:val="none"/>
              </w:rPr>
              <w:t>见磋商响应文件</w:t>
            </w:r>
          </w:p>
          <w:p>
            <w:pPr>
              <w:jc w:val="center"/>
              <w:rPr>
                <w:rFonts w:hint="eastAsia" w:ascii="宋体" w:hAnsi="宋体"/>
                <w:color w:val="auto"/>
                <w:sz w:val="18"/>
                <w:szCs w:val="18"/>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8" w:hRule="atLeast"/>
          <w:jc w:val="center"/>
        </w:trPr>
        <w:tc>
          <w:tcPr>
            <w:tcW w:w="1096" w:type="dxa"/>
            <w:vMerge w:val="continue"/>
            <w:vAlign w:val="center"/>
          </w:tcPr>
          <w:p>
            <w:pPr>
              <w:tabs>
                <w:tab w:val="left" w:pos="480"/>
              </w:tabs>
              <w:ind w:left="480" w:hanging="480"/>
              <w:jc w:val="center"/>
              <w:rPr>
                <w:rFonts w:ascii="宋体" w:hAnsi="宋体"/>
                <w:color w:val="auto"/>
                <w:szCs w:val="21"/>
                <w:highlight w:val="none"/>
              </w:rPr>
            </w:pPr>
          </w:p>
        </w:tc>
        <w:tc>
          <w:tcPr>
            <w:tcW w:w="2126" w:type="dxa"/>
            <w:vMerge w:val="continue"/>
            <w:vAlign w:val="center"/>
          </w:tcPr>
          <w:p>
            <w:pPr>
              <w:tabs>
                <w:tab w:val="left" w:pos="146"/>
              </w:tabs>
              <w:ind w:left="146"/>
              <w:rPr>
                <w:rFonts w:ascii="宋体" w:hAnsi="宋体"/>
                <w:color w:val="auto"/>
                <w:szCs w:val="21"/>
                <w:highlight w:val="none"/>
              </w:rPr>
            </w:pPr>
          </w:p>
        </w:tc>
        <w:tc>
          <w:tcPr>
            <w:tcW w:w="2410" w:type="dxa"/>
            <w:vAlign w:val="center"/>
          </w:tcPr>
          <w:p>
            <w:pPr>
              <w:tabs>
                <w:tab w:val="left" w:pos="0"/>
              </w:tabs>
              <w:rPr>
                <w:rFonts w:ascii="宋体" w:hAnsi="宋体"/>
                <w:color w:val="auto"/>
                <w:szCs w:val="21"/>
                <w:highlight w:val="none"/>
              </w:rPr>
            </w:pPr>
            <w:r>
              <w:rPr>
                <w:rFonts w:hint="eastAsia" w:ascii="宋体" w:hAnsi="宋体"/>
                <w:color w:val="auto"/>
                <w:spacing w:val="-6"/>
                <w:szCs w:val="21"/>
                <w:highlight w:val="none"/>
              </w:rPr>
              <w:t>项目负责人持有安全培训考核合格证（B类）或能够提供广东省建筑施工企业管理人员安全生产考核信息系统安全生产管理人员证书信息的网页截图</w:t>
            </w:r>
            <w:r>
              <w:rPr>
                <w:rFonts w:hint="eastAsia" w:ascii="宋体" w:hAnsi="宋体"/>
                <w:color w:val="auto"/>
                <w:spacing w:val="-6"/>
                <w:szCs w:val="21"/>
                <w:highlight w:val="none"/>
                <w:lang w:val="en-US" w:eastAsia="zh-CN"/>
              </w:rPr>
              <w:t>注：</w:t>
            </w:r>
            <w:r>
              <w:rPr>
                <w:rFonts w:hint="eastAsia" w:ascii="宋体" w:hAnsi="宋体"/>
                <w:color w:val="auto"/>
                <w:spacing w:val="-6"/>
                <w:szCs w:val="21"/>
                <w:highlight w:val="none"/>
              </w:rPr>
              <w:t>项目负责人在任职期间不得担任专职安全员，项目专职安全员在任职期间也不得担任项目负责人，项目负责人和安全员不为同一人。</w:t>
            </w:r>
          </w:p>
        </w:tc>
        <w:tc>
          <w:tcPr>
            <w:tcW w:w="1701" w:type="dxa"/>
            <w:vAlign w:val="center"/>
          </w:tcPr>
          <w:p>
            <w:pPr>
              <w:tabs>
                <w:tab w:val="left" w:pos="480"/>
              </w:tabs>
              <w:ind w:left="480" w:hanging="480"/>
              <w:rPr>
                <w:rFonts w:ascii="宋体" w:hAnsi="宋体"/>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096"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须满足</w:t>
            </w:r>
            <w:r>
              <w:rPr>
                <w:rFonts w:hint="eastAsia" w:ascii="宋体" w:hAnsi="宋体"/>
                <w:color w:val="auto"/>
                <w:szCs w:val="21"/>
                <w:highlight w:val="none"/>
                <w:lang w:val="en-US" w:eastAsia="zh-CN"/>
              </w:rPr>
              <w:t>带“★”号</w:t>
            </w:r>
            <w:r>
              <w:rPr>
                <w:rFonts w:hint="eastAsia" w:ascii="宋体" w:hAnsi="宋体"/>
                <w:color w:val="auto"/>
                <w:szCs w:val="21"/>
                <w:highlight w:val="none"/>
              </w:rPr>
              <w:t>要求</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按磋商</w:t>
            </w:r>
            <w:r>
              <w:rPr>
                <w:rFonts w:hint="eastAsia" w:ascii="宋体" w:hAnsi="宋体"/>
                <w:bCs/>
                <w:color w:val="auto"/>
                <w:szCs w:val="21"/>
                <w:highlight w:val="none"/>
              </w:rPr>
              <w:t>文件</w:t>
            </w:r>
            <w:r>
              <w:rPr>
                <w:rFonts w:hint="eastAsia" w:ascii="宋体" w:hAnsi="宋体"/>
                <w:color w:val="auto"/>
                <w:szCs w:val="21"/>
                <w:highlight w:val="none"/>
              </w:rPr>
              <w:t>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096" w:type="dxa"/>
            <w:vMerge w:val="continue"/>
            <w:vAlign w:val="center"/>
          </w:tcPr>
          <w:p>
            <w:pPr>
              <w:tabs>
                <w:tab w:val="left" w:pos="480"/>
              </w:tabs>
              <w:ind w:left="480" w:hanging="480"/>
              <w:jc w:val="center"/>
              <w:rPr>
                <w:rFonts w:hint="eastAsia" w:ascii="宋体" w:hAnsi="宋体"/>
                <w:color w:val="auto"/>
                <w:szCs w:val="21"/>
                <w:highlight w:val="none"/>
              </w:rPr>
            </w:pPr>
          </w:p>
        </w:tc>
        <w:tc>
          <w:tcPr>
            <w:tcW w:w="2126" w:type="dxa"/>
            <w:vAlign w:val="center"/>
          </w:tcPr>
          <w:p>
            <w:pPr>
              <w:tabs>
                <w:tab w:val="left" w:pos="146"/>
              </w:tabs>
              <w:ind w:left="146" w:leftChars="0"/>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lang w:val="en-US" w:eastAsia="zh-CN"/>
              </w:rPr>
              <w:t>完工</w:t>
            </w:r>
            <w:r>
              <w:rPr>
                <w:rFonts w:hint="eastAsia" w:ascii="宋体" w:hAnsi="宋体"/>
                <w:color w:val="auto"/>
                <w:szCs w:val="21"/>
                <w:highlight w:val="none"/>
              </w:rPr>
              <w:t>期须满足要求</w:t>
            </w:r>
          </w:p>
        </w:tc>
        <w:tc>
          <w:tcPr>
            <w:tcW w:w="2410"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按磋商</w:t>
            </w:r>
            <w:r>
              <w:rPr>
                <w:rFonts w:hint="eastAsia" w:ascii="宋体" w:hAnsi="宋体"/>
                <w:bCs/>
                <w:color w:val="auto"/>
                <w:szCs w:val="21"/>
                <w:highlight w:val="none"/>
              </w:rPr>
              <w:t>文件</w:t>
            </w:r>
            <w:r>
              <w:rPr>
                <w:rFonts w:hint="eastAsia" w:ascii="宋体" w:hAnsi="宋体"/>
                <w:color w:val="auto"/>
                <w:szCs w:val="21"/>
                <w:highlight w:val="none"/>
              </w:rPr>
              <w:t>要求</w:t>
            </w:r>
          </w:p>
        </w:tc>
        <w:tc>
          <w:tcPr>
            <w:tcW w:w="1701" w:type="dxa"/>
            <w:vAlign w:val="center"/>
          </w:tcPr>
          <w:p>
            <w:pPr>
              <w:tabs>
                <w:tab w:val="left" w:pos="480"/>
              </w:tabs>
              <w:ind w:left="480" w:leftChars="0" w:hanging="480" w:firstLineChars="0"/>
              <w:rPr>
                <w:rFonts w:ascii="宋体" w:hAnsi="宋体" w:eastAsia="宋体" w:cs="Times New Roman"/>
                <w:b/>
                <w:bCs/>
                <w:color w:val="auto"/>
                <w:kern w:val="2"/>
                <w:sz w:val="21"/>
                <w:szCs w:val="21"/>
                <w:highlight w:val="none"/>
                <w:lang w:val="en-US" w:eastAsia="zh-CN" w:bidi="ar-SA"/>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投标报价未超出报价上限</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按磋商</w:t>
            </w:r>
            <w:r>
              <w:rPr>
                <w:rFonts w:hint="eastAsia" w:ascii="宋体" w:hAnsi="宋体"/>
                <w:bCs/>
                <w:color w:val="auto"/>
                <w:szCs w:val="21"/>
                <w:highlight w:val="none"/>
              </w:rPr>
              <w:t>文件</w:t>
            </w:r>
            <w:r>
              <w:rPr>
                <w:rFonts w:hint="eastAsia" w:ascii="宋体" w:hAnsi="宋体"/>
                <w:color w:val="auto"/>
                <w:szCs w:val="21"/>
                <w:highlight w:val="none"/>
              </w:rPr>
              <w:t>要求</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按磋商</w:t>
            </w:r>
            <w:r>
              <w:rPr>
                <w:rFonts w:hint="eastAsia" w:ascii="宋体" w:hAnsi="宋体"/>
                <w:bCs/>
                <w:color w:val="auto"/>
                <w:szCs w:val="21"/>
                <w:highlight w:val="none"/>
              </w:rPr>
              <w:t>文件</w:t>
            </w:r>
            <w:r>
              <w:rPr>
                <w:rFonts w:hint="eastAsia" w:ascii="宋体" w:hAnsi="宋体"/>
                <w:color w:val="auto"/>
                <w:szCs w:val="21"/>
                <w:highlight w:val="none"/>
              </w:rPr>
              <w:t>要求</w:t>
            </w:r>
          </w:p>
        </w:tc>
        <w:tc>
          <w:tcPr>
            <w:tcW w:w="1701" w:type="dxa"/>
            <w:vAlign w:val="center"/>
          </w:tcPr>
          <w:p>
            <w:pPr>
              <w:tabs>
                <w:tab w:val="left" w:pos="480"/>
              </w:tabs>
              <w:ind w:left="480" w:hanging="480"/>
              <w:rPr>
                <w:rFonts w:ascii="宋体" w:hAnsi="宋体"/>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法定代表人/负责人资格证明书及授权委托书</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按对应格式文件签署、盖章(原件)</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不接受联合体投标</w:t>
            </w:r>
          </w:p>
        </w:tc>
        <w:tc>
          <w:tcPr>
            <w:tcW w:w="2410"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按磋商</w:t>
            </w:r>
            <w:r>
              <w:rPr>
                <w:rFonts w:hint="eastAsia" w:ascii="宋体" w:hAnsi="宋体"/>
                <w:bCs/>
                <w:color w:val="auto"/>
                <w:szCs w:val="21"/>
                <w:highlight w:val="none"/>
              </w:rPr>
              <w:t>文件</w:t>
            </w:r>
            <w:r>
              <w:rPr>
                <w:rFonts w:hint="eastAsia" w:ascii="宋体" w:hAnsi="宋体"/>
                <w:color w:val="auto"/>
                <w:szCs w:val="21"/>
                <w:highlight w:val="none"/>
              </w:rPr>
              <w:t>要求</w:t>
            </w:r>
          </w:p>
        </w:tc>
        <w:tc>
          <w:tcPr>
            <w:tcW w:w="1701" w:type="dxa"/>
            <w:vAlign w:val="center"/>
          </w:tcPr>
          <w:p>
            <w:pPr>
              <w:tabs>
                <w:tab w:val="left" w:pos="480"/>
              </w:tabs>
              <w:ind w:left="-107" w:leftChars="-51" w:firstLine="106"/>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096" w:type="dxa"/>
            <w:vMerge w:val="continue"/>
          </w:tcPr>
          <w:p>
            <w:pPr>
              <w:tabs>
                <w:tab w:val="left" w:pos="480"/>
              </w:tabs>
              <w:ind w:left="480" w:hanging="480"/>
              <w:jc w:val="center"/>
              <w:rPr>
                <w:rFonts w:ascii="宋体" w:hAnsi="宋体"/>
                <w:b/>
                <w:bCs/>
                <w:color w:val="auto"/>
                <w:szCs w:val="21"/>
                <w:highlight w:val="none"/>
              </w:rPr>
            </w:pPr>
          </w:p>
        </w:tc>
        <w:tc>
          <w:tcPr>
            <w:tcW w:w="212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其他要求</w:t>
            </w:r>
          </w:p>
        </w:tc>
        <w:tc>
          <w:tcPr>
            <w:tcW w:w="2410"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按投标资料清单中规定提供“必须提交”的文件资料</w:t>
            </w:r>
          </w:p>
        </w:tc>
        <w:tc>
          <w:tcPr>
            <w:tcW w:w="1701" w:type="dxa"/>
            <w:vAlign w:val="center"/>
          </w:tcPr>
          <w:p>
            <w:pPr>
              <w:tabs>
                <w:tab w:val="left" w:pos="480"/>
              </w:tabs>
              <w:ind w:left="480" w:hanging="480"/>
              <w:rPr>
                <w:rFonts w:ascii="宋体" w:hAnsi="宋体"/>
                <w:b/>
                <w:bCs/>
                <w:color w:val="auto"/>
                <w:szCs w:val="21"/>
                <w:highlight w:val="none"/>
              </w:rPr>
            </w:pPr>
          </w:p>
        </w:tc>
        <w:tc>
          <w:tcPr>
            <w:tcW w:w="2207"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见磋商响应文件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315" w:leftChars="50" w:hanging="210" w:hangingChars="100"/>
        <w:rPr>
          <w:rFonts w:ascii="宋体" w:hAnsi="宋体"/>
          <w:color w:val="auto"/>
          <w:szCs w:val="21"/>
          <w:highlight w:val="none"/>
        </w:rPr>
      </w:pPr>
      <w:r>
        <w:rPr>
          <w:rFonts w:hint="eastAsia" w:ascii="宋体" w:hAnsi="宋体"/>
          <w:color w:val="auto"/>
          <w:szCs w:val="21"/>
          <w:highlight w:val="none"/>
        </w:rPr>
        <w:t>注：1、以上材料将作为投标人资格性和符合性审核的重要内容之一，投标人必须严格按照其内容及序列要求在</w:t>
      </w:r>
      <w:r>
        <w:rPr>
          <w:rFonts w:hint="eastAsia" w:ascii="宋体" w:hAnsi="宋体"/>
          <w:bCs/>
          <w:color w:val="auto"/>
          <w:szCs w:val="21"/>
          <w:highlight w:val="none"/>
        </w:rPr>
        <w:t>磋商响应文件</w:t>
      </w:r>
      <w:r>
        <w:rPr>
          <w:rFonts w:hint="eastAsia" w:ascii="宋体" w:hAnsi="宋体"/>
          <w:color w:val="auto"/>
          <w:szCs w:val="21"/>
          <w:highlight w:val="none"/>
        </w:rPr>
        <w:t>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315" w:leftChars="50" w:hanging="210" w:hangingChars="100"/>
        <w:rPr>
          <w:rFonts w:ascii="宋体" w:hAnsi="宋体"/>
          <w:bCs/>
          <w:color w:val="auto"/>
          <w:szCs w:val="21"/>
          <w:highlight w:val="none"/>
        </w:rPr>
      </w:pPr>
      <w:r>
        <w:rPr>
          <w:rFonts w:ascii="宋体" w:hAnsi="宋体"/>
          <w:bCs/>
          <w:color w:val="auto"/>
          <w:szCs w:val="21"/>
          <w:highlight w:val="none"/>
        </w:rPr>
        <w:t xml:space="preserve">   2</w:t>
      </w:r>
      <w:r>
        <w:rPr>
          <w:rFonts w:hint="eastAsia" w:ascii="宋体" w:hAnsi="宋体"/>
          <w:bCs/>
          <w:color w:val="auto"/>
          <w:szCs w:val="21"/>
          <w:highlight w:val="none"/>
        </w:rPr>
        <w:t>、投标人的磋商响应文件为法定代表人（负责人）签署并由法定代表人（负责人）亲自递交投标文件和参加开标会的，可不提供“法定代表人（负责人）授权书”及“代理人身份证”。</w:t>
      </w:r>
    </w:p>
    <w:p>
      <w:pPr>
        <w:adjustRightInd w:val="0"/>
        <w:snapToGrid w:val="0"/>
        <w:spacing w:line="300" w:lineRule="auto"/>
        <w:rPr>
          <w:rFonts w:ascii="宋体" w:hAnsi="宋体"/>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b/>
          <w:bCs/>
          <w:color w:val="auto"/>
          <w:szCs w:val="21"/>
          <w:highlight w:val="none"/>
          <w:u w:val="single"/>
        </w:rPr>
      </w:pPr>
      <w:r>
        <w:rPr>
          <w:rFonts w:hint="eastAsia" w:ascii="宋体" w:hAnsi="宋体"/>
          <w:color w:val="auto"/>
          <w:szCs w:val="21"/>
          <w:highlight w:val="none"/>
        </w:rPr>
        <w:t>日期：   年   月   日</w:t>
      </w:r>
      <w:bookmarkEnd w:id="169"/>
      <w:bookmarkEnd w:id="170"/>
      <w:bookmarkEnd w:id="171"/>
      <w:bookmarkEnd w:id="172"/>
      <w:bookmarkEnd w:id="173"/>
    </w:p>
    <w:p>
      <w:pPr>
        <w:pStyle w:val="5"/>
        <w:rPr>
          <w:rFonts w:hAnsi="宋体"/>
          <w:color w:val="auto"/>
          <w:highlight w:val="none"/>
        </w:rPr>
        <w:sectPr>
          <w:footerReference r:id="rId13" w:type="default"/>
          <w:pgSz w:w="11906" w:h="16838"/>
          <w:pgMar w:top="1474" w:right="1418" w:bottom="1474" w:left="1418" w:header="851" w:footer="851" w:gutter="0"/>
          <w:cols w:space="720" w:num="1"/>
          <w:titlePg/>
          <w:docGrid w:linePitch="312" w:charSpace="0"/>
        </w:sectPr>
      </w:pPr>
    </w:p>
    <w:p>
      <w:pPr>
        <w:pStyle w:val="4"/>
        <w:numPr>
          <w:ilvl w:val="1"/>
          <w:numId w:val="0"/>
        </w:numPr>
        <w:spacing w:line="360" w:lineRule="auto"/>
        <w:rPr>
          <w:rFonts w:ascii="宋体" w:hAnsi="宋体"/>
          <w:color w:val="auto"/>
          <w:highlight w:val="none"/>
        </w:rPr>
      </w:pPr>
      <w:bookmarkStart w:id="293" w:name="_Toc200414515"/>
      <w:bookmarkStart w:id="294" w:name="_Toc8789"/>
      <w:bookmarkStart w:id="295" w:name="_Toc469160785"/>
      <w:r>
        <w:rPr>
          <w:rFonts w:hint="eastAsia" w:ascii="宋体" w:hAnsi="宋体"/>
          <w:color w:val="auto"/>
          <w:sz w:val="28"/>
          <w:szCs w:val="28"/>
          <w:highlight w:val="none"/>
        </w:rPr>
        <w:t>（一）无重大违法记录声明函</w:t>
      </w:r>
      <w:bookmarkEnd w:id="293"/>
      <w:bookmarkEnd w:id="294"/>
      <w:bookmarkEnd w:id="295"/>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r>
        <w:rPr>
          <w:rFonts w:hint="eastAsia" w:ascii="宋体" w:hAnsi="宋体"/>
          <w:color w:val="auto"/>
          <w:szCs w:val="21"/>
          <w:highlight w:val="none"/>
        </w:rPr>
        <w:t xml:space="preserve">    针对贵方组织的（项目名称）：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（项目编号</w:t>
      </w:r>
      <w:r>
        <w:rPr>
          <w:rFonts w:hint="eastAsia" w:ascii="宋体" w:hAnsi="宋体"/>
          <w:color w:val="auto"/>
          <w:szCs w:val="21"/>
          <w:highlight w:val="none"/>
          <w:u w:val="single"/>
        </w:rPr>
        <w:t>：</w:t>
      </w:r>
      <w:r>
        <w:rPr>
          <w:rFonts w:hint="eastAsia" w:ascii="宋体" w:hAnsi="宋体"/>
          <w:b/>
          <w:bCs/>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，我方郑重承诺：</w:t>
      </w:r>
    </w:p>
    <w:p>
      <w:pPr>
        <w:spacing w:line="360" w:lineRule="auto"/>
        <w:rPr>
          <w:rFonts w:ascii="宋体" w:hAnsi="宋体"/>
          <w:color w:val="auto"/>
          <w:szCs w:val="21"/>
          <w:highlight w:val="none"/>
        </w:rPr>
      </w:pPr>
      <w:r>
        <w:rPr>
          <w:rFonts w:hint="eastAsia" w:ascii="宋体" w:hAnsi="宋体"/>
          <w:color w:val="auto"/>
          <w:szCs w:val="21"/>
          <w:highlight w:val="none"/>
        </w:rPr>
        <w:t xml:space="preserve">   参加本次政府采购活动前三年内，在经营活动中没有重大违法记录。</w:t>
      </w:r>
    </w:p>
    <w:p>
      <w:pPr>
        <w:spacing w:line="360" w:lineRule="auto"/>
        <w:rPr>
          <w:rFonts w:ascii="宋体" w:hAnsi="宋体"/>
          <w:color w:val="auto"/>
          <w:szCs w:val="21"/>
          <w:highlight w:val="none"/>
        </w:rPr>
      </w:pPr>
      <w:r>
        <w:rPr>
          <w:rFonts w:hint="eastAsia" w:ascii="宋体" w:hAnsi="宋体"/>
          <w:color w:val="auto"/>
          <w:szCs w:val="21"/>
          <w:highlight w:val="none"/>
        </w:rPr>
        <w:t xml:space="preserve">   本公司对上述声明的真实性负责。如有虚假，将依法承担相关责任。</w:t>
      </w:r>
    </w:p>
    <w:p>
      <w:pPr>
        <w:spacing w:line="360" w:lineRule="auto"/>
        <w:rPr>
          <w:rFonts w:ascii="宋体" w:hAnsi="宋体"/>
          <w:color w:val="auto"/>
          <w:szCs w:val="21"/>
          <w:highlight w:val="none"/>
        </w:rPr>
      </w:pPr>
      <w:r>
        <w:rPr>
          <w:rFonts w:hint="eastAsia" w:ascii="宋体" w:hAnsi="宋体"/>
          <w:color w:val="auto"/>
          <w:szCs w:val="21"/>
          <w:highlight w:val="none"/>
        </w:rPr>
        <w:t xml:space="preserve">    特此声明。</w:t>
      </w: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ind w:firstLine="660"/>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供应商法定代表人（负责人）或授权代理人（签字）：</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供应商名称（加盖公章）：</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pPr>
        <w:spacing w:line="360" w:lineRule="auto"/>
        <w:rPr>
          <w:rFonts w:ascii="宋体" w:hAnsi="宋体"/>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r>
        <w:rPr>
          <w:rFonts w:hint="eastAsia" w:ascii="宋体" w:hAnsi="宋体"/>
          <w:color w:val="auto"/>
          <w:szCs w:val="21"/>
          <w:highlight w:val="none"/>
        </w:rPr>
        <w:t xml:space="preserve">                       </w:t>
      </w: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5"/>
        <w:spacing w:line="360" w:lineRule="auto"/>
        <w:ind w:left="420" w:firstLine="0"/>
        <w:rPr>
          <w:rFonts w:hAnsi="宋体"/>
          <w:color w:val="auto"/>
          <w:highlight w:val="none"/>
        </w:rPr>
      </w:pPr>
    </w:p>
    <w:p>
      <w:pPr>
        <w:pStyle w:val="4"/>
        <w:numPr>
          <w:ilvl w:val="1"/>
          <w:numId w:val="0"/>
        </w:numPr>
        <w:spacing w:line="360" w:lineRule="auto"/>
        <w:rPr>
          <w:rFonts w:ascii="宋体" w:hAnsi="宋体"/>
          <w:color w:val="auto"/>
          <w:kern w:val="0"/>
          <w:sz w:val="28"/>
          <w:szCs w:val="28"/>
          <w:highlight w:val="none"/>
        </w:rPr>
      </w:pPr>
      <w:bookmarkStart w:id="296" w:name="_Toc200414516"/>
      <w:bookmarkStart w:id="297" w:name="_Toc469160786"/>
      <w:bookmarkStart w:id="298" w:name="_Toc13980"/>
      <w:r>
        <w:rPr>
          <w:rFonts w:hint="eastAsia" w:ascii="宋体" w:hAnsi="宋体"/>
          <w:color w:val="auto"/>
          <w:kern w:val="0"/>
          <w:sz w:val="28"/>
          <w:szCs w:val="28"/>
          <w:highlight w:val="none"/>
        </w:rPr>
        <w:t>（二）法定代表人（负责人）证明书</w:t>
      </w:r>
      <w:bookmarkEnd w:id="296"/>
      <w:bookmarkEnd w:id="297"/>
      <w:bookmarkEnd w:id="298"/>
    </w:p>
    <w:p>
      <w:pPr>
        <w:pStyle w:val="5"/>
        <w:spacing w:line="360" w:lineRule="auto"/>
        <w:rPr>
          <w:rFonts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供应商名称                  </w:t>
      </w:r>
      <w:r>
        <w:rPr>
          <w:rFonts w:hint="eastAsia" w:ascii="宋体" w:hAnsi="宋体"/>
          <w:color w:val="auto"/>
          <w:highlight w:val="none"/>
        </w:rPr>
        <w:t xml:space="preserve">的   </w:t>
      </w:r>
      <w:r>
        <w:rPr>
          <w:rFonts w:hint="eastAsia" w:ascii="宋体" w:hAnsi="宋体"/>
          <w:color w:val="auto"/>
          <w:highlight w:val="none"/>
          <w:u w:val="single"/>
        </w:rPr>
        <w:t xml:space="preserve">职务    </w:t>
      </w:r>
      <w:r>
        <w:rPr>
          <w:rFonts w:hint="eastAsia" w:ascii="宋体" w:hAnsi="宋体"/>
          <w:color w:val="auto"/>
          <w:highlight w:val="none"/>
        </w:rPr>
        <w:t>，为法定代表人（负责人），特此证明。</w:t>
      </w:r>
    </w:p>
    <w:p>
      <w:pPr>
        <w:spacing w:line="360" w:lineRule="auto"/>
        <w:ind w:firstLine="420" w:firstLineChars="200"/>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rPr>
          <w:rFonts w:ascii="宋体" w:hAnsi="宋体"/>
          <w:color w:val="auto"/>
          <w:highlight w:val="non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r>
        <w:rPr>
          <w:rFonts w:hint="eastAsia" w:ascii="宋体" w:hAnsi="宋体"/>
          <w:color w:val="auto"/>
          <w:highlight w:val="none"/>
        </w:rPr>
        <w:t xml:space="preserve">                          </w:t>
      </w:r>
    </w:p>
    <w:p>
      <w:pPr>
        <w:spacing w:line="360" w:lineRule="auto"/>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附：代表人性别：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岁    </w:t>
      </w:r>
    </w:p>
    <w:p>
      <w:pPr>
        <w:spacing w:line="360" w:lineRule="auto"/>
        <w:ind w:firstLine="420" w:firstLineChars="200"/>
        <w:rPr>
          <w:rFonts w:ascii="宋体" w:hAnsi="宋体"/>
          <w:color w:val="auto"/>
          <w:highlight w:val="none"/>
        </w:rPr>
      </w:pPr>
    </w:p>
    <w:p>
      <w:pPr>
        <w:spacing w:line="360" w:lineRule="auto"/>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ind w:firstLine="0"/>
        <w:rPr>
          <w:rFonts w:hAnsi="宋体"/>
          <w:color w:val="auto"/>
          <w:highlight w:val="none"/>
        </w:rPr>
      </w:pPr>
      <w:r>
        <w:rPr>
          <w:rFonts w:hAnsi="宋体"/>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796925</wp:posOffset>
                </wp:positionH>
                <wp:positionV relativeFrom="paragraph">
                  <wp:posOffset>88265</wp:posOffset>
                </wp:positionV>
                <wp:extent cx="3502660" cy="1781810"/>
                <wp:effectExtent l="6350" t="6350" r="21590" b="15240"/>
                <wp:wrapNone/>
                <wp:docPr id="3" name="自选图形 193"/>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3" o:spid="_x0000_s1026" o:spt="176" type="#_x0000_t176" style="position:absolute;left:0pt;margin-left:62.75pt;margin-top:6.95pt;height:140.3pt;width:275.8pt;z-index:251660288;mso-width-relative:page;mso-height-relative:page;" fillcolor="#FFFFFF" filled="t" stroked="t" coordsize="21600,21600" o:gfxdata="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013vbX&#10;AAAACgEAAA8AAAAAAAAAAQAgAAAAIgAAAGRycy9kb3ducmV2LnhtbFBLAQIUABQAAAAIAIdO4kBG&#10;xe6UWgIAAKYEAAAOAAAAAAAAAAEAIAAAACYBAABkcnMvZTJvRG9jLnhtbFBLBQYAAAAABgAGAFkB&#10;AADyBQ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r>
        <w:rPr>
          <w:rFonts w:hint="eastAsia" w:hAnsi="宋体"/>
          <w:color w:val="auto"/>
          <w:highlight w:val="none"/>
        </w:rPr>
        <w:t xml:space="preserve">    </w:t>
      </w:r>
    </w:p>
    <w:p>
      <w:pPr>
        <w:pStyle w:val="5"/>
        <w:spacing w:line="360" w:lineRule="auto"/>
        <w:ind w:firstLine="0"/>
        <w:rPr>
          <w:rFonts w:hAnsi="宋体"/>
          <w:color w:val="auto"/>
          <w:highlight w:val="none"/>
        </w:rPr>
      </w:pPr>
    </w:p>
    <w:p>
      <w:pPr>
        <w:pStyle w:val="5"/>
        <w:spacing w:line="360" w:lineRule="auto"/>
        <w:ind w:firstLine="0"/>
        <w:rPr>
          <w:rFonts w:hAnsi="宋体"/>
          <w:color w:val="auto"/>
          <w:highlight w:val="none"/>
        </w:rPr>
      </w:pPr>
      <w:r>
        <w:rPr>
          <w:rFonts w:hint="eastAsia" w:hAnsi="宋体"/>
          <w:color w:val="auto"/>
          <w:highlight w:val="none"/>
        </w:rPr>
        <w:t xml:space="preserve">   </w:t>
      </w:r>
    </w:p>
    <w:p>
      <w:pPr>
        <w:pStyle w:val="5"/>
        <w:spacing w:line="360" w:lineRule="auto"/>
        <w:ind w:firstLine="0"/>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5"/>
        <w:spacing w:line="360" w:lineRule="auto"/>
        <w:rPr>
          <w:rFonts w:hAnsi="宋体"/>
          <w:color w:val="auto"/>
          <w:highlight w:val="none"/>
        </w:rPr>
      </w:pPr>
    </w:p>
    <w:p>
      <w:pPr>
        <w:pStyle w:val="4"/>
        <w:numPr>
          <w:ilvl w:val="1"/>
          <w:numId w:val="0"/>
        </w:numPr>
        <w:spacing w:line="360" w:lineRule="auto"/>
        <w:rPr>
          <w:rFonts w:ascii="宋体" w:hAnsi="宋体"/>
          <w:color w:val="auto"/>
          <w:sz w:val="28"/>
          <w:szCs w:val="28"/>
          <w:highlight w:val="none"/>
        </w:rPr>
      </w:pPr>
      <w:bookmarkStart w:id="299" w:name="_Toc469160787"/>
      <w:bookmarkStart w:id="300" w:name="_Toc23301"/>
      <w:bookmarkStart w:id="301" w:name="_Toc200414517"/>
      <w:r>
        <w:rPr>
          <w:rFonts w:hint="eastAsia" w:ascii="宋体" w:hAnsi="宋体"/>
          <w:color w:val="auto"/>
          <w:sz w:val="28"/>
          <w:szCs w:val="28"/>
          <w:highlight w:val="none"/>
        </w:rPr>
        <w:t>（三）法定代表人（负责人）授权书</w:t>
      </w:r>
      <w:bookmarkEnd w:id="299"/>
      <w:bookmarkEnd w:id="300"/>
      <w:bookmarkEnd w:id="301"/>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本授权委托书声明：我</w:t>
      </w:r>
      <w:r>
        <w:rPr>
          <w:rFonts w:hint="eastAsia" w:ascii="宋体" w:hAnsi="宋体"/>
          <w:bCs/>
          <w:color w:val="auto"/>
          <w:kern w:val="0"/>
          <w:szCs w:val="21"/>
          <w:highlight w:val="none"/>
          <w:u w:val="single"/>
        </w:rPr>
        <w:t xml:space="preserve">        （单位</w:t>
      </w:r>
      <w:r>
        <w:rPr>
          <w:rFonts w:hint="eastAsia" w:ascii="宋体" w:hAnsi="宋体" w:cs="宋体"/>
          <w:bCs/>
          <w:color w:val="auto"/>
          <w:kern w:val="0"/>
          <w:szCs w:val="21"/>
          <w:highlight w:val="none"/>
          <w:u w:val="single"/>
        </w:rPr>
        <w:t>法定代表人（负责人）</w:t>
      </w:r>
      <w:r>
        <w:rPr>
          <w:rFonts w:hint="eastAsia" w:ascii="宋体" w:hAnsi="宋体"/>
          <w:bCs/>
          <w:color w:val="auto"/>
          <w:kern w:val="0"/>
          <w:szCs w:val="21"/>
          <w:highlight w:val="none"/>
          <w:u w:val="single"/>
        </w:rPr>
        <w:t>姓名）</w:t>
      </w:r>
      <w:r>
        <w:rPr>
          <w:rFonts w:hint="eastAsia" w:ascii="宋体" w:hAnsi="宋体"/>
          <w:bCs/>
          <w:color w:val="auto"/>
          <w:kern w:val="0"/>
          <w:szCs w:val="21"/>
          <w:highlight w:val="none"/>
        </w:rPr>
        <w:t xml:space="preserve"> 系</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的法定代表人（负责人），现授权委托</w:t>
      </w:r>
      <w:r>
        <w:rPr>
          <w:rFonts w:hint="eastAsia" w:ascii="宋体" w:hAnsi="宋体"/>
          <w:bCs/>
          <w:color w:val="auto"/>
          <w:kern w:val="0"/>
          <w:szCs w:val="21"/>
          <w:highlight w:val="none"/>
          <w:u w:val="single"/>
        </w:rPr>
        <w:t xml:space="preserve">                        （供应商名称）</w:t>
      </w:r>
      <w:r>
        <w:rPr>
          <w:rFonts w:hint="eastAsia" w:ascii="宋体" w:hAnsi="宋体"/>
          <w:bCs/>
          <w:color w:val="auto"/>
          <w:kern w:val="0"/>
          <w:szCs w:val="21"/>
          <w:highlight w:val="none"/>
        </w:rPr>
        <w:t>的</w:t>
      </w:r>
      <w:r>
        <w:rPr>
          <w:rFonts w:hint="eastAsia" w:ascii="宋体" w:hAnsi="宋体"/>
          <w:bCs/>
          <w:color w:val="auto"/>
          <w:kern w:val="0"/>
          <w:szCs w:val="21"/>
          <w:highlight w:val="none"/>
          <w:u w:val="single"/>
        </w:rPr>
        <w:t xml:space="preserve">            （代理人姓名）</w:t>
      </w:r>
      <w:r>
        <w:rPr>
          <w:rFonts w:hint="eastAsia" w:ascii="宋体" w:hAnsi="宋体"/>
          <w:bCs/>
          <w:color w:val="auto"/>
          <w:kern w:val="0"/>
          <w:szCs w:val="21"/>
          <w:highlight w:val="none"/>
        </w:rPr>
        <w:t>为我公司代理人，以本公司的名义参加广东业信采购招标有限公司组织的</w:t>
      </w:r>
      <w:r>
        <w:rPr>
          <w:rFonts w:hint="eastAsia" w:ascii="宋体" w:hAnsi="宋体"/>
          <w:bCs/>
          <w:color w:val="auto"/>
          <w:kern w:val="0"/>
          <w:szCs w:val="21"/>
          <w:highlight w:val="none"/>
          <w:u w:val="single"/>
        </w:rPr>
        <w:t xml:space="preserve">  </w:t>
      </w:r>
      <w:r>
        <w:rPr>
          <w:rFonts w:hint="eastAsia" w:ascii="宋体" w:hAnsi="宋体" w:cs="宋体"/>
          <w:b/>
          <w:color w:val="auto"/>
          <w:szCs w:val="21"/>
          <w:highlight w:val="none"/>
          <w:u w:val="single"/>
        </w:rPr>
        <w:t>项目名称，由供应商填写</w:t>
      </w:r>
      <w:r>
        <w:rPr>
          <w:rFonts w:hint="eastAsia" w:ascii="宋体" w:hAnsi="宋体" w:cs="宋体"/>
          <w:color w:val="auto"/>
          <w:szCs w:val="21"/>
          <w:highlight w:val="none"/>
          <w:u w:val="single"/>
        </w:rPr>
        <w:t xml:space="preserve">   </w:t>
      </w:r>
      <w:r>
        <w:rPr>
          <w:rFonts w:hint="eastAsia" w:ascii="宋体" w:hAnsi="宋体"/>
          <w:bCs/>
          <w:color w:val="auto"/>
          <w:szCs w:val="21"/>
          <w:highlight w:val="none"/>
        </w:rPr>
        <w:t>磋商项目（项目编号:</w:t>
      </w:r>
      <w:r>
        <w:rPr>
          <w:rFonts w:hint="eastAsia" w:ascii="宋体" w:hAnsi="宋体" w:cs="宋体"/>
          <w:b/>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s="宋体"/>
          <w:b/>
          <w:color w:val="auto"/>
          <w:szCs w:val="21"/>
          <w:highlight w:val="none"/>
          <w:u w:val="single"/>
        </w:rPr>
        <w:t xml:space="preserve"> </w:t>
      </w:r>
      <w:r>
        <w:rPr>
          <w:rFonts w:hint="eastAsia" w:ascii="宋体" w:hAnsi="宋体"/>
          <w:bCs/>
          <w:color w:val="auto"/>
          <w:szCs w:val="21"/>
          <w:highlight w:val="none"/>
        </w:rPr>
        <w:t>）</w:t>
      </w:r>
      <w:r>
        <w:rPr>
          <w:rFonts w:hint="eastAsia" w:ascii="宋体" w:hAnsi="宋体"/>
          <w:bCs/>
          <w:color w:val="auto"/>
          <w:kern w:val="0"/>
          <w:szCs w:val="21"/>
          <w:highlight w:val="none"/>
        </w:rPr>
        <w:t>的活动。代理人在开标、评标、合同磋商过程中所签署的一切文件和处理与之有关的一切事务，我均予以承认。本授权委托书自签署之日起生效，特此声明。</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代理人无转移委托权。</w:t>
      </w:r>
    </w:p>
    <w:p>
      <w:pPr>
        <w:spacing w:line="360" w:lineRule="auto"/>
        <w:ind w:firstLine="420" w:firstLineChars="200"/>
        <w:rPr>
          <w:rFonts w:ascii="宋体" w:hAnsi="宋体"/>
          <w:bCs/>
          <w:color w:val="auto"/>
          <w:kern w:val="0"/>
          <w:szCs w:val="21"/>
          <w:highlight w:val="none"/>
        </w:rPr>
      </w:pPr>
      <w:r>
        <w:rPr>
          <w:rFonts w:hint="eastAsia" w:ascii="宋体" w:hAnsi="宋体"/>
          <w:bCs/>
          <w:color w:val="auto"/>
          <w:kern w:val="0"/>
          <w:szCs w:val="21"/>
          <w:highlight w:val="none"/>
        </w:rPr>
        <w:t>特此委托。</w:t>
      </w:r>
    </w:p>
    <w:p>
      <w:pPr>
        <w:autoSpaceDE w:val="0"/>
        <w:autoSpaceDN w:val="0"/>
        <w:adjustRightInd w:val="0"/>
        <w:snapToGrid w:val="0"/>
        <w:spacing w:line="360" w:lineRule="auto"/>
        <w:ind w:firstLine="600"/>
        <w:jc w:val="left"/>
        <w:rPr>
          <w:rFonts w:ascii="宋体" w:hAnsi="宋体"/>
          <w:bCs/>
          <w:color w:val="auto"/>
          <w:kern w:val="0"/>
          <w:szCs w:val="21"/>
          <w:highlight w:val="none"/>
        </w:rPr>
      </w:pP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代理人：</w:t>
      </w:r>
      <w:r>
        <w:rPr>
          <w:rFonts w:hint="eastAsia" w:ascii="宋体" w:hAnsi="宋体"/>
          <w:bCs/>
          <w:color w:val="auto"/>
          <w:kern w:val="0"/>
          <w:szCs w:val="21"/>
          <w:highlight w:val="none"/>
          <w:u w:val="single"/>
        </w:rPr>
        <w:t xml:space="preserve">   </w:t>
      </w:r>
      <w:r>
        <w:rPr>
          <w:rFonts w:ascii="宋体" w:hAnsi="宋体"/>
          <w:bCs/>
          <w:color w:val="auto"/>
          <w:kern w:val="0"/>
          <w:szCs w:val="21"/>
          <w:highlight w:val="none"/>
          <w:u w:val="single"/>
        </w:rPr>
        <w:t xml:space="preserve"> </w:t>
      </w:r>
      <w:r>
        <w:rPr>
          <w:rFonts w:hint="eastAsia" w:ascii="宋体" w:hAnsi="宋体"/>
          <w:bCs/>
          <w:color w:val="auto"/>
          <w:kern w:val="0"/>
          <w:szCs w:val="21"/>
          <w:highlight w:val="none"/>
          <w:u w:val="single"/>
        </w:rPr>
        <w:t xml:space="preserve">      </w:t>
      </w:r>
      <w:r>
        <w:rPr>
          <w:rFonts w:hint="eastAsia" w:ascii="宋体" w:hAnsi="宋体"/>
          <w:bCs/>
          <w:color w:val="auto"/>
          <w:kern w:val="0"/>
          <w:szCs w:val="21"/>
          <w:highlight w:val="none"/>
        </w:rPr>
        <w:t xml:space="preserve">    性别：</w:t>
      </w:r>
      <w:r>
        <w:rPr>
          <w:rFonts w:hint="eastAsia" w:ascii="宋体" w:hAnsi="宋体"/>
          <w:bCs/>
          <w:color w:val="auto"/>
          <w:kern w:val="0"/>
          <w:szCs w:val="21"/>
          <w:highlight w:val="none"/>
          <w:u w:val="single"/>
        </w:rPr>
        <w:t xml:space="preserve">         </w:t>
      </w:r>
      <w:r>
        <w:rPr>
          <w:rFonts w:hint="eastAsia" w:ascii="宋体" w:hAnsi="宋体"/>
          <w:bCs/>
          <w:color w:val="auto"/>
          <w:kern w:val="0"/>
          <w:szCs w:val="21"/>
          <w:highlight w:val="none"/>
        </w:rPr>
        <w:t xml:space="preserve">   年龄：</w:t>
      </w:r>
      <w:r>
        <w:rPr>
          <w:rFonts w:hint="eastAsia" w:ascii="宋体" w:hAnsi="宋体"/>
          <w:bCs/>
          <w:color w:val="auto"/>
          <w:kern w:val="0"/>
          <w:szCs w:val="21"/>
          <w:highlight w:val="none"/>
          <w:u w:val="single"/>
        </w:rPr>
        <w:t xml:space="preserve">           </w:t>
      </w:r>
      <w:r>
        <w:rPr>
          <w:rFonts w:hint="eastAsia" w:ascii="宋体" w:hAnsi="宋体"/>
          <w:bCs/>
          <w:color w:val="auto"/>
          <w:kern w:val="0"/>
          <w:szCs w:val="21"/>
          <w:highlight w:val="none"/>
        </w:rPr>
        <w:t xml:space="preserve">   职务：</w:t>
      </w:r>
      <w:r>
        <w:rPr>
          <w:rFonts w:hint="eastAsia" w:ascii="宋体" w:hAnsi="宋体"/>
          <w:bCs/>
          <w:color w:val="auto"/>
          <w:kern w:val="0"/>
          <w:szCs w:val="21"/>
          <w:highlight w:val="none"/>
          <w:u w:val="single"/>
        </w:rPr>
        <w:t xml:space="preserve">           </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供应商：</w:t>
      </w:r>
      <w:r>
        <w:rPr>
          <w:rFonts w:hint="eastAsia" w:ascii="宋体" w:hAnsi="宋体"/>
          <w:bCs/>
          <w:color w:val="auto"/>
          <w:kern w:val="0"/>
          <w:szCs w:val="21"/>
          <w:highlight w:val="none"/>
          <w:u w:val="single"/>
        </w:rPr>
        <w:t xml:space="preserve">          （名称并加盖公章）                                         </w:t>
      </w:r>
    </w:p>
    <w:p>
      <w:pPr>
        <w:spacing w:line="360" w:lineRule="auto"/>
        <w:ind w:firstLine="420" w:firstLineChars="200"/>
        <w:rPr>
          <w:rFonts w:ascii="宋体" w:hAnsi="宋体"/>
          <w:bCs/>
          <w:color w:val="auto"/>
          <w:kern w:val="0"/>
          <w:szCs w:val="21"/>
          <w:highlight w:val="none"/>
          <w:u w:val="single"/>
        </w:rPr>
      </w:pPr>
      <w:r>
        <w:rPr>
          <w:rFonts w:hint="eastAsia" w:ascii="宋体" w:hAnsi="宋体"/>
          <w:bCs/>
          <w:color w:val="auto"/>
          <w:kern w:val="0"/>
          <w:szCs w:val="21"/>
          <w:highlight w:val="none"/>
        </w:rPr>
        <w:t>法定代表人（负责人）：</w:t>
      </w:r>
      <w:r>
        <w:rPr>
          <w:rFonts w:hint="eastAsia" w:ascii="宋体" w:hAnsi="宋体"/>
          <w:bCs/>
          <w:color w:val="auto"/>
          <w:kern w:val="0"/>
          <w:szCs w:val="21"/>
          <w:highlight w:val="none"/>
          <w:u w:val="single"/>
        </w:rPr>
        <w:t xml:space="preserve">    （签字或盖章）         </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签发日期：</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有效日期至：</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ind w:firstLine="630"/>
        <w:rPr>
          <w:rFonts w:ascii="宋体" w:hAnsi="宋体"/>
          <w:bCs/>
          <w:color w:val="auto"/>
          <w:kern w:val="0"/>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（注：供应商的磋商响应文件为</w:t>
      </w:r>
      <w:r>
        <w:rPr>
          <w:rFonts w:hint="eastAsia" w:ascii="宋体" w:hAnsi="宋体" w:cs="宋体"/>
          <w:b/>
          <w:color w:val="auto"/>
          <w:szCs w:val="21"/>
          <w:highlight w:val="none"/>
        </w:rPr>
        <w:t>法定代表人（负责人）</w:t>
      </w:r>
      <w:r>
        <w:rPr>
          <w:rFonts w:hint="eastAsia" w:ascii="宋体" w:hAnsi="宋体"/>
          <w:b/>
          <w:color w:val="auto"/>
          <w:szCs w:val="21"/>
          <w:highlight w:val="none"/>
        </w:rPr>
        <w:t>签署并且由</w:t>
      </w:r>
      <w:r>
        <w:rPr>
          <w:rFonts w:hint="eastAsia" w:ascii="宋体" w:hAnsi="宋体" w:cs="宋体"/>
          <w:b/>
          <w:color w:val="auto"/>
          <w:szCs w:val="21"/>
          <w:highlight w:val="none"/>
        </w:rPr>
        <w:t>法定代表人（负责人）</w:t>
      </w:r>
      <w:r>
        <w:rPr>
          <w:rFonts w:hint="eastAsia" w:ascii="宋体" w:hAnsi="宋体"/>
          <w:b/>
          <w:color w:val="auto"/>
          <w:szCs w:val="21"/>
          <w:highlight w:val="none"/>
        </w:rPr>
        <w:t>亲自递交磋商响应文件和参加磋商的，不须提供该委托书，但需提供法定代表人（负责人）证明书及法定代表人（负责人）的身份证复印件。）</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ascii="宋体" w:hAnsi="宋体"/>
          <w:color w:val="auto"/>
          <w:szCs w:val="21"/>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139065</wp:posOffset>
                </wp:positionV>
                <wp:extent cx="3502660" cy="1781810"/>
                <wp:effectExtent l="6350" t="6350" r="21590" b="15240"/>
                <wp:wrapNone/>
                <wp:docPr id="2" name="自选图形 192"/>
                <wp:cNvGraphicFramePr/>
                <a:graphic xmlns:a="http://schemas.openxmlformats.org/drawingml/2006/main">
                  <a:graphicData uri="http://schemas.microsoft.com/office/word/2010/wordprocessingShape">
                    <wps:wsp>
                      <wps:cNvSpPr>
                        <a:spLocks noChangeArrowheads="1"/>
                      </wps:cNvSpPr>
                      <wps:spPr bwMode="auto">
                        <a:xfrm>
                          <a:off x="0" y="0"/>
                          <a:ext cx="3502660" cy="1781810"/>
                        </a:xfrm>
                        <a:prstGeom prst="flowChartAlternateProcess">
                          <a:avLst/>
                        </a:prstGeom>
                        <a:solidFill>
                          <a:srgbClr val="FFFFFF"/>
                        </a:solidFill>
                        <a:ln w="9525">
                          <a:solidFill>
                            <a:srgbClr val="000000"/>
                          </a:solidFill>
                          <a:miter lim="800000"/>
                        </a:ln>
                        <a:effectLst/>
                      </wps:spPr>
                      <wps:txb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192" o:spid="_x0000_s1026" o:spt="176" type="#_x0000_t176" style="position:absolute;left:0pt;margin-left:99.75pt;margin-top:10.95pt;height:140.3pt;width:275.8pt;z-index:251659264;mso-width-relative:page;mso-height-relative:page;" fillcolor="#FFFFFF" filled="t" stroked="t" coordsize="21600,21600" o:gfxdata="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EqxkB&#10;2AAAAAoBAAAPAAAAAAAAAAEAIAAAACIAAABkcnMvZG93bnJldi54bWxQSwECFAAUAAAACACHTuJA&#10;fAi9BFoCAACmBAAADgAAAAAAAAABACAAAAAnAQAAZHJzL2Uyb0RvYy54bWxQSwUGAAAAAAYABgBZ&#10;AQAA8wUAAAAA&#10;">
                <v:fill on="t" focussize="0,0"/>
                <v:stroke color="#000000" miterlimit="8" joinstyle="miter"/>
                <v:imagedata o:title=""/>
                <o:lock v:ext="edit" aspectratio="f"/>
                <v:textbox>
                  <w:txbxContent>
                    <w:p>
                      <w:pPr>
                        <w:rPr>
                          <w:rFonts w:ascii="宋体" w:hAnsi="宋体"/>
                          <w:szCs w:val="21"/>
                        </w:rPr>
                      </w:pPr>
                    </w:p>
                    <w:p>
                      <w:pPr>
                        <w:rPr>
                          <w:rFonts w:ascii="宋体" w:hAnsi="宋体"/>
                          <w:szCs w:val="21"/>
                        </w:rPr>
                      </w:pPr>
                    </w:p>
                    <w:p>
                      <w:pPr>
                        <w:rPr>
                          <w:rFonts w:ascii="宋体" w:hAnsi="宋体"/>
                          <w:szCs w:val="21"/>
                        </w:rPr>
                      </w:pPr>
                    </w:p>
                    <w:p>
                      <w:pPr>
                        <w:jc w:val="center"/>
                        <w:rPr>
                          <w:rFonts w:ascii="宋体" w:hAnsi="宋体"/>
                          <w:szCs w:val="21"/>
                        </w:rPr>
                      </w:pPr>
                      <w:r>
                        <w:rPr>
                          <w:rFonts w:hint="eastAsia" w:ascii="宋体" w:hAnsi="宋体"/>
                          <w:szCs w:val="21"/>
                        </w:rPr>
                        <w:t>身份证正反面复印件</w:t>
                      </w:r>
                    </w:p>
                  </w:txbxContent>
                </v:textbox>
              </v:shape>
            </w:pict>
          </mc:Fallback>
        </mc:AlternateConten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pStyle w:val="4"/>
        <w:numPr>
          <w:ilvl w:val="1"/>
          <w:numId w:val="0"/>
        </w:numPr>
        <w:spacing w:line="360" w:lineRule="auto"/>
        <w:rPr>
          <w:rFonts w:ascii="宋体" w:hAnsi="宋体"/>
          <w:color w:val="auto"/>
          <w:sz w:val="28"/>
          <w:szCs w:val="28"/>
          <w:highlight w:val="none"/>
        </w:rPr>
      </w:pPr>
      <w:bookmarkStart w:id="302" w:name="_Toc469160793"/>
      <w:bookmarkStart w:id="303" w:name="_Toc20927"/>
      <w:bookmarkStart w:id="304" w:name="_Toc200414523"/>
      <w:r>
        <w:rPr>
          <w:rFonts w:hint="eastAsia" w:ascii="宋体" w:hAnsi="宋体"/>
          <w:color w:val="auto"/>
          <w:sz w:val="28"/>
          <w:szCs w:val="28"/>
          <w:highlight w:val="none"/>
        </w:rPr>
        <w:t>（四） 资格审查文件要求提交的其它有效证明文件</w:t>
      </w:r>
      <w:bookmarkEnd w:id="302"/>
      <w:bookmarkEnd w:id="303"/>
      <w:bookmarkEnd w:id="304"/>
    </w:p>
    <w:p>
      <w:pPr>
        <w:tabs>
          <w:tab w:val="center" w:pos="4483"/>
        </w:tabs>
        <w:spacing w:line="360" w:lineRule="auto"/>
        <w:ind w:firstLine="840" w:firstLineChars="400"/>
        <w:rPr>
          <w:rFonts w:ascii="宋体" w:hAnsi="宋体"/>
          <w:color w:val="auto"/>
          <w:kern w:val="0"/>
          <w:szCs w:val="21"/>
          <w:highlight w:val="none"/>
        </w:rPr>
      </w:pPr>
      <w:r>
        <w:rPr>
          <w:rFonts w:hint="eastAsia" w:ascii="宋体" w:hAnsi="宋体"/>
          <w:color w:val="auto"/>
          <w:kern w:val="0"/>
          <w:szCs w:val="21"/>
          <w:highlight w:val="none"/>
        </w:rPr>
        <w:t>1、合法有效的企业法人营业执照副本复印件加盖公章；</w:t>
      </w:r>
    </w:p>
    <w:p>
      <w:pPr>
        <w:tabs>
          <w:tab w:val="center" w:pos="4483"/>
        </w:tabs>
        <w:spacing w:line="360" w:lineRule="auto"/>
        <w:ind w:firstLine="840" w:firstLineChars="400"/>
        <w:rPr>
          <w:rFonts w:ascii="宋体" w:hAnsi="宋体"/>
          <w:color w:val="auto"/>
          <w:kern w:val="0"/>
          <w:szCs w:val="21"/>
          <w:highlight w:val="none"/>
        </w:rPr>
      </w:pPr>
      <w:r>
        <w:rPr>
          <w:rFonts w:hint="eastAsia" w:ascii="宋体" w:hAnsi="宋体"/>
          <w:color w:val="auto"/>
          <w:kern w:val="0"/>
          <w:szCs w:val="21"/>
          <w:highlight w:val="none"/>
        </w:rPr>
        <w:t>2、无重大违法记录声明函；</w:t>
      </w:r>
    </w:p>
    <w:p>
      <w:pPr>
        <w:tabs>
          <w:tab w:val="center" w:pos="4483"/>
        </w:tabs>
        <w:spacing w:line="360" w:lineRule="auto"/>
        <w:ind w:firstLine="840" w:firstLineChars="400"/>
        <w:rPr>
          <w:rFonts w:ascii="宋体" w:hAnsi="宋体"/>
          <w:color w:val="auto"/>
          <w:kern w:val="0"/>
          <w:szCs w:val="21"/>
          <w:highlight w:val="none"/>
        </w:rPr>
      </w:pPr>
      <w:r>
        <w:rPr>
          <w:rFonts w:hint="eastAsia" w:ascii="宋体" w:hAnsi="宋体"/>
          <w:color w:val="auto"/>
          <w:kern w:val="0"/>
          <w:szCs w:val="21"/>
          <w:highlight w:val="none"/>
        </w:rPr>
        <w:t>3、财务报表复印件加盖公章；</w:t>
      </w:r>
    </w:p>
    <w:p>
      <w:pPr>
        <w:tabs>
          <w:tab w:val="center" w:pos="4483"/>
        </w:tabs>
        <w:spacing w:line="360" w:lineRule="auto"/>
        <w:ind w:firstLine="840" w:firstLineChars="400"/>
        <w:rPr>
          <w:rFonts w:ascii="宋体" w:hAnsi="宋体"/>
          <w:color w:val="auto"/>
          <w:kern w:val="0"/>
          <w:szCs w:val="21"/>
          <w:highlight w:val="none"/>
        </w:rPr>
      </w:pPr>
      <w:r>
        <w:rPr>
          <w:rFonts w:hint="eastAsia" w:ascii="宋体" w:hAnsi="宋体"/>
          <w:color w:val="auto"/>
          <w:kern w:val="0"/>
          <w:szCs w:val="21"/>
          <w:highlight w:val="none"/>
        </w:rPr>
        <w:t>4、社会保险证明复印件加盖公章；</w:t>
      </w:r>
    </w:p>
    <w:p>
      <w:pPr>
        <w:tabs>
          <w:tab w:val="center" w:pos="4483"/>
        </w:tabs>
        <w:spacing w:line="360" w:lineRule="auto"/>
        <w:ind w:firstLine="840" w:firstLineChars="400"/>
        <w:rPr>
          <w:rFonts w:ascii="宋体" w:hAnsi="宋体"/>
          <w:color w:val="auto"/>
          <w:kern w:val="0"/>
          <w:szCs w:val="21"/>
          <w:highlight w:val="none"/>
        </w:rPr>
      </w:pPr>
      <w:r>
        <w:rPr>
          <w:rFonts w:hint="eastAsia" w:ascii="宋体" w:hAnsi="宋体"/>
          <w:color w:val="auto"/>
          <w:kern w:val="0"/>
          <w:szCs w:val="21"/>
          <w:highlight w:val="none"/>
        </w:rPr>
        <w:t>5、缴税证明复印件加盖公章；</w:t>
      </w:r>
    </w:p>
    <w:p>
      <w:pPr>
        <w:tabs>
          <w:tab w:val="center" w:pos="4483"/>
        </w:tabs>
        <w:spacing w:line="360" w:lineRule="auto"/>
        <w:ind w:firstLine="1260" w:firstLineChars="600"/>
        <w:rPr>
          <w:rFonts w:ascii="宋体" w:hAnsi="宋体"/>
          <w:bCs/>
          <w:color w:val="auto"/>
          <w:kern w:val="0"/>
          <w:szCs w:val="21"/>
          <w:highlight w:val="none"/>
        </w:rPr>
        <w:sectPr>
          <w:headerReference r:id="rId14" w:type="default"/>
          <w:pgSz w:w="11906" w:h="16838"/>
          <w:pgMar w:top="1418" w:right="1474" w:bottom="1418" w:left="1474" w:header="851" w:footer="851" w:gutter="0"/>
          <w:cols w:space="720" w:num="1"/>
          <w:titlePg/>
          <w:docGrid w:linePitch="312" w:charSpace="0"/>
        </w:sectPr>
      </w:pPr>
      <w:r>
        <w:rPr>
          <w:rFonts w:hint="eastAsia" w:ascii="宋体" w:hAnsi="宋体"/>
          <w:color w:val="auto"/>
          <w:kern w:val="0"/>
          <w:szCs w:val="21"/>
          <w:highlight w:val="none"/>
        </w:rPr>
        <w:t>……</w:t>
      </w:r>
    </w:p>
    <w:p>
      <w:pPr>
        <w:pStyle w:val="4"/>
        <w:numPr>
          <w:ilvl w:val="1"/>
          <w:numId w:val="0"/>
        </w:numPr>
        <w:spacing w:line="360" w:lineRule="auto"/>
        <w:ind w:firstLine="2249" w:firstLineChars="800"/>
        <w:jc w:val="both"/>
        <w:rPr>
          <w:rFonts w:ascii="宋体" w:hAnsi="宋体"/>
          <w:color w:val="auto"/>
          <w:sz w:val="28"/>
          <w:szCs w:val="28"/>
          <w:highlight w:val="none"/>
        </w:rPr>
      </w:pPr>
      <w:bookmarkStart w:id="305" w:name="_Toc200414524"/>
      <w:bookmarkStart w:id="306" w:name="_Toc469160794"/>
      <w:bookmarkStart w:id="307" w:name="_Toc27296"/>
      <w:r>
        <w:rPr>
          <w:rFonts w:hint="eastAsia" w:ascii="宋体" w:hAnsi="宋体"/>
          <w:color w:val="auto"/>
          <w:sz w:val="28"/>
          <w:szCs w:val="28"/>
          <w:highlight w:val="none"/>
        </w:rPr>
        <w:t>第二章  磋商响应文件商务及技术部分</w:t>
      </w:r>
      <w:bookmarkEnd w:id="305"/>
      <w:bookmarkEnd w:id="306"/>
      <w:bookmarkEnd w:id="307"/>
    </w:p>
    <w:p>
      <w:pPr>
        <w:pStyle w:val="4"/>
        <w:numPr>
          <w:ilvl w:val="1"/>
          <w:numId w:val="0"/>
        </w:numPr>
        <w:spacing w:line="360" w:lineRule="auto"/>
        <w:ind w:firstLine="3373" w:firstLineChars="1200"/>
        <w:jc w:val="both"/>
        <w:rPr>
          <w:rFonts w:ascii="宋体" w:hAnsi="宋体"/>
          <w:color w:val="auto"/>
          <w:sz w:val="28"/>
          <w:szCs w:val="28"/>
          <w:highlight w:val="none"/>
        </w:rPr>
      </w:pPr>
      <w:bookmarkStart w:id="308" w:name="_Toc469160795"/>
      <w:bookmarkStart w:id="309" w:name="_Toc200414525"/>
      <w:bookmarkStart w:id="310" w:name="_Toc28157"/>
      <w:r>
        <w:rPr>
          <w:rFonts w:hint="eastAsia" w:ascii="宋体" w:hAnsi="宋体"/>
          <w:color w:val="auto"/>
          <w:sz w:val="28"/>
          <w:szCs w:val="28"/>
          <w:highlight w:val="none"/>
        </w:rPr>
        <w:t>附件一：磋商邀请函</w:t>
      </w:r>
      <w:bookmarkEnd w:id="308"/>
      <w:bookmarkEnd w:id="309"/>
      <w:bookmarkEnd w:id="310"/>
    </w:p>
    <w:p>
      <w:pPr>
        <w:widowControl/>
        <w:spacing w:line="360" w:lineRule="auto"/>
        <w:jc w:val="left"/>
        <w:rPr>
          <w:rFonts w:ascii="宋体" w:hAnsi="宋体" w:cs="宋体"/>
          <w:color w:val="auto"/>
          <w:kern w:val="0"/>
          <w:sz w:val="24"/>
          <w:highlight w:val="none"/>
          <w:u w:val="single"/>
        </w:rPr>
      </w:pPr>
      <w:r>
        <w:rPr>
          <w:rFonts w:ascii="宋体" w:hAnsi="宋体" w:cs="宋体"/>
          <w:color w:val="auto"/>
          <w:kern w:val="0"/>
          <w:sz w:val="24"/>
          <w:highlight w:val="none"/>
          <w:u w:val="single"/>
        </w:rPr>
        <w:t>致（采购人</w:t>
      </w:r>
      <w:r>
        <w:rPr>
          <w:rFonts w:hint="eastAsia" w:ascii="宋体" w:hAnsi="宋体" w:cs="宋体"/>
          <w:color w:val="auto"/>
          <w:kern w:val="0"/>
          <w:sz w:val="24"/>
          <w:highlight w:val="none"/>
          <w:u w:val="single"/>
        </w:rPr>
        <w:t>名称</w:t>
      </w:r>
      <w:r>
        <w:rPr>
          <w:rFonts w:ascii="宋体" w:hAnsi="宋体" w:cs="宋体"/>
          <w:color w:val="auto"/>
          <w:kern w:val="0"/>
          <w:sz w:val="24"/>
          <w:highlight w:val="none"/>
          <w:u w:val="single"/>
        </w:rPr>
        <w:t>）                  </w:t>
      </w:r>
      <w:r>
        <w:rPr>
          <w:rFonts w:ascii="宋体" w:hAnsi="宋体" w:cs="宋体"/>
          <w:color w:val="auto"/>
          <w:kern w:val="0"/>
          <w:sz w:val="24"/>
          <w:highlight w:val="none"/>
        </w:rPr>
        <w:t xml:space="preserve">： </w:t>
      </w:r>
    </w:p>
    <w:p>
      <w:pPr>
        <w:adjustRightInd w:val="0"/>
        <w:snapToGrid w:val="0"/>
        <w:spacing w:beforeLines="50" w:line="360" w:lineRule="auto"/>
        <w:ind w:firstLine="420"/>
        <w:rPr>
          <w:rFonts w:ascii="宋体" w:hAnsi="宋体"/>
          <w:bCs/>
          <w:color w:val="auto"/>
          <w:szCs w:val="21"/>
          <w:highlight w:val="none"/>
        </w:rPr>
      </w:pPr>
      <w:r>
        <w:rPr>
          <w:rFonts w:hint="eastAsia" w:ascii="宋体" w:hAnsi="宋体"/>
          <w:bCs/>
          <w:color w:val="auto"/>
          <w:szCs w:val="21"/>
          <w:highlight w:val="none"/>
        </w:rPr>
        <w:t>根据贵方就</w:t>
      </w:r>
      <w:r>
        <w:rPr>
          <w:rFonts w:hint="eastAsia" w:ascii="宋体" w:hAnsi="宋体"/>
          <w:bCs/>
          <w:color w:val="auto"/>
          <w:szCs w:val="21"/>
          <w:highlight w:val="none"/>
          <w:u w:val="single"/>
        </w:rPr>
        <w:t xml:space="preserve">      </w:t>
      </w:r>
      <w:r>
        <w:rPr>
          <w:rFonts w:hint="eastAsia" w:ascii="宋体" w:hAnsi="宋体" w:cs="宋体"/>
          <w:b/>
          <w:color w:val="auto"/>
          <w:szCs w:val="21"/>
          <w:highlight w:val="none"/>
          <w:u w:val="single"/>
        </w:rPr>
        <w:t xml:space="preserve">项目名称，由供应商填写      </w:t>
      </w:r>
      <w:r>
        <w:rPr>
          <w:rFonts w:hint="eastAsia" w:ascii="宋体" w:hAnsi="宋体"/>
          <w:bCs/>
          <w:color w:val="auto"/>
          <w:szCs w:val="21"/>
          <w:highlight w:val="none"/>
        </w:rPr>
        <w:t>的投标邀请（项目编号：</w:t>
      </w:r>
      <w:r>
        <w:rPr>
          <w:rFonts w:hint="eastAsia" w:ascii="宋体" w:hAnsi="宋体"/>
          <w:b/>
          <w:bCs/>
          <w:color w:val="auto"/>
          <w:szCs w:val="21"/>
          <w:highlight w:val="none"/>
        </w:rPr>
        <w:t xml:space="preserve"> </w:t>
      </w:r>
      <w:r>
        <w:rPr>
          <w:rFonts w:hint="eastAsia" w:ascii="宋体" w:hAnsi="宋体"/>
          <w:b/>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，我方正式响应磋商文件内容并提交磋商响应文件</w:t>
      </w:r>
      <w:r>
        <w:rPr>
          <w:rFonts w:hint="eastAsia" w:ascii="宋体" w:hAnsi="宋体"/>
          <w:b/>
          <w:bCs/>
          <w:color w:val="auto"/>
          <w:szCs w:val="21"/>
          <w:highlight w:val="none"/>
          <w:u w:val="single"/>
        </w:rPr>
        <w:t>1份正本</w:t>
      </w:r>
      <w:r>
        <w:rPr>
          <w:rFonts w:hint="eastAsia" w:ascii="宋体" w:hAnsi="宋体"/>
          <w:b/>
          <w:bCs/>
          <w:color w:val="auto"/>
          <w:szCs w:val="21"/>
          <w:highlight w:val="none"/>
        </w:rPr>
        <w:t>和</w:t>
      </w:r>
      <w:r>
        <w:rPr>
          <w:rFonts w:hint="eastAsia" w:ascii="宋体" w:hAnsi="宋体"/>
          <w:b/>
          <w:bCs/>
          <w:color w:val="auto"/>
          <w:szCs w:val="21"/>
          <w:highlight w:val="none"/>
          <w:u w:val="single"/>
        </w:rPr>
        <w:t>2份副本</w:t>
      </w:r>
      <w:r>
        <w:rPr>
          <w:rFonts w:hint="eastAsia" w:ascii="宋体" w:hAnsi="宋体"/>
          <w:b/>
          <w:bCs/>
          <w:color w:val="auto"/>
          <w:szCs w:val="21"/>
          <w:highlight w:val="none"/>
        </w:rPr>
        <w:t>及</w:t>
      </w:r>
      <w:r>
        <w:rPr>
          <w:rFonts w:hint="eastAsia" w:ascii="宋体" w:hAnsi="宋体"/>
          <w:b/>
          <w:bCs/>
          <w:color w:val="auto"/>
          <w:szCs w:val="21"/>
          <w:highlight w:val="none"/>
          <w:u w:val="single"/>
        </w:rPr>
        <w:t>电子文件1份</w:t>
      </w:r>
      <w:r>
        <w:rPr>
          <w:rFonts w:hint="eastAsia" w:ascii="宋体" w:hAnsi="宋体"/>
          <w:bCs/>
          <w:color w:val="auto"/>
          <w:szCs w:val="21"/>
          <w:highlight w:val="none"/>
        </w:rPr>
        <w:t>：</w:t>
      </w:r>
    </w:p>
    <w:p>
      <w:pPr>
        <w:widowControl/>
        <w:tabs>
          <w:tab w:val="left" w:pos="502"/>
        </w:tabs>
        <w:adjustRightInd w:val="0"/>
        <w:snapToGrid w:val="0"/>
        <w:spacing w:line="360" w:lineRule="auto"/>
        <w:ind w:left="374" w:leftChars="178" w:firstLine="315" w:firstLineChars="150"/>
        <w:rPr>
          <w:rFonts w:ascii="宋体" w:hAnsi="宋体"/>
          <w:color w:val="auto"/>
          <w:szCs w:val="21"/>
          <w:highlight w:val="none"/>
        </w:rPr>
      </w:pPr>
      <w:r>
        <w:rPr>
          <w:rFonts w:hint="eastAsia" w:ascii="宋体" w:hAnsi="宋体"/>
          <w:bCs/>
          <w:color w:val="auto"/>
          <w:szCs w:val="21"/>
          <w:highlight w:val="none"/>
        </w:rPr>
        <w:t>以</w:t>
      </w:r>
      <w:r>
        <w:rPr>
          <w:rFonts w:hint="eastAsia" w:ascii="宋体" w:hAnsi="宋体"/>
          <w:bCs/>
          <w:color w:val="auto"/>
          <w:szCs w:val="21"/>
          <w:highlight w:val="none"/>
          <w:u w:val="single"/>
        </w:rPr>
        <w:t xml:space="preserve">        </w:t>
      </w:r>
      <w:r>
        <w:rPr>
          <w:rFonts w:hint="eastAsia" w:ascii="宋体" w:hAnsi="宋体"/>
          <w:bCs/>
          <w:color w:val="auto"/>
          <w:szCs w:val="21"/>
          <w:highlight w:val="none"/>
        </w:rPr>
        <w:t>形式提交的磋商保证金，金额为大写</w:t>
      </w:r>
      <w:r>
        <w:rPr>
          <w:rFonts w:hint="eastAsia" w:ascii="宋体" w:hAnsi="宋体"/>
          <w:color w:val="auto"/>
          <w:szCs w:val="21"/>
          <w:highlight w:val="none"/>
        </w:rPr>
        <w:t>人民币</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bCs/>
          <w:color w:val="auto"/>
          <w:szCs w:val="21"/>
          <w:highlight w:val="non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w:t>
      </w:r>
    </w:p>
    <w:p>
      <w:pPr>
        <w:widowControl/>
        <w:tabs>
          <w:tab w:val="left" w:pos="502"/>
        </w:tabs>
        <w:adjustRightInd w:val="0"/>
        <w:snapToGrid w:val="0"/>
        <w:spacing w:line="360" w:lineRule="auto"/>
        <w:ind w:left="374" w:leftChars="177" w:hanging="2" w:hangingChars="1"/>
        <w:rPr>
          <w:rFonts w:ascii="宋体" w:hAnsi="宋体"/>
          <w:bCs/>
          <w:color w:val="auto"/>
          <w:szCs w:val="21"/>
          <w:highlight w:val="none"/>
        </w:rPr>
      </w:pPr>
      <w:r>
        <w:rPr>
          <w:rFonts w:hint="eastAsia" w:ascii="宋体" w:hAnsi="宋体"/>
          <w:bCs/>
          <w:color w:val="auto"/>
          <w:szCs w:val="21"/>
          <w:highlight w:val="none"/>
        </w:rPr>
        <w:t>据此函，签字代表宣布同意如下：</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color w:val="auto"/>
          <w:szCs w:val="21"/>
          <w:highlight w:val="none"/>
        </w:rPr>
        <w:t>所附投标价格表中规定的应提交和交付的货物投标总价为人民币：</w:t>
      </w:r>
      <w:r>
        <w:rPr>
          <w:rFonts w:hint="eastAsia" w:ascii="宋体" w:hAnsi="宋体"/>
          <w:color w:val="auto"/>
          <w:szCs w:val="21"/>
          <w:highlight w:val="none"/>
          <w:u w:val="single"/>
        </w:rPr>
        <w:t xml:space="preserve"> （用文字和数字表示的磋商总价）  </w:t>
      </w:r>
      <w:r>
        <w:rPr>
          <w:rFonts w:hint="eastAsia" w:ascii="宋体" w:hAnsi="宋体"/>
          <w:color w:val="auto"/>
          <w:szCs w:val="21"/>
          <w:highlight w:val="none"/>
        </w:rPr>
        <w:t>。</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本次投标所报内容完全按照磋商文件要求填报，所有内容都是真实、准确的。</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供应商将按磋商文件的规定履行全部合同责任和义务。</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供应商已详细审查全部磋商文件，包括修改文件（如有的话）以及全部参考资料和有关附件。我们完全理解并同意放弃对这方面有不明及误解的权利。</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本次投标自递交磋商响应文件截止之日起有效期为90天。</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如果在规定的递交磋商响应文件截止之日后，供应商在投标有效期内撤回投标，投标保证金将被贵方没收。</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供应商同意提供按照贵方可能要求与其投标有关的一切数据或资料，完全理解贵方不一定接受最低价的投标或收到的任何投标。</w:t>
      </w:r>
    </w:p>
    <w:p>
      <w:pPr>
        <w:widowControl/>
        <w:numPr>
          <w:ilvl w:val="0"/>
          <w:numId w:val="26"/>
        </w:numPr>
        <w:tabs>
          <w:tab w:val="left" w:pos="840"/>
        </w:tabs>
        <w:adjustRightInd w:val="0"/>
        <w:snapToGrid w:val="0"/>
        <w:spacing w:line="360" w:lineRule="auto"/>
        <w:ind w:left="840" w:hanging="420"/>
        <w:rPr>
          <w:rFonts w:ascii="宋体" w:hAnsi="宋体"/>
          <w:bCs/>
          <w:color w:val="auto"/>
          <w:szCs w:val="21"/>
          <w:highlight w:val="none"/>
        </w:rPr>
      </w:pPr>
      <w:r>
        <w:rPr>
          <w:rFonts w:hint="eastAsia" w:ascii="宋体" w:hAnsi="宋体"/>
          <w:bCs/>
          <w:color w:val="auto"/>
          <w:szCs w:val="21"/>
          <w:highlight w:val="none"/>
        </w:rPr>
        <w:t>与本投标有关的一切正式往来通讯请寄至磋商响应文件封面指定地址、联系方式。</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r>
        <w:rPr>
          <w:rFonts w:ascii="宋体" w:hAnsi="宋体"/>
          <w:bCs/>
          <w:color w:val="auto"/>
          <w:szCs w:val="21"/>
          <w:highlight w:val="none"/>
        </w:rPr>
        <w:t xml:space="preserve">   </w:t>
      </w:r>
    </w:p>
    <w:p>
      <w:pPr>
        <w:pStyle w:val="26"/>
        <w:spacing w:line="360" w:lineRule="auto"/>
        <w:rPr>
          <w:rFonts w:hAnsi="宋体"/>
          <w:color w:val="auto"/>
          <w:highlight w:val="none"/>
        </w:rPr>
      </w:pPr>
      <w:r>
        <w:rPr>
          <w:rFonts w:hint="eastAsia" w:hAnsi="宋体"/>
          <w:color w:val="auto"/>
          <w:highlight w:val="none"/>
        </w:rPr>
        <w:t>注：本磋商邀请函为供应商响应本次磋商项目的郑重承诺，供应商不得改动且必须满足。</w:t>
      </w: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4"/>
        <w:numPr>
          <w:ilvl w:val="1"/>
          <w:numId w:val="0"/>
        </w:numPr>
        <w:spacing w:line="360" w:lineRule="auto"/>
        <w:rPr>
          <w:rFonts w:ascii="宋体" w:hAnsi="宋体"/>
          <w:color w:val="auto"/>
          <w:sz w:val="28"/>
          <w:szCs w:val="28"/>
          <w:highlight w:val="none"/>
        </w:rPr>
      </w:pPr>
      <w:bookmarkStart w:id="311" w:name="_Toc27219"/>
      <w:bookmarkStart w:id="312" w:name="_Toc200414526"/>
      <w:bookmarkStart w:id="313" w:name="_Toc469160796"/>
      <w:r>
        <w:rPr>
          <w:rFonts w:hint="eastAsia" w:ascii="宋体" w:hAnsi="宋体"/>
          <w:color w:val="auto"/>
          <w:sz w:val="28"/>
          <w:szCs w:val="28"/>
          <w:highlight w:val="none"/>
        </w:rPr>
        <w:t>附件二：第一次报价一览表</w:t>
      </w:r>
      <w:bookmarkEnd w:id="311"/>
      <w:bookmarkEnd w:id="312"/>
      <w:bookmarkEnd w:id="313"/>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eastAsia="zh-CN"/>
        </w:rPr>
        <w:t>YXCG-20220622</w:t>
      </w:r>
      <w:r>
        <w:rPr>
          <w:rFonts w:hint="eastAsia" w:ascii="宋体" w:hAnsi="宋体"/>
          <w:b/>
          <w:bCs/>
          <w:caps/>
          <w:color w:val="auto"/>
          <w:szCs w:val="21"/>
          <w:highlight w:val="none"/>
          <w:u w:val="single"/>
        </w:rPr>
        <w:t xml:space="preserve"> </w:t>
      </w:r>
    </w:p>
    <w:p>
      <w:pPr>
        <w:adjustRightInd w:val="0"/>
        <w:snapToGrid w:val="0"/>
        <w:spacing w:line="360" w:lineRule="auto"/>
        <w:jc w:val="left"/>
        <w:rPr>
          <w:rFonts w:ascii="宋体" w:hAnsi="宋体"/>
          <w:bCs/>
          <w:color w:val="auto"/>
          <w:szCs w:val="21"/>
          <w:highlight w:val="none"/>
          <w:u w:val="single"/>
        </w:rPr>
      </w:pPr>
      <w:r>
        <w:rPr>
          <w:rFonts w:hint="eastAsia" w:ascii="宋体" w:hAnsi="宋体"/>
          <w:color w:val="auto"/>
          <w:szCs w:val="21"/>
          <w:highlight w:val="none"/>
        </w:rPr>
        <w:t>项目名称：</w:t>
      </w:r>
      <w:r>
        <w:rPr>
          <w:rFonts w:hint="eastAsia" w:ascii="宋体" w:hAnsi="宋体"/>
          <w:b/>
          <w:bCs/>
          <w:color w:val="auto"/>
          <w:szCs w:val="21"/>
          <w:highlight w:val="none"/>
          <w:u w:val="single"/>
          <w:lang w:eastAsia="zh-CN"/>
        </w:rPr>
        <w:t>阳江市阳东区第一职业技术学校风雨长廊建设项目</w:t>
      </w:r>
      <w:r>
        <w:rPr>
          <w:rFonts w:hint="eastAsia" w:ascii="宋体" w:hAnsi="宋体"/>
          <w:b/>
          <w:bCs/>
          <w:color w:val="auto"/>
          <w:szCs w:val="21"/>
          <w:highlight w:val="none"/>
          <w:u w:val="single"/>
        </w:rPr>
        <w:t xml:space="preserve"> </w:t>
      </w:r>
      <w:r>
        <w:rPr>
          <w:rFonts w:hint="eastAsia" w:ascii="宋体" w:hAnsi="宋体"/>
          <w:color w:val="auto"/>
          <w:spacing w:val="10"/>
          <w:szCs w:val="21"/>
          <w:highlight w:val="none"/>
        </w:rPr>
        <w:t xml:space="preserve">  </w:t>
      </w:r>
    </w:p>
    <w:p>
      <w:pPr>
        <w:tabs>
          <w:tab w:val="center" w:pos="4483"/>
        </w:tabs>
        <w:spacing w:line="360" w:lineRule="auto"/>
        <w:rPr>
          <w:rFonts w:ascii="宋体" w:hAnsi="宋体"/>
          <w:bCs/>
          <w:color w:val="auto"/>
          <w:szCs w:val="21"/>
          <w:highlight w:val="none"/>
          <w:u w:val="single"/>
        </w:rPr>
      </w:pPr>
    </w:p>
    <w:tbl>
      <w:tblPr>
        <w:tblStyle w:val="52"/>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4"/>
        <w:gridCol w:w="4737"/>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2744"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项目名称</w:t>
            </w:r>
          </w:p>
        </w:tc>
        <w:tc>
          <w:tcPr>
            <w:tcW w:w="4737" w:type="dxa"/>
            <w:vAlign w:val="center"/>
          </w:tcPr>
          <w:p>
            <w:pPr>
              <w:spacing w:line="360" w:lineRule="auto"/>
              <w:jc w:val="center"/>
              <w:rPr>
                <w:rFonts w:ascii="宋体" w:hAnsi="宋体"/>
                <w:bCs/>
                <w:color w:val="auto"/>
                <w:szCs w:val="21"/>
                <w:highlight w:val="none"/>
              </w:rPr>
            </w:pPr>
          </w:p>
        </w:tc>
        <w:tc>
          <w:tcPr>
            <w:tcW w:w="1476" w:type="dxa"/>
            <w:vAlign w:val="center"/>
          </w:tcPr>
          <w:p>
            <w:pPr>
              <w:spacing w:line="360" w:lineRule="auto"/>
              <w:jc w:val="center"/>
              <w:rPr>
                <w:rFonts w:ascii="宋体" w:hAnsi="宋体"/>
                <w:bCs/>
                <w:color w:val="auto"/>
                <w:szCs w:val="21"/>
                <w:highlight w:val="none"/>
              </w:rPr>
            </w:pPr>
            <w:r>
              <w:rPr>
                <w:rFonts w:hint="eastAsia" w:ascii="宋体" w:hAnsi="宋体"/>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0" w:hRule="atLeast"/>
          <w:jc w:val="center"/>
        </w:trPr>
        <w:tc>
          <w:tcPr>
            <w:tcW w:w="2744" w:type="dxa"/>
            <w:vAlign w:val="center"/>
          </w:tcPr>
          <w:p>
            <w:pPr>
              <w:spacing w:line="360" w:lineRule="auto"/>
              <w:jc w:val="center"/>
              <w:rPr>
                <w:rFonts w:ascii="宋体" w:hAnsi="宋体"/>
                <w:bCs/>
                <w:color w:val="auto"/>
                <w:highlight w:val="none"/>
              </w:rPr>
            </w:pPr>
            <w:r>
              <w:rPr>
                <w:rFonts w:hint="eastAsia" w:ascii="宋体" w:hAnsi="宋体"/>
                <w:bCs/>
                <w:color w:val="auto"/>
                <w:szCs w:val="21"/>
                <w:highlight w:val="none"/>
              </w:rPr>
              <w:t>报价（元）</w:t>
            </w:r>
          </w:p>
        </w:tc>
        <w:tc>
          <w:tcPr>
            <w:tcW w:w="4737" w:type="dxa"/>
            <w:vAlign w:val="center"/>
          </w:tcPr>
          <w:p>
            <w:pPr>
              <w:spacing w:line="360" w:lineRule="auto"/>
              <w:rPr>
                <w:rFonts w:ascii="宋体" w:hAnsi="宋体"/>
                <w:bCs/>
                <w:color w:val="auto"/>
                <w:highlight w:val="none"/>
              </w:rPr>
            </w:pPr>
            <w:r>
              <w:rPr>
                <w:rFonts w:hint="eastAsia" w:ascii="宋体" w:hAnsi="宋体"/>
                <w:bCs/>
                <w:color w:val="auto"/>
                <w:highlight w:val="none"/>
              </w:rPr>
              <w:t>大写：人民币</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spacing w:line="360" w:lineRule="auto"/>
              <w:rPr>
                <w:rFonts w:ascii="宋体" w:hAnsi="宋体"/>
                <w:bCs/>
                <w:color w:val="auto"/>
                <w:highlight w:val="none"/>
              </w:rPr>
            </w:pPr>
          </w:p>
          <w:p>
            <w:pPr>
              <w:spacing w:line="360" w:lineRule="auto"/>
              <w:rPr>
                <w:rFonts w:ascii="宋体" w:hAnsi="宋体"/>
                <w:bCs/>
                <w:color w:val="auto"/>
                <w:highlight w:val="none"/>
              </w:rPr>
            </w:pPr>
            <w:r>
              <w:rPr>
                <w:rFonts w:hint="eastAsia" w:ascii="宋体" w:hAnsi="宋体"/>
                <w:bCs/>
                <w:color w:val="auto"/>
                <w:highlight w:val="none"/>
              </w:rPr>
              <w:t xml:space="preserve">小写：¥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spacing w:line="360" w:lineRule="auto"/>
              <w:rPr>
                <w:rFonts w:ascii="宋体" w:hAnsi="宋体"/>
                <w:bCs/>
                <w:color w:val="auto"/>
                <w:highlight w:val="none"/>
              </w:rPr>
            </w:pPr>
          </w:p>
        </w:tc>
        <w:tc>
          <w:tcPr>
            <w:tcW w:w="1476" w:type="dxa"/>
            <w:vMerge w:val="restart"/>
            <w:vAlign w:val="center"/>
          </w:tcPr>
          <w:p>
            <w:pPr>
              <w:spacing w:line="360" w:lineRule="auto"/>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744" w:type="dxa"/>
            <w:vAlign w:val="center"/>
          </w:tcPr>
          <w:p>
            <w:pPr>
              <w:spacing w:line="360" w:lineRule="auto"/>
              <w:jc w:val="center"/>
              <w:rPr>
                <w:rFonts w:hint="eastAsia" w:ascii="宋体" w:hAnsi="宋体" w:eastAsia="宋体" w:cs="Times New Roman"/>
                <w:bCs/>
                <w:color w:val="auto"/>
                <w:kern w:val="2"/>
                <w:sz w:val="21"/>
                <w:szCs w:val="24"/>
                <w:highlight w:val="none"/>
                <w:lang w:val="en-US" w:eastAsia="zh-CN" w:bidi="ar-SA"/>
              </w:rPr>
            </w:pPr>
            <w:r>
              <w:rPr>
                <w:rFonts w:hint="eastAsia" w:ascii="宋体" w:hAnsi="宋体"/>
                <w:bCs/>
                <w:color w:val="auto"/>
                <w:highlight w:val="none"/>
                <w:lang w:val="en-US" w:eastAsia="zh-CN"/>
              </w:rPr>
              <w:t>工期</w:t>
            </w:r>
          </w:p>
        </w:tc>
        <w:tc>
          <w:tcPr>
            <w:tcW w:w="4737" w:type="dxa"/>
            <w:vAlign w:val="center"/>
          </w:tcPr>
          <w:p>
            <w:pPr>
              <w:spacing w:line="360" w:lineRule="auto"/>
              <w:rPr>
                <w:rFonts w:ascii="宋体" w:hAnsi="宋体"/>
                <w:bCs/>
                <w:color w:val="auto"/>
                <w:highlight w:val="none"/>
              </w:rPr>
            </w:pPr>
          </w:p>
        </w:tc>
        <w:tc>
          <w:tcPr>
            <w:tcW w:w="1476" w:type="dxa"/>
            <w:vMerge w:val="continue"/>
            <w:vAlign w:val="center"/>
          </w:tcPr>
          <w:p>
            <w:pPr>
              <w:spacing w:line="360" w:lineRule="auto"/>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744" w:type="dxa"/>
            <w:vAlign w:val="center"/>
          </w:tcPr>
          <w:p>
            <w:pPr>
              <w:spacing w:line="360" w:lineRule="auto"/>
              <w:jc w:val="center"/>
              <w:rPr>
                <w:rFonts w:hint="default" w:ascii="宋体" w:hAnsi="宋体" w:eastAsia="宋体" w:cs="Times New Roman"/>
                <w:bCs/>
                <w:color w:val="auto"/>
                <w:kern w:val="2"/>
                <w:sz w:val="21"/>
                <w:szCs w:val="24"/>
                <w:highlight w:val="none"/>
                <w:lang w:val="en-US" w:eastAsia="zh-CN" w:bidi="ar-SA"/>
              </w:rPr>
            </w:pPr>
            <w:r>
              <w:rPr>
                <w:rFonts w:hint="eastAsia" w:ascii="宋体" w:hAnsi="宋体"/>
                <w:bCs/>
                <w:color w:val="auto"/>
                <w:highlight w:val="none"/>
                <w:lang w:val="en-US" w:eastAsia="zh-CN"/>
              </w:rPr>
              <w:t>项目负责人</w:t>
            </w:r>
          </w:p>
        </w:tc>
        <w:tc>
          <w:tcPr>
            <w:tcW w:w="4737" w:type="dxa"/>
            <w:vAlign w:val="center"/>
          </w:tcPr>
          <w:p>
            <w:pPr>
              <w:spacing w:line="360" w:lineRule="auto"/>
              <w:rPr>
                <w:rFonts w:ascii="宋体" w:hAnsi="宋体"/>
                <w:bCs/>
                <w:color w:val="auto"/>
                <w:highlight w:val="none"/>
              </w:rPr>
            </w:pPr>
          </w:p>
        </w:tc>
        <w:tc>
          <w:tcPr>
            <w:tcW w:w="1476" w:type="dxa"/>
            <w:vMerge w:val="continue"/>
            <w:vAlign w:val="center"/>
          </w:tcPr>
          <w:p>
            <w:pPr>
              <w:spacing w:line="360" w:lineRule="auto"/>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2744" w:type="dxa"/>
            <w:vAlign w:val="center"/>
          </w:tcPr>
          <w:p>
            <w:pPr>
              <w:spacing w:line="360" w:lineRule="auto"/>
              <w:jc w:val="center"/>
              <w:rPr>
                <w:rFonts w:hint="eastAsia" w:ascii="宋体" w:hAnsi="宋体" w:eastAsia="宋体" w:cs="Times New Roman"/>
                <w:bCs/>
                <w:color w:val="auto"/>
                <w:kern w:val="2"/>
                <w:sz w:val="21"/>
                <w:szCs w:val="24"/>
                <w:highlight w:val="none"/>
                <w:lang w:val="en-US" w:eastAsia="zh-CN" w:bidi="ar-SA"/>
              </w:rPr>
            </w:pPr>
            <w:r>
              <w:rPr>
                <w:rFonts w:hint="eastAsia" w:ascii="宋体" w:hAnsi="宋体"/>
                <w:bCs/>
                <w:color w:val="auto"/>
                <w:highlight w:val="none"/>
                <w:lang w:val="en-US" w:eastAsia="zh-CN"/>
              </w:rPr>
              <w:t>执业证书信息</w:t>
            </w:r>
          </w:p>
        </w:tc>
        <w:tc>
          <w:tcPr>
            <w:tcW w:w="4737" w:type="dxa"/>
            <w:vAlign w:val="center"/>
          </w:tcPr>
          <w:p>
            <w:pPr>
              <w:spacing w:line="360" w:lineRule="auto"/>
              <w:rPr>
                <w:rFonts w:ascii="宋体" w:hAnsi="宋体"/>
                <w:bCs/>
                <w:color w:val="auto"/>
                <w:highlight w:val="none"/>
              </w:rPr>
            </w:pPr>
          </w:p>
        </w:tc>
        <w:tc>
          <w:tcPr>
            <w:tcW w:w="1476" w:type="dxa"/>
            <w:vMerge w:val="continue"/>
            <w:vAlign w:val="center"/>
          </w:tcPr>
          <w:p>
            <w:pPr>
              <w:spacing w:line="360" w:lineRule="auto"/>
              <w:rPr>
                <w:rFonts w:ascii="宋体" w:hAnsi="宋体"/>
                <w:bCs/>
                <w:color w:val="auto"/>
                <w:szCs w:val="21"/>
                <w:highlight w:val="none"/>
              </w:rPr>
            </w:pPr>
          </w:p>
        </w:tc>
      </w:tr>
    </w:tbl>
    <w:p>
      <w:pPr>
        <w:spacing w:line="360" w:lineRule="auto"/>
        <w:rPr>
          <w:rFonts w:ascii="宋体" w:hAnsi="宋体"/>
          <w:bCs/>
          <w:color w:val="auto"/>
          <w:highlight w:val="none"/>
          <w:u w:val="single"/>
        </w:rPr>
      </w:pPr>
    </w:p>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27"/>
        </w:numPr>
        <w:tabs>
          <w:tab w:val="left" w:pos="845"/>
        </w:tabs>
        <w:spacing w:line="360" w:lineRule="auto"/>
        <w:rPr>
          <w:rFonts w:ascii="宋体" w:hAnsi="宋体"/>
          <w:bCs/>
          <w:color w:val="auto"/>
          <w:highlight w:val="none"/>
        </w:rPr>
      </w:pPr>
      <w:r>
        <w:rPr>
          <w:rFonts w:hint="eastAsia" w:ascii="宋体" w:hAnsi="宋体"/>
          <w:color w:val="auto"/>
          <w:highlight w:val="none"/>
        </w:rPr>
        <w:t>填写此表时不得改变表格的形式。</w:t>
      </w:r>
    </w:p>
    <w:p>
      <w:pPr>
        <w:numPr>
          <w:ilvl w:val="0"/>
          <w:numId w:val="27"/>
        </w:numPr>
        <w:tabs>
          <w:tab w:val="left" w:pos="845"/>
        </w:tabs>
        <w:spacing w:line="360" w:lineRule="auto"/>
        <w:rPr>
          <w:rFonts w:ascii="宋体" w:hAnsi="宋体"/>
          <w:bCs/>
          <w:color w:val="auto"/>
          <w:highlight w:val="none"/>
        </w:rPr>
      </w:pPr>
      <w:r>
        <w:rPr>
          <w:rFonts w:hint="eastAsia" w:ascii="宋体" w:hAnsi="宋体"/>
          <w:bCs/>
          <w:color w:val="auto"/>
          <w:highlight w:val="none"/>
        </w:rPr>
        <w:t>本报价表为供应商的第一次报价，磋商后，代理采购机构将向合格的供应商发最终报价表。</w:t>
      </w:r>
    </w:p>
    <w:p>
      <w:pPr>
        <w:numPr>
          <w:ilvl w:val="0"/>
          <w:numId w:val="27"/>
        </w:numPr>
        <w:tabs>
          <w:tab w:val="left" w:pos="845"/>
        </w:tabs>
        <w:spacing w:line="360" w:lineRule="auto"/>
        <w:rPr>
          <w:rFonts w:ascii="宋体" w:hAnsi="宋体"/>
          <w:bCs/>
          <w:color w:val="auto"/>
          <w:highlight w:val="none"/>
        </w:rPr>
      </w:pPr>
      <w:r>
        <w:rPr>
          <w:rFonts w:hint="eastAsia" w:ascii="宋体" w:hAnsi="宋体"/>
          <w:bCs/>
          <w:color w:val="auto"/>
          <w:highlight w:val="none"/>
        </w:rPr>
        <w:t>所投项目的内容必须填写完整。</w:t>
      </w:r>
    </w:p>
    <w:p>
      <w:pPr>
        <w:numPr>
          <w:ilvl w:val="0"/>
          <w:numId w:val="27"/>
        </w:numPr>
        <w:tabs>
          <w:tab w:val="left" w:pos="845"/>
        </w:tabs>
        <w:spacing w:line="360" w:lineRule="auto"/>
        <w:rPr>
          <w:rFonts w:ascii="宋体" w:hAnsi="宋体"/>
          <w:bCs/>
          <w:color w:val="auto"/>
          <w:highlight w:val="none"/>
        </w:rPr>
      </w:pPr>
      <w:r>
        <w:rPr>
          <w:rFonts w:hint="eastAsia" w:ascii="宋体" w:hAnsi="宋体"/>
          <w:bCs/>
          <w:color w:val="auto"/>
          <w:highlight w:val="none"/>
        </w:rPr>
        <w:t>如果供应商认为有应当说明而本表中无相应栏目的内容，请在“备注”栏中说明添加说明。</w:t>
      </w:r>
    </w:p>
    <w:p>
      <w:pPr>
        <w:tabs>
          <w:tab w:val="left" w:pos="845"/>
        </w:tabs>
        <w:spacing w:line="360" w:lineRule="auto"/>
        <w:rPr>
          <w:rFonts w:ascii="宋体" w:hAnsi="宋体"/>
          <w:bCs/>
          <w:color w:val="auto"/>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r>
        <w:rPr>
          <w:rFonts w:ascii="宋体" w:hAnsi="宋体"/>
          <w:bCs/>
          <w:color w:val="auto"/>
          <w:szCs w:val="21"/>
          <w:highlight w:val="none"/>
        </w:rPr>
        <w:t xml:space="preserve"> </w:t>
      </w:r>
    </w:p>
    <w:p>
      <w:pPr>
        <w:widowControl/>
        <w:adjustRightInd w:val="0"/>
        <w:snapToGrid w:val="0"/>
        <w:spacing w:line="360" w:lineRule="auto"/>
        <w:rPr>
          <w:rFonts w:ascii="宋体" w:hAnsi="宋体"/>
          <w:bCs/>
          <w:color w:val="auto"/>
          <w:highlight w:val="none"/>
          <w:u w:val="single"/>
        </w:rPr>
      </w:pP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26"/>
        <w:spacing w:line="360" w:lineRule="auto"/>
        <w:rPr>
          <w:rFonts w:hAnsi="宋体"/>
          <w:color w:val="auto"/>
          <w:highlight w:val="none"/>
        </w:rPr>
      </w:pPr>
    </w:p>
    <w:p>
      <w:pPr>
        <w:pStyle w:val="26"/>
        <w:spacing w:line="360" w:lineRule="auto"/>
        <w:rPr>
          <w:rFonts w:hAnsi="宋体"/>
          <w:color w:val="auto"/>
          <w:highlight w:val="none"/>
        </w:rPr>
        <w:sectPr>
          <w:pgSz w:w="11906" w:h="16838"/>
          <w:pgMar w:top="1418" w:right="1474" w:bottom="1418" w:left="1474" w:header="851" w:footer="851" w:gutter="0"/>
          <w:cols w:space="720" w:num="1"/>
          <w:titlePg/>
          <w:docGrid w:linePitch="462" w:charSpace="0"/>
        </w:sectPr>
      </w:pPr>
    </w:p>
    <w:p>
      <w:pPr>
        <w:pStyle w:val="4"/>
        <w:numPr>
          <w:ilvl w:val="1"/>
          <w:numId w:val="0"/>
        </w:numPr>
        <w:spacing w:line="360" w:lineRule="auto"/>
        <w:rPr>
          <w:rFonts w:ascii="宋体" w:hAnsi="宋体"/>
          <w:color w:val="auto"/>
          <w:sz w:val="28"/>
          <w:szCs w:val="28"/>
          <w:highlight w:val="none"/>
        </w:rPr>
      </w:pPr>
      <w:bookmarkStart w:id="314" w:name="_Toc20671"/>
      <w:bookmarkStart w:id="315" w:name="_Toc200414527"/>
      <w:bookmarkStart w:id="316" w:name="_Toc469160797"/>
      <w:r>
        <w:rPr>
          <w:rFonts w:hint="eastAsia" w:ascii="宋体" w:hAnsi="宋体"/>
          <w:color w:val="auto"/>
          <w:sz w:val="28"/>
          <w:szCs w:val="28"/>
          <w:highlight w:val="none"/>
        </w:rPr>
        <w:t>附件三：磋商分项报价</w:t>
      </w:r>
      <w:r>
        <w:rPr>
          <w:rFonts w:ascii="宋体" w:hAnsi="宋体"/>
          <w:color w:val="auto"/>
          <w:sz w:val="28"/>
          <w:szCs w:val="28"/>
          <w:highlight w:val="none"/>
        </w:rPr>
        <w:t>表</w:t>
      </w:r>
      <w:bookmarkEnd w:id="314"/>
      <w:bookmarkEnd w:id="315"/>
      <w:bookmarkEnd w:id="316"/>
    </w:p>
    <w:p>
      <w:pPr>
        <w:adjustRightInd w:val="0"/>
        <w:snapToGrid w:val="0"/>
        <w:spacing w:line="360" w:lineRule="auto"/>
        <w:jc w:val="left"/>
        <w:rPr>
          <w:rFonts w:ascii="宋体" w:hAnsi="宋体"/>
          <w:b/>
          <w:bCs/>
          <w:caps/>
          <w:color w:val="auto"/>
          <w:szCs w:val="21"/>
          <w:highlight w:val="none"/>
        </w:rPr>
      </w:pPr>
      <w:r>
        <w:rPr>
          <w:rFonts w:hint="eastAsia" w:ascii="宋体" w:hAnsi="宋体"/>
          <w:bCs/>
          <w:color w:val="auto"/>
          <w:szCs w:val="21"/>
          <w:highlight w:val="none"/>
        </w:rPr>
        <w:t>项目编号:</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eastAsia="zh-CN"/>
        </w:rPr>
        <w:t>YXCG-20220622</w:t>
      </w:r>
      <w:r>
        <w:rPr>
          <w:rFonts w:hint="eastAsia" w:ascii="宋体" w:hAnsi="宋体"/>
          <w:b/>
          <w:bCs/>
          <w:caps/>
          <w:color w:val="auto"/>
          <w:szCs w:val="21"/>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r>
        <w:rPr>
          <w:rFonts w:hint="eastAsia" w:ascii="宋体" w:hAnsi="宋体"/>
          <w:b/>
          <w:bCs/>
          <w:color w:val="auto"/>
          <w:szCs w:val="21"/>
          <w:highlight w:val="none"/>
          <w:u w:val="single"/>
          <w:lang w:eastAsia="zh-CN"/>
        </w:rPr>
        <w:t>阳江市阳东区第一职业技术学校风雨长廊建设项目</w:t>
      </w:r>
      <w:r>
        <w:rPr>
          <w:rFonts w:hint="eastAsia" w:ascii="宋体" w:hAnsi="宋体"/>
          <w:b/>
          <w:bCs/>
          <w:color w:val="auto"/>
          <w:szCs w:val="21"/>
          <w:highlight w:val="none"/>
          <w:u w:val="single"/>
        </w:rPr>
        <w:t xml:space="preserve"> </w:t>
      </w:r>
      <w:r>
        <w:rPr>
          <w:rFonts w:hint="eastAsia" w:ascii="宋体" w:hAnsi="宋体"/>
          <w:color w:val="auto"/>
          <w:spacing w:val="10"/>
          <w:szCs w:val="21"/>
          <w:highlight w:val="none"/>
        </w:rPr>
        <w:t xml:space="preserve">      </w:t>
      </w:r>
      <w:r>
        <w:rPr>
          <w:rFonts w:hint="eastAsia" w:ascii="宋体" w:hAnsi="宋体"/>
          <w:bCs/>
          <w:color w:val="auto"/>
          <w:szCs w:val="21"/>
          <w:highlight w:val="none"/>
        </w:rPr>
        <w:t>（单位：元）</w:t>
      </w:r>
    </w:p>
    <w:p>
      <w:pPr>
        <w:spacing w:line="460" w:lineRule="exact"/>
        <w:rPr>
          <w:rFonts w:hint="eastAsia" w:ascii="宋体" w:hAnsi="宋体"/>
          <w:color w:val="auto"/>
          <w:szCs w:val="21"/>
          <w:highlight w:val="none"/>
        </w:rPr>
      </w:pPr>
    </w:p>
    <w:p>
      <w:pPr>
        <w:spacing w:line="460" w:lineRule="exact"/>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格式自拟</w:t>
      </w:r>
    </w:p>
    <w:p>
      <w:pPr>
        <w:spacing w:line="460" w:lineRule="exact"/>
        <w:rPr>
          <w:rFonts w:hint="eastAsia" w:ascii="宋体" w:hAnsi="宋体"/>
          <w:color w:val="auto"/>
          <w:szCs w:val="21"/>
          <w:highlight w:val="none"/>
        </w:rPr>
      </w:pPr>
    </w:p>
    <w:p>
      <w:pPr>
        <w:spacing w:line="460" w:lineRule="exact"/>
        <w:rPr>
          <w:rFonts w:ascii="宋体" w:hAnsi="宋体"/>
          <w:color w:val="auto"/>
          <w:szCs w:val="21"/>
          <w:highlight w:val="none"/>
        </w:rPr>
      </w:pPr>
      <w:r>
        <w:rPr>
          <w:rFonts w:hint="eastAsia" w:ascii="宋体" w:hAnsi="宋体"/>
          <w:color w:val="auto"/>
          <w:szCs w:val="21"/>
          <w:highlight w:val="none"/>
        </w:rPr>
        <w:t>注：1、若最终报价在第一次报价的基础上有浮动，则最终报价中的各分项报价须按比例统一浮动。</w:t>
      </w:r>
    </w:p>
    <w:p>
      <w:pPr>
        <w:spacing w:line="460" w:lineRule="exact"/>
        <w:ind w:firstLine="420" w:firstLineChars="200"/>
        <w:rPr>
          <w:rFonts w:hint="eastAsia" w:ascii="宋体" w:hAnsi="宋体"/>
          <w:color w:val="auto"/>
          <w:szCs w:val="21"/>
          <w:highlight w:val="none"/>
        </w:rPr>
      </w:pPr>
      <w:r>
        <w:rPr>
          <w:rFonts w:hint="eastAsia" w:ascii="宋体" w:hAnsi="宋体"/>
          <w:color w:val="auto"/>
          <w:szCs w:val="21"/>
          <w:highlight w:val="none"/>
        </w:rPr>
        <w:t>2、如本表格式内容不能满足需要，供应商可自行划表填写。</w:t>
      </w:r>
    </w:p>
    <w:p>
      <w:pPr>
        <w:spacing w:line="460" w:lineRule="exact"/>
        <w:ind w:firstLine="420" w:firstLineChars="200"/>
        <w:rPr>
          <w:rFonts w:hint="eastAsia" w:ascii="宋体" w:hAnsi="宋体" w:cs="Times New Roman"/>
          <w:color w:val="auto"/>
          <w:szCs w:val="21"/>
          <w:highlight w:val="none"/>
        </w:rPr>
      </w:pPr>
      <w:r>
        <w:rPr>
          <w:rFonts w:hint="eastAsia" w:ascii="宋体" w:hAnsi="宋体" w:cs="Times New Roman"/>
          <w:color w:val="auto"/>
          <w:szCs w:val="21"/>
          <w:highlight w:val="none"/>
          <w:lang w:val="en-US" w:eastAsia="zh-CN"/>
        </w:rPr>
        <w:t>3、</w:t>
      </w:r>
      <w:r>
        <w:rPr>
          <w:rFonts w:hint="eastAsia" w:ascii="宋体" w:hAnsi="宋体" w:cs="Times New Roman"/>
          <w:color w:val="auto"/>
          <w:szCs w:val="21"/>
          <w:highlight w:val="none"/>
        </w:rPr>
        <w:t>如果不提供详细分项报价</w:t>
      </w:r>
      <w:r>
        <w:rPr>
          <w:rFonts w:hint="eastAsia" w:ascii="宋体" w:hAnsi="宋体" w:cs="Times New Roman"/>
          <w:color w:val="auto"/>
          <w:szCs w:val="21"/>
          <w:highlight w:val="none"/>
          <w:lang w:val="en-US" w:eastAsia="zh-CN"/>
        </w:rPr>
        <w:t>表</w:t>
      </w:r>
      <w:r>
        <w:rPr>
          <w:rFonts w:hint="eastAsia" w:ascii="宋体" w:hAnsi="宋体" w:cs="Times New Roman"/>
          <w:color w:val="auto"/>
          <w:szCs w:val="21"/>
          <w:highlight w:val="none"/>
        </w:rPr>
        <w:t>将视为没有实质性响应磋商文件。</w:t>
      </w:r>
    </w:p>
    <w:p>
      <w:pPr>
        <w:spacing w:line="460" w:lineRule="exact"/>
        <w:ind w:firstLine="420" w:firstLineChars="200"/>
        <w:rPr>
          <w:rFonts w:hint="eastAsia" w:ascii="宋体" w:hAnsi="宋体" w:cs="Times New Roman"/>
          <w:color w:val="auto"/>
          <w:szCs w:val="21"/>
          <w:highlight w:val="none"/>
        </w:rPr>
      </w:pPr>
      <w:r>
        <w:rPr>
          <w:rFonts w:hint="eastAsia" w:ascii="宋体" w:hAnsi="宋体" w:cs="Times New Roman"/>
          <w:color w:val="auto"/>
          <w:szCs w:val="21"/>
          <w:highlight w:val="none"/>
          <w:lang w:val="en-US" w:eastAsia="zh-CN"/>
        </w:rPr>
        <w:t>4、</w:t>
      </w:r>
      <w:r>
        <w:rPr>
          <w:rFonts w:hint="eastAsia" w:ascii="宋体" w:hAnsi="宋体" w:cs="Times New Roman"/>
          <w:color w:val="auto"/>
          <w:szCs w:val="21"/>
          <w:highlight w:val="none"/>
        </w:rPr>
        <w:t>供应商不得更改采购人发出的工程量清单数量，否则在确认成交后采购人有权要求成交供应商按清单数量施工。</w:t>
      </w:r>
    </w:p>
    <w:p>
      <w:pPr>
        <w:adjustRightInd w:val="0"/>
        <w:snapToGrid w:val="0"/>
        <w:spacing w:line="400" w:lineRule="exact"/>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400" w:lineRule="exact"/>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p>
    <w:p>
      <w:pPr>
        <w:rPr>
          <w:rFonts w:hint="eastAsia" w:ascii="宋体" w:hAnsi="宋体"/>
          <w:color w:val="auto"/>
          <w:sz w:val="28"/>
          <w:szCs w:val="28"/>
          <w:highlight w:val="none"/>
        </w:rPr>
      </w:pPr>
      <w:bookmarkStart w:id="317" w:name="_Toc469160798"/>
      <w:bookmarkStart w:id="318" w:name="_Toc200414528"/>
      <w:r>
        <w:rPr>
          <w:rFonts w:hint="eastAsia" w:ascii="宋体" w:hAnsi="宋体"/>
          <w:color w:val="auto"/>
          <w:sz w:val="28"/>
          <w:szCs w:val="28"/>
          <w:highlight w:val="none"/>
        </w:rPr>
        <w:br w:type="page"/>
      </w:r>
    </w:p>
    <w:p>
      <w:pPr>
        <w:pStyle w:val="4"/>
        <w:numPr>
          <w:ilvl w:val="1"/>
          <w:numId w:val="0"/>
        </w:numPr>
        <w:spacing w:line="360" w:lineRule="auto"/>
        <w:rPr>
          <w:rFonts w:ascii="宋体" w:hAnsi="宋体"/>
          <w:color w:val="auto"/>
          <w:sz w:val="28"/>
          <w:szCs w:val="28"/>
          <w:highlight w:val="none"/>
        </w:rPr>
      </w:pPr>
      <w:bookmarkStart w:id="319" w:name="_Toc32548"/>
      <w:r>
        <w:rPr>
          <w:rFonts w:hint="eastAsia" w:ascii="宋体" w:hAnsi="宋体"/>
          <w:color w:val="auto"/>
          <w:sz w:val="28"/>
          <w:szCs w:val="28"/>
          <w:highlight w:val="none"/>
        </w:rPr>
        <w:t>附件四：商务条款偏离一览表</w:t>
      </w:r>
      <w:bookmarkEnd w:id="317"/>
      <w:bookmarkEnd w:id="318"/>
      <w:bookmarkEnd w:id="319"/>
    </w:p>
    <w:p>
      <w:pPr>
        <w:adjustRightInd w:val="0"/>
        <w:snapToGrid w:val="0"/>
        <w:spacing w:line="360" w:lineRule="auto"/>
        <w:jc w:val="left"/>
        <w:rPr>
          <w:rFonts w:hint="eastAsia" w:ascii="宋体" w:hAnsi="宋体" w:eastAsia="宋体"/>
          <w:b/>
          <w:bCs/>
          <w:caps/>
          <w:color w:val="auto"/>
          <w:szCs w:val="21"/>
          <w:highlight w:val="none"/>
          <w:u w:val="single"/>
          <w:lang w:eastAsia="zh-CN"/>
        </w:rPr>
      </w:pPr>
      <w:r>
        <w:rPr>
          <w:rFonts w:hint="eastAsia" w:ascii="宋体" w:hAnsi="宋体"/>
          <w:bCs/>
          <w:color w:val="auto"/>
          <w:szCs w:val="21"/>
          <w:highlight w:val="none"/>
        </w:rPr>
        <w:t>项目编号:</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eastAsia="zh-CN"/>
        </w:rPr>
        <w:t>YXCG-20220622</w:t>
      </w:r>
    </w:p>
    <w:p>
      <w:pPr>
        <w:adjustRightInd w:val="0"/>
        <w:snapToGrid w:val="0"/>
        <w:spacing w:line="360" w:lineRule="auto"/>
        <w:jc w:val="left"/>
        <w:rPr>
          <w:rFonts w:ascii="宋体" w:hAnsi="宋体"/>
          <w:color w:val="auto"/>
          <w:spacing w:val="10"/>
          <w:szCs w:val="21"/>
          <w:highlight w:val="none"/>
          <w:u w:val="single"/>
        </w:rPr>
      </w:pPr>
      <w:r>
        <w:rPr>
          <w:rFonts w:hint="eastAsia" w:ascii="宋体" w:hAnsi="宋体"/>
          <w:color w:val="auto"/>
          <w:szCs w:val="21"/>
          <w:highlight w:val="none"/>
        </w:rPr>
        <w:t>项目名称：</w:t>
      </w:r>
      <w:r>
        <w:rPr>
          <w:rFonts w:hint="eastAsia" w:ascii="宋体" w:hAnsi="宋体"/>
          <w:b/>
          <w:bCs/>
          <w:color w:val="auto"/>
          <w:szCs w:val="21"/>
          <w:highlight w:val="none"/>
          <w:u w:val="single"/>
          <w:lang w:eastAsia="zh-CN"/>
        </w:rPr>
        <w:t>阳江市阳东区第一职业技术学校风雨长廊建设项目</w:t>
      </w:r>
      <w:r>
        <w:rPr>
          <w:rFonts w:hint="eastAsia" w:ascii="宋体" w:hAnsi="宋体"/>
          <w:b/>
          <w:bCs/>
          <w:color w:val="auto"/>
          <w:szCs w:val="21"/>
          <w:highlight w:val="none"/>
          <w:u w:val="single"/>
        </w:rPr>
        <w:t xml:space="preserve"> </w:t>
      </w:r>
    </w:p>
    <w:tbl>
      <w:tblPr>
        <w:tblStyle w:val="52"/>
        <w:tblW w:w="9271" w:type="dxa"/>
        <w:jc w:val="center"/>
        <w:tblLayout w:type="fixed"/>
        <w:tblCellMar>
          <w:top w:w="0" w:type="dxa"/>
          <w:left w:w="54" w:type="dxa"/>
          <w:bottom w:w="0" w:type="dxa"/>
          <w:right w:w="54" w:type="dxa"/>
        </w:tblCellMar>
      </w:tblPr>
      <w:tblGrid>
        <w:gridCol w:w="577"/>
        <w:gridCol w:w="998"/>
        <w:gridCol w:w="3047"/>
        <w:gridCol w:w="2906"/>
        <w:gridCol w:w="993"/>
        <w:gridCol w:w="750"/>
      </w:tblGrid>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磋商文件规格</w:t>
            </w: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磋商响应文件规格</w:t>
            </w: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77"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98"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2906"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993"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750"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说</w:t>
      </w:r>
      <w:r>
        <w:rPr>
          <w:rFonts w:hint="eastAsia" w:ascii="宋体" w:hAnsi="宋体"/>
          <w:bCs/>
          <w:color w:val="auto"/>
          <w:szCs w:val="21"/>
          <w:highlight w:val="none"/>
        </w:rPr>
        <w:t>明：1）对“偏离”一栏，填写“</w:t>
      </w:r>
      <w:r>
        <w:rPr>
          <w:rFonts w:hint="eastAsia" w:ascii="宋体" w:hAnsi="宋体"/>
          <w:bCs/>
          <w:color w:val="auto"/>
          <w:highlight w:val="none"/>
        </w:rPr>
        <w:t>无偏离、正偏离、负偏离</w:t>
      </w:r>
      <w:r>
        <w:rPr>
          <w:rFonts w:hint="eastAsia" w:ascii="宋体" w:hAnsi="宋体"/>
          <w:bCs/>
          <w:color w:val="auto"/>
          <w:szCs w:val="21"/>
          <w:highlight w:val="none"/>
        </w:rPr>
        <w:t>”；</w:t>
      </w:r>
    </w:p>
    <w:p>
      <w:pPr>
        <w:adjustRightInd w:val="0"/>
        <w:snapToGrid w:val="0"/>
        <w:spacing w:line="360" w:lineRule="auto"/>
        <w:ind w:firstLine="630" w:firstLineChars="300"/>
        <w:rPr>
          <w:rFonts w:ascii="宋体" w:hAnsi="宋体"/>
          <w:b/>
          <w:bCs/>
          <w:color w:val="auto"/>
          <w:szCs w:val="21"/>
          <w:highlight w:val="none"/>
        </w:rPr>
      </w:pPr>
      <w:r>
        <w:rPr>
          <w:rFonts w:hint="eastAsia" w:ascii="宋体" w:hAnsi="宋体"/>
          <w:bCs/>
          <w:color w:val="auto"/>
          <w:szCs w:val="21"/>
          <w:highlight w:val="none"/>
        </w:rPr>
        <w:t>2）对磋商文件中商务条款按上列格式逐条说明。</w:t>
      </w:r>
    </w:p>
    <w:p>
      <w:pPr>
        <w:adjustRightInd w:val="0"/>
        <w:snapToGrid w:val="0"/>
        <w:spacing w:line="360" w:lineRule="auto"/>
        <w:rPr>
          <w:rFonts w:ascii="宋体" w:hAnsi="宋体"/>
          <w:bCs/>
          <w:color w:val="auto"/>
          <w:szCs w:val="21"/>
          <w:highlight w:val="none"/>
        </w:rPr>
      </w:pPr>
      <w:r>
        <w:rPr>
          <w:rFonts w:hint="eastAsia" w:ascii="宋体" w:hAnsi="宋体"/>
          <w:b/>
          <w:bCs/>
          <w:color w:val="auto"/>
          <w:szCs w:val="21"/>
          <w:highlight w:val="none"/>
        </w:rPr>
        <w:t>供应商声明：表中未列全的商务条款，我方均表示完全响应磋商文件商务条款的所有要求。</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360" w:lineRule="auto"/>
        <w:rPr>
          <w:rFonts w:ascii="宋体" w:hAnsi="宋体"/>
          <w:bCs/>
          <w:color w:val="auto"/>
          <w:szCs w:val="21"/>
          <w:highlight w:val="none"/>
          <w:u w:val="single"/>
        </w:rPr>
        <w:sectPr>
          <w:pgSz w:w="11906" w:h="16838"/>
          <w:pgMar w:top="1418" w:right="1474" w:bottom="1418" w:left="1474" w:header="851" w:footer="851" w:gutter="0"/>
          <w:cols w:space="720" w:num="1"/>
          <w:titlePg/>
          <w:docGrid w:linePitch="462" w:charSpace="0"/>
        </w:sectPr>
      </w:pPr>
    </w:p>
    <w:p>
      <w:pPr>
        <w:pStyle w:val="4"/>
        <w:numPr>
          <w:ilvl w:val="1"/>
          <w:numId w:val="0"/>
        </w:numPr>
        <w:spacing w:line="360" w:lineRule="auto"/>
        <w:rPr>
          <w:rFonts w:ascii="宋体" w:hAnsi="宋体"/>
          <w:color w:val="auto"/>
          <w:sz w:val="28"/>
          <w:szCs w:val="28"/>
          <w:highlight w:val="none"/>
        </w:rPr>
      </w:pPr>
      <w:bookmarkStart w:id="320" w:name="_Toc13093"/>
      <w:bookmarkStart w:id="321" w:name="_Toc469160799"/>
      <w:bookmarkStart w:id="322" w:name="_Toc200414529"/>
      <w:r>
        <w:rPr>
          <w:rFonts w:hint="eastAsia" w:ascii="宋体" w:hAnsi="宋体"/>
          <w:color w:val="auto"/>
          <w:sz w:val="28"/>
          <w:szCs w:val="28"/>
          <w:highlight w:val="none"/>
        </w:rPr>
        <w:t>附件五：技术条款偏离一览表</w:t>
      </w:r>
      <w:bookmarkEnd w:id="320"/>
      <w:bookmarkEnd w:id="321"/>
      <w:bookmarkEnd w:id="322"/>
    </w:p>
    <w:p>
      <w:pPr>
        <w:adjustRightInd w:val="0"/>
        <w:snapToGrid w:val="0"/>
        <w:spacing w:line="360" w:lineRule="auto"/>
        <w:rPr>
          <w:rFonts w:ascii="宋体" w:hAnsi="宋体"/>
          <w:color w:val="auto"/>
          <w:szCs w:val="21"/>
          <w:highlight w:val="none"/>
          <w:u w:val="single"/>
        </w:rPr>
      </w:pPr>
      <w:r>
        <w:rPr>
          <w:rFonts w:hint="eastAsia" w:ascii="宋体" w:hAnsi="宋体"/>
          <w:color w:val="auto"/>
          <w:szCs w:val="21"/>
          <w:highlight w:val="none"/>
        </w:rPr>
        <w:t>项目编号：</w:t>
      </w:r>
      <w:r>
        <w:rPr>
          <w:rFonts w:hint="eastAsia" w:ascii="宋体" w:hAnsi="宋体"/>
          <w:b/>
          <w:bCs/>
          <w:color w:val="auto"/>
          <w:szCs w:val="21"/>
          <w:highlight w:val="none"/>
          <w:u w:val="single"/>
          <w:lang w:eastAsia="zh-CN"/>
        </w:rPr>
        <w:t>YXCG-20220622</w:t>
      </w:r>
      <w:r>
        <w:rPr>
          <w:rFonts w:hint="eastAsia" w:ascii="宋体" w:hAnsi="宋体"/>
          <w:color w:val="auto"/>
          <w:szCs w:val="21"/>
          <w:highlight w:val="none"/>
          <w:u w:val="single"/>
        </w:rPr>
        <w:t xml:space="preserve"> </w:t>
      </w:r>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color w:val="auto"/>
          <w:szCs w:val="21"/>
          <w:highlight w:val="none"/>
        </w:rPr>
        <w:t>项目名称：</w:t>
      </w:r>
      <w:r>
        <w:rPr>
          <w:rFonts w:hint="eastAsia" w:ascii="宋体" w:hAnsi="宋体"/>
          <w:b/>
          <w:bCs/>
          <w:color w:val="auto"/>
          <w:szCs w:val="21"/>
          <w:highlight w:val="none"/>
          <w:u w:val="single"/>
          <w:lang w:eastAsia="zh-CN"/>
        </w:rPr>
        <w:t>阳江市阳东区第一职业技术学校风雨长廊建设项目</w:t>
      </w:r>
      <w:r>
        <w:rPr>
          <w:rFonts w:hint="eastAsia" w:ascii="宋体" w:hAnsi="宋体"/>
          <w:b/>
          <w:bCs/>
          <w:color w:val="auto"/>
          <w:szCs w:val="21"/>
          <w:highlight w:val="none"/>
          <w:u w:val="single"/>
        </w:rPr>
        <w:t xml:space="preserve">  </w:t>
      </w:r>
    </w:p>
    <w:tbl>
      <w:tblPr>
        <w:tblStyle w:val="52"/>
        <w:tblW w:w="9271" w:type="dxa"/>
        <w:jc w:val="center"/>
        <w:tblLayout w:type="fixed"/>
        <w:tblCellMar>
          <w:top w:w="0" w:type="dxa"/>
          <w:left w:w="54" w:type="dxa"/>
          <w:bottom w:w="0" w:type="dxa"/>
          <w:right w:w="54" w:type="dxa"/>
        </w:tblCellMar>
      </w:tblPr>
      <w:tblGrid>
        <w:gridCol w:w="593"/>
        <w:gridCol w:w="982"/>
        <w:gridCol w:w="3047"/>
        <w:gridCol w:w="3190"/>
        <w:gridCol w:w="850"/>
        <w:gridCol w:w="609"/>
      </w:tblGrid>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序号</w:t>
            </w: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磋商文件条目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ascii="宋体" w:hAnsi="宋体"/>
                <w:color w:val="auto"/>
                <w:szCs w:val="21"/>
                <w:highlight w:val="none"/>
              </w:rPr>
              <w:t>磋商文件规格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磋商响应文件</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偏离</w:t>
            </w:r>
          </w:p>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r>
              <w:rPr>
                <w:rFonts w:hint="eastAsia" w:ascii="宋体" w:hAnsi="宋体"/>
                <w:bCs/>
                <w:color w:val="auto"/>
                <w:szCs w:val="21"/>
                <w:highlight w:val="none"/>
              </w:rPr>
              <w:t>说明</w:t>
            </w: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r>
        <w:tblPrEx>
          <w:tblCellMar>
            <w:top w:w="0" w:type="dxa"/>
            <w:left w:w="54" w:type="dxa"/>
            <w:bottom w:w="0" w:type="dxa"/>
            <w:right w:w="54" w:type="dxa"/>
          </w:tblCellMar>
        </w:tblPrEx>
        <w:trPr>
          <w:trHeight w:val="529" w:hRule="atLeast"/>
          <w:jc w:val="center"/>
        </w:trPr>
        <w:tc>
          <w:tcPr>
            <w:tcW w:w="593"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982" w:type="dxa"/>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spacing w:line="360" w:lineRule="auto"/>
              <w:jc w:val="center"/>
              <w:rPr>
                <w:rFonts w:ascii="宋体" w:hAnsi="宋体"/>
                <w:bCs/>
                <w:color w:val="auto"/>
                <w:szCs w:val="2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bCs/>
                <w:color w:val="auto"/>
                <w:szCs w:val="21"/>
                <w:highlight w:val="none"/>
              </w:rPr>
            </w:pPr>
          </w:p>
        </w:tc>
      </w:tr>
    </w:tbl>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说明：1）对“偏离”一栏，填写“</w:t>
      </w:r>
      <w:r>
        <w:rPr>
          <w:rFonts w:hint="eastAsia" w:ascii="宋体" w:hAnsi="宋体"/>
          <w:bCs/>
          <w:color w:val="auto"/>
          <w:highlight w:val="none"/>
        </w:rPr>
        <w:t>无偏离、正偏离、负偏离</w:t>
      </w:r>
      <w:r>
        <w:rPr>
          <w:rFonts w:hint="eastAsia" w:ascii="宋体" w:hAnsi="宋体"/>
          <w:bCs/>
          <w:color w:val="auto"/>
          <w:szCs w:val="21"/>
          <w:highlight w:val="none"/>
        </w:rPr>
        <w:t>”；</w:t>
      </w:r>
    </w:p>
    <w:p>
      <w:pPr>
        <w:adjustRightInd w:val="0"/>
        <w:snapToGrid w:val="0"/>
        <w:spacing w:line="360" w:lineRule="auto"/>
        <w:ind w:firstLine="630" w:firstLineChars="300"/>
        <w:rPr>
          <w:rFonts w:ascii="宋体" w:hAnsi="宋体"/>
          <w:b/>
          <w:bCs/>
          <w:color w:val="auto"/>
          <w:szCs w:val="21"/>
          <w:highlight w:val="none"/>
        </w:rPr>
      </w:pPr>
      <w:r>
        <w:rPr>
          <w:rFonts w:hint="eastAsia" w:ascii="宋体" w:hAnsi="宋体"/>
          <w:bCs/>
          <w:color w:val="auto"/>
          <w:szCs w:val="21"/>
          <w:highlight w:val="none"/>
        </w:rPr>
        <w:t>2）对磋商文件中技术条款按上列格式逐条说明。</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
          <w:bCs/>
          <w:color w:val="auto"/>
          <w:szCs w:val="21"/>
          <w:highlight w:val="none"/>
        </w:rPr>
        <w:t>供应商声明：表中未列全的技术条款，我方均表示完全响应磋商文件技术条款的所有要求。</w:t>
      </w:r>
    </w:p>
    <w:p>
      <w:pPr>
        <w:adjustRightInd w:val="0"/>
        <w:snapToGrid w:val="0"/>
        <w:spacing w:line="360" w:lineRule="auto"/>
        <w:ind w:left="-271" w:leftChars="-129" w:right="-384" w:rightChars="-183"/>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bCs/>
          <w:color w:val="auto"/>
          <w:szCs w:val="21"/>
          <w:highlight w:val="none"/>
          <w:u w:val="single"/>
        </w:rPr>
        <w:t xml:space="preserve">                                     </w:t>
      </w:r>
    </w:p>
    <w:p>
      <w:pPr>
        <w:adjustRightInd w:val="0"/>
        <w:snapToGrid w:val="0"/>
        <w:spacing w:line="360" w:lineRule="auto"/>
        <w:ind w:left="-271" w:leftChars="-129" w:right="-384" w:rightChars="-183"/>
        <w:rPr>
          <w:rFonts w:ascii="宋体" w:hAnsi="宋体"/>
          <w:bCs/>
          <w:color w:val="auto"/>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ind w:left="-271" w:leftChars="-129" w:right="-384" w:rightChars="-183"/>
        <w:rPr>
          <w:rFonts w:ascii="宋体" w:hAnsi="宋体"/>
          <w:bCs/>
          <w:color w:val="auto"/>
          <w:highlight w:val="none"/>
          <w:u w:val="singl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p>
    <w:p>
      <w:pPr>
        <w:pStyle w:val="5"/>
        <w:spacing w:line="360" w:lineRule="auto"/>
        <w:ind w:firstLine="0"/>
        <w:rPr>
          <w:rFonts w:hAnsi="宋体"/>
          <w:bCs/>
          <w:color w:val="auto"/>
          <w:szCs w:val="21"/>
          <w:highlight w:val="none"/>
        </w:rPr>
      </w:pPr>
    </w:p>
    <w:p>
      <w:pPr>
        <w:pStyle w:val="4"/>
        <w:numPr>
          <w:ilvl w:val="1"/>
          <w:numId w:val="0"/>
        </w:numPr>
        <w:tabs>
          <w:tab w:val="left" w:pos="420"/>
        </w:tabs>
        <w:spacing w:before="200" w:after="200" w:line="360" w:lineRule="auto"/>
        <w:ind w:left="420" w:hanging="420"/>
        <w:rPr>
          <w:rFonts w:ascii="宋体" w:hAnsi="宋体"/>
          <w:color w:val="auto"/>
          <w:highlight w:val="none"/>
        </w:rPr>
      </w:pPr>
      <w:bookmarkStart w:id="323" w:name="_Toc27911"/>
      <w:r>
        <w:rPr>
          <w:rFonts w:hint="eastAsia" w:ascii="宋体" w:hAnsi="宋体"/>
          <w:color w:val="auto"/>
          <w:sz w:val="28"/>
          <w:szCs w:val="28"/>
          <w:highlight w:val="none"/>
        </w:rPr>
        <w:t>附件六：同类业绩一览表</w:t>
      </w:r>
      <w:bookmarkEnd w:id="323"/>
    </w:p>
    <w:p>
      <w:pPr>
        <w:pStyle w:val="5"/>
        <w:rPr>
          <w:color w:val="auto"/>
          <w:highlight w:val="none"/>
        </w:rPr>
      </w:pPr>
    </w:p>
    <w:p>
      <w:pPr>
        <w:pStyle w:val="5"/>
        <w:spacing w:line="360" w:lineRule="auto"/>
        <w:rPr>
          <w:b/>
          <w:bCs/>
          <w:color w:val="auto"/>
          <w:sz w:val="21"/>
          <w:szCs w:val="21"/>
          <w:highlight w:val="none"/>
        </w:rPr>
      </w:pPr>
      <w:r>
        <w:rPr>
          <w:rFonts w:hint="eastAsia"/>
          <w:b/>
          <w:bCs/>
          <w:color w:val="auto"/>
          <w:sz w:val="21"/>
          <w:szCs w:val="21"/>
          <w:highlight w:val="none"/>
        </w:rPr>
        <w:t xml:space="preserve">项目编号: </w:t>
      </w:r>
      <w:r>
        <w:rPr>
          <w:rFonts w:hint="eastAsia"/>
          <w:b/>
          <w:bCs/>
          <w:color w:val="auto"/>
          <w:sz w:val="21"/>
          <w:szCs w:val="21"/>
          <w:highlight w:val="none"/>
          <w:u w:val="single"/>
          <w:lang w:eastAsia="zh-CN"/>
        </w:rPr>
        <w:t>YXCG-20220622</w:t>
      </w:r>
      <w:r>
        <w:rPr>
          <w:rFonts w:hint="eastAsia"/>
          <w:b/>
          <w:bCs/>
          <w:color w:val="auto"/>
          <w:sz w:val="21"/>
          <w:szCs w:val="21"/>
          <w:highlight w:val="none"/>
        </w:rPr>
        <w:t xml:space="preserve">  </w:t>
      </w:r>
    </w:p>
    <w:p>
      <w:pPr>
        <w:pStyle w:val="5"/>
        <w:spacing w:line="360" w:lineRule="auto"/>
        <w:rPr>
          <w:rFonts w:hint="eastAsia" w:eastAsia="宋体"/>
          <w:b/>
          <w:bCs/>
          <w:color w:val="auto"/>
          <w:sz w:val="21"/>
          <w:szCs w:val="21"/>
          <w:highlight w:val="none"/>
          <w:u w:val="single"/>
          <w:lang w:eastAsia="zh-CN"/>
        </w:rPr>
      </w:pPr>
      <w:r>
        <w:rPr>
          <w:rFonts w:hint="eastAsia"/>
          <w:b/>
          <w:bCs/>
          <w:color w:val="auto"/>
          <w:sz w:val="21"/>
          <w:szCs w:val="21"/>
          <w:highlight w:val="none"/>
        </w:rPr>
        <w:t>项目名称：</w:t>
      </w:r>
      <w:r>
        <w:rPr>
          <w:rFonts w:hint="eastAsia"/>
          <w:b/>
          <w:bCs/>
          <w:color w:val="auto"/>
          <w:sz w:val="21"/>
          <w:szCs w:val="21"/>
          <w:highlight w:val="none"/>
          <w:u w:val="single"/>
          <w:lang w:eastAsia="zh-CN"/>
        </w:rPr>
        <w:t>阳江市阳东区第一职业技术学校风雨长廊建设项目</w:t>
      </w:r>
    </w:p>
    <w:p>
      <w:pPr>
        <w:pStyle w:val="5"/>
        <w:ind w:firstLine="0"/>
        <w:rPr>
          <w:b/>
          <w:bCs/>
          <w:color w:val="auto"/>
          <w:sz w:val="21"/>
          <w:szCs w:val="21"/>
          <w:highlight w:val="none"/>
          <w:u w:val="single"/>
        </w:rPr>
      </w:pPr>
    </w:p>
    <w:tbl>
      <w:tblPr>
        <w:tblStyle w:val="52"/>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成交额（元）</w:t>
            </w:r>
          </w:p>
        </w:tc>
        <w:tc>
          <w:tcPr>
            <w:tcW w:w="123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highlight w:val="none"/>
              </w:rPr>
            </w:pPr>
          </w:p>
        </w:tc>
        <w:tc>
          <w:tcPr>
            <w:tcW w:w="1215" w:type="dxa"/>
            <w:vAlign w:val="center"/>
          </w:tcPr>
          <w:p>
            <w:pPr>
              <w:pStyle w:val="5"/>
              <w:snapToGrid w:val="0"/>
              <w:ind w:firstLine="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ind w:firstLine="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bl>
    <w:p>
      <w:pPr>
        <w:pStyle w:val="5"/>
        <w:ind w:firstLine="0"/>
        <w:rPr>
          <w:rFonts w:hAnsi="宋体"/>
          <w:bCs/>
          <w:color w:val="auto"/>
          <w:sz w:val="21"/>
          <w:highlight w:val="none"/>
        </w:rPr>
      </w:pPr>
      <w:r>
        <w:rPr>
          <w:rFonts w:hint="eastAsia" w:hAnsi="宋体"/>
          <w:bCs/>
          <w:color w:val="auto"/>
          <w:sz w:val="21"/>
          <w:highlight w:val="none"/>
        </w:rPr>
        <w:t>注：如本表格式内容不能满足需要，投标人可自行划表填写，但必须体现以上内容。</w:t>
      </w:r>
    </w:p>
    <w:p>
      <w:pPr>
        <w:pStyle w:val="5"/>
        <w:ind w:firstLine="0"/>
        <w:rPr>
          <w:rFonts w:hAnsi="宋体"/>
          <w:bCs/>
          <w:color w:val="auto"/>
          <w:sz w:val="21"/>
          <w:highlight w:val="none"/>
        </w:rPr>
      </w:pPr>
    </w:p>
    <w:p>
      <w:pPr>
        <w:pStyle w:val="5"/>
        <w:ind w:firstLine="0"/>
        <w:rPr>
          <w:rFonts w:hAnsi="宋体"/>
          <w:bCs/>
          <w:color w:val="auto"/>
          <w:sz w:val="21"/>
          <w:highlight w:val="none"/>
        </w:rPr>
      </w:pPr>
    </w:p>
    <w:p>
      <w:pPr>
        <w:pStyle w:val="5"/>
        <w:ind w:firstLine="0"/>
        <w:rPr>
          <w:rFonts w:hAnsi="宋体"/>
          <w:bCs/>
          <w:color w:val="auto"/>
          <w:sz w:val="21"/>
          <w:highlight w:val="none"/>
        </w:rPr>
      </w:pPr>
    </w:p>
    <w:p>
      <w:pPr>
        <w:pStyle w:val="5"/>
        <w:ind w:firstLine="0"/>
        <w:rPr>
          <w:rFonts w:hAnsi="宋体"/>
          <w:bCs/>
          <w:color w:val="auto"/>
          <w:sz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供应商名称（加盖公章）：</w:t>
      </w:r>
      <w:r>
        <w:rPr>
          <w:rFonts w:hint="eastAsia" w:ascii="宋体" w:hAnsi="宋体"/>
          <w:bCs/>
          <w:color w:val="auto"/>
          <w:szCs w:val="21"/>
          <w:highlight w:val="none"/>
          <w:u w:val="single"/>
        </w:rPr>
        <w:t xml:space="preserve">                                       </w:t>
      </w:r>
      <w:r>
        <w:rPr>
          <w:rFonts w:ascii="宋体" w:hAnsi="宋体"/>
          <w:bCs/>
          <w:color w:val="auto"/>
          <w:szCs w:val="21"/>
          <w:highlight w:val="none"/>
        </w:rPr>
        <w:t xml:space="preserve"> </w:t>
      </w:r>
    </w:p>
    <w:p>
      <w:pPr>
        <w:pStyle w:val="5"/>
        <w:ind w:firstLine="0"/>
        <w:rPr>
          <w:rFonts w:hAnsi="宋体"/>
          <w:bCs/>
          <w:color w:val="auto"/>
          <w:sz w:val="21"/>
          <w:szCs w:val="21"/>
          <w:highlight w:val="none"/>
        </w:rPr>
      </w:pPr>
      <w:r>
        <w:rPr>
          <w:rFonts w:hint="eastAsia" w:hAnsi="宋体"/>
          <w:bCs/>
          <w:color w:val="auto"/>
          <w:sz w:val="21"/>
          <w:szCs w:val="21"/>
          <w:highlight w:val="none"/>
        </w:rPr>
        <w:t>日期：</w:t>
      </w:r>
      <w:r>
        <w:rPr>
          <w:rFonts w:hAnsi="宋体"/>
          <w:bCs/>
          <w:color w:val="auto"/>
          <w:sz w:val="21"/>
          <w:szCs w:val="21"/>
          <w:highlight w:val="none"/>
          <w:u w:val="single"/>
        </w:rPr>
        <w:t xml:space="preserve">    </w:t>
      </w:r>
      <w:r>
        <w:rPr>
          <w:rFonts w:hint="eastAsia" w:hAnsi="宋体"/>
          <w:bCs/>
          <w:color w:val="auto"/>
          <w:sz w:val="21"/>
          <w:szCs w:val="21"/>
          <w:highlight w:val="none"/>
          <w:u w:val="single"/>
        </w:rPr>
        <w:t xml:space="preserve">  </w:t>
      </w:r>
      <w:r>
        <w:rPr>
          <w:rFonts w:hAnsi="宋体"/>
          <w:bCs/>
          <w:color w:val="auto"/>
          <w:sz w:val="21"/>
          <w:szCs w:val="21"/>
          <w:highlight w:val="none"/>
          <w:u w:val="single"/>
        </w:rPr>
        <w:t xml:space="preserve"> </w:t>
      </w:r>
      <w:r>
        <w:rPr>
          <w:rFonts w:hAnsi="宋体"/>
          <w:bCs/>
          <w:color w:val="auto"/>
          <w:sz w:val="21"/>
          <w:szCs w:val="21"/>
          <w:highlight w:val="none"/>
        </w:rPr>
        <w:t xml:space="preserve"> </w:t>
      </w:r>
      <w:r>
        <w:rPr>
          <w:rFonts w:hint="eastAsia" w:hAnsi="宋体"/>
          <w:bCs/>
          <w:color w:val="auto"/>
          <w:sz w:val="21"/>
          <w:szCs w:val="21"/>
          <w:highlight w:val="none"/>
        </w:rPr>
        <w:t>年</w:t>
      </w:r>
      <w:r>
        <w:rPr>
          <w:rFonts w:hAnsi="宋体"/>
          <w:bCs/>
          <w:color w:val="auto"/>
          <w:sz w:val="21"/>
          <w:szCs w:val="21"/>
          <w:highlight w:val="none"/>
          <w:u w:val="single"/>
        </w:rPr>
        <w:t xml:space="preserve">     </w:t>
      </w:r>
      <w:r>
        <w:rPr>
          <w:rFonts w:hint="eastAsia" w:hAnsi="宋体"/>
          <w:bCs/>
          <w:color w:val="auto"/>
          <w:sz w:val="21"/>
          <w:szCs w:val="21"/>
          <w:highlight w:val="none"/>
        </w:rPr>
        <w:t>月</w:t>
      </w:r>
      <w:r>
        <w:rPr>
          <w:rFonts w:hAnsi="宋体"/>
          <w:bCs/>
          <w:color w:val="auto"/>
          <w:sz w:val="21"/>
          <w:szCs w:val="21"/>
          <w:highlight w:val="none"/>
        </w:rPr>
        <w:t xml:space="preserve"> </w:t>
      </w:r>
      <w:r>
        <w:rPr>
          <w:rFonts w:hAnsi="宋体"/>
          <w:bCs/>
          <w:color w:val="auto"/>
          <w:sz w:val="21"/>
          <w:szCs w:val="21"/>
          <w:highlight w:val="none"/>
          <w:u w:val="single"/>
        </w:rPr>
        <w:t xml:space="preserve">    </w:t>
      </w:r>
      <w:r>
        <w:rPr>
          <w:rFonts w:hint="eastAsia" w:hAnsi="宋体"/>
          <w:bCs/>
          <w:color w:val="auto"/>
          <w:sz w:val="21"/>
          <w:szCs w:val="21"/>
          <w:highlight w:val="none"/>
        </w:rPr>
        <w:t>日</w:t>
      </w: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5"/>
        <w:ind w:firstLine="0"/>
        <w:rPr>
          <w:rFonts w:hAnsi="宋体"/>
          <w:bCs/>
          <w:color w:val="auto"/>
          <w:sz w:val="21"/>
          <w:szCs w:val="21"/>
          <w:highlight w:val="none"/>
        </w:rPr>
      </w:pPr>
    </w:p>
    <w:p>
      <w:pPr>
        <w:pStyle w:val="4"/>
        <w:numPr>
          <w:ilvl w:val="0"/>
          <w:numId w:val="0"/>
        </w:numPr>
        <w:spacing w:line="400" w:lineRule="exact"/>
        <w:rPr>
          <w:rFonts w:hAnsi="黑体" w:cs="黑体"/>
          <w:color w:val="auto"/>
          <w:sz w:val="28"/>
          <w:szCs w:val="28"/>
          <w:highlight w:val="none"/>
        </w:rPr>
      </w:pPr>
      <w:bookmarkStart w:id="324" w:name="_Toc7149"/>
      <w:bookmarkStart w:id="325" w:name="_Toc432695229"/>
      <w:bookmarkStart w:id="326" w:name="_Toc17247"/>
      <w:bookmarkStart w:id="327" w:name="_Toc432682754"/>
      <w:bookmarkStart w:id="328" w:name="_Toc430771089"/>
      <w:bookmarkStart w:id="329" w:name="_Toc11866431"/>
      <w:bookmarkStart w:id="330" w:name="_Toc11866689"/>
      <w:bookmarkStart w:id="331" w:name="_Toc339019919"/>
      <w:bookmarkStart w:id="332" w:name="_Toc365967105"/>
      <w:bookmarkStart w:id="333" w:name="_Toc342398160"/>
      <w:bookmarkStart w:id="334" w:name="_Toc336681965"/>
      <w:bookmarkStart w:id="335" w:name="_Toc336681610"/>
      <w:bookmarkStart w:id="336" w:name="_Toc339020125"/>
      <w:bookmarkStart w:id="337" w:name="_Toc102451601"/>
      <w:bookmarkStart w:id="338" w:name="_Toc333237708"/>
      <w:bookmarkStart w:id="339" w:name="_Toc337632388"/>
      <w:bookmarkStart w:id="340" w:name="_Toc333935717"/>
      <w:bookmarkStart w:id="341" w:name="_Toc343248448"/>
      <w:bookmarkStart w:id="342" w:name="_Toc340507472"/>
      <w:bookmarkStart w:id="343" w:name="_Toc341348370"/>
      <w:bookmarkStart w:id="344" w:name="_Toc339441117"/>
      <w:bookmarkStart w:id="345" w:name="_Toc342312473"/>
      <w:bookmarkStart w:id="346" w:name="_Toc350438779"/>
      <w:bookmarkStart w:id="347" w:name="_Toc333237819"/>
      <w:bookmarkStart w:id="348" w:name="_Toc342296791"/>
      <w:bookmarkStart w:id="349" w:name="_Toc365985211"/>
      <w:bookmarkStart w:id="350" w:name="_Toc343612950"/>
      <w:bookmarkStart w:id="351" w:name="_Toc331684072"/>
      <w:bookmarkStart w:id="352" w:name="_Toc340677100"/>
      <w:bookmarkStart w:id="353" w:name="_Toc340672899"/>
      <w:bookmarkStart w:id="354" w:name="_Toc339020045"/>
      <w:bookmarkStart w:id="355" w:name="_Toc343247130"/>
      <w:bookmarkStart w:id="356" w:name="_Toc339362330"/>
      <w:bookmarkStart w:id="357" w:name="_Toc331512931"/>
      <w:bookmarkStart w:id="358" w:name="_Toc342060405"/>
      <w:bookmarkStart w:id="359" w:name="_Toc332270377"/>
      <w:bookmarkStart w:id="360" w:name="_Toc333935376"/>
      <w:bookmarkStart w:id="361" w:name="_Toc366072562"/>
      <w:bookmarkStart w:id="362" w:name="_Toc332206739"/>
      <w:bookmarkStart w:id="363" w:name="_Toc330460016"/>
      <w:bookmarkStart w:id="364" w:name="_Toc333238664"/>
      <w:bookmarkStart w:id="365" w:name="_Toc350756480"/>
      <w:bookmarkStart w:id="366" w:name="_Toc339020263"/>
      <w:bookmarkStart w:id="367" w:name="_Toc345312627"/>
      <w:r>
        <w:rPr>
          <w:rFonts w:hint="eastAsia"/>
          <w:color w:val="auto"/>
          <w:sz w:val="28"/>
          <w:szCs w:val="28"/>
          <w:highlight w:val="none"/>
        </w:rPr>
        <w:t>附件七：</w:t>
      </w:r>
      <w:r>
        <w:rPr>
          <w:rFonts w:hint="eastAsia" w:hAnsi="黑体" w:cs="黑体"/>
          <w:color w:val="auto"/>
          <w:sz w:val="28"/>
          <w:szCs w:val="28"/>
          <w:highlight w:val="none"/>
        </w:rPr>
        <w:t>中小微企业声明函</w:t>
      </w:r>
      <w:bookmarkEnd w:id="324"/>
      <w:bookmarkEnd w:id="325"/>
      <w:bookmarkEnd w:id="326"/>
      <w:bookmarkEnd w:id="327"/>
      <w:bookmarkEnd w:id="328"/>
      <w:bookmarkEnd w:id="329"/>
      <w:bookmarkEnd w:id="330"/>
    </w:p>
    <w:p>
      <w:pPr>
        <w:spacing w:line="440" w:lineRule="exact"/>
        <w:ind w:firstLine="420"/>
        <w:rPr>
          <w:rFonts w:ascii="宋体"/>
          <w:color w:val="auto"/>
          <w:highlight w:val="none"/>
        </w:rPr>
      </w:pPr>
      <w:r>
        <w:rPr>
          <w:rFonts w:hint="eastAsia" w:ascii="宋体" w:hAnsi="宋体" w:cs="宋体"/>
          <w:color w:val="auto"/>
          <w:highlight w:val="none"/>
        </w:rPr>
        <w:t>本公司郑重声明，根据</w:t>
      </w:r>
      <w:r>
        <w:rPr>
          <w:rFonts w:ascii="宋体" w:hAnsi="宋体"/>
          <w:color w:val="auto"/>
          <w:szCs w:val="21"/>
          <w:highlight w:val="none"/>
        </w:rPr>
        <w:t>《政府采购促进中小企业发展管理办法》（财库﹝2020﹞46 号）</w:t>
      </w:r>
      <w:r>
        <w:rPr>
          <w:rFonts w:hint="eastAsia" w:ascii="宋体" w:hAnsi="宋体" w:cs="宋体"/>
          <w:color w:val="auto"/>
          <w:highlight w:val="none"/>
        </w:rPr>
        <w:t>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s="宋体"/>
          <w:color w:val="auto"/>
          <w:highlight w:val="none"/>
        </w:rPr>
        <w:t>（项目编号：）采购活动提供本企业制造的货物，由本企业承担工程、提供服务，或者提供其他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auto"/>
          <w:highlight w:val="none"/>
        </w:rPr>
      </w:pP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spacing w:line="440" w:lineRule="exact"/>
        <w:rPr>
          <w:rFonts w:ascii="宋体"/>
          <w:color w:val="auto"/>
          <w:highlight w:val="none"/>
        </w:rPr>
      </w:pPr>
    </w:p>
    <w:p>
      <w:pPr>
        <w:spacing w:line="440" w:lineRule="exact"/>
        <w:rPr>
          <w:rFonts w:ascii="宋体"/>
          <w:color w:val="auto"/>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供应商名称（加盖公章）：</w:t>
      </w:r>
    </w:p>
    <w:p>
      <w:pPr>
        <w:spacing w:line="440" w:lineRule="exact"/>
        <w:rPr>
          <w:rFonts w:ascii="宋体"/>
          <w:color w:val="auto"/>
          <w:highlight w:val="none"/>
        </w:rPr>
      </w:pPr>
      <w:r>
        <w:rPr>
          <w:rFonts w:hint="eastAsia" w:ascii="宋体" w:hAnsi="宋体"/>
          <w:bCs/>
          <w:color w:val="auto"/>
          <w:szCs w:val="21"/>
          <w:highlight w:val="none"/>
        </w:rPr>
        <w:t>日期：年月日</w:t>
      </w:r>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Pr>
        <w:pStyle w:val="5"/>
        <w:rPr>
          <w:color w:val="auto"/>
          <w:highlight w:val="none"/>
        </w:rPr>
      </w:pPr>
    </w:p>
    <w:p>
      <w:pPr>
        <w:pStyle w:val="5"/>
        <w:ind w:firstLine="0"/>
        <w:rPr>
          <w:color w:val="auto"/>
          <w:highlight w:val="none"/>
        </w:rPr>
      </w:pPr>
    </w:p>
    <w:p>
      <w:pPr>
        <w:pStyle w:val="4"/>
        <w:keepLines w:val="0"/>
        <w:numPr>
          <w:ilvl w:val="0"/>
          <w:numId w:val="0"/>
        </w:numPr>
        <w:tabs>
          <w:tab w:val="left" w:pos="851"/>
        </w:tabs>
        <w:spacing w:before="0" w:after="0" w:line="360" w:lineRule="auto"/>
        <w:rPr>
          <w:rFonts w:ascii="宋体"/>
          <w:color w:val="auto"/>
          <w:sz w:val="28"/>
          <w:szCs w:val="28"/>
          <w:highlight w:val="none"/>
        </w:rPr>
      </w:pPr>
      <w:bookmarkStart w:id="368" w:name="_Toc11866432"/>
      <w:bookmarkStart w:id="369" w:name="_Toc32373"/>
      <w:bookmarkStart w:id="370" w:name="_Toc25420"/>
      <w:bookmarkStart w:id="371" w:name="_Toc20242"/>
      <w:bookmarkStart w:id="372" w:name="_Toc11866690"/>
      <w:r>
        <w:rPr>
          <w:rFonts w:hint="eastAsia"/>
          <w:color w:val="auto"/>
          <w:sz w:val="28"/>
          <w:szCs w:val="28"/>
          <w:highlight w:val="none"/>
        </w:rPr>
        <w:t>附件八：</w:t>
      </w:r>
      <w:r>
        <w:rPr>
          <w:rFonts w:hint="eastAsia" w:hAnsi="黑体" w:cs="黑体"/>
          <w:color w:val="auto"/>
          <w:sz w:val="28"/>
          <w:szCs w:val="28"/>
          <w:highlight w:val="none"/>
        </w:rPr>
        <w:t>残疾人福利性单位声明函</w:t>
      </w:r>
      <w:bookmarkEnd w:id="368"/>
      <w:bookmarkEnd w:id="369"/>
      <w:bookmarkEnd w:id="370"/>
      <w:bookmarkEnd w:id="371"/>
      <w:bookmarkEnd w:id="372"/>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 xml:space="preserve">供应商法定代表人（负责人）或授权代理人（签字）：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供应商名称（加盖公章）：</w:t>
      </w:r>
    </w:p>
    <w:p>
      <w:pPr>
        <w:pStyle w:val="5"/>
        <w:ind w:firstLine="0"/>
        <w:rPr>
          <w:color w:val="auto"/>
          <w:highlight w:val="none"/>
        </w:rPr>
      </w:pPr>
      <w:r>
        <w:rPr>
          <w:rFonts w:hint="eastAsia" w:hAnsi="宋体"/>
          <w:bCs/>
          <w:color w:val="auto"/>
          <w:sz w:val="21"/>
          <w:szCs w:val="21"/>
          <w:highlight w:val="none"/>
        </w:rPr>
        <w:t>日期：年月日</w:t>
      </w:r>
    </w:p>
    <w:p>
      <w:pPr>
        <w:pStyle w:val="5"/>
        <w:ind w:firstLine="0"/>
        <w:rPr>
          <w:rFonts w:hAnsi="宋体"/>
          <w:bCs/>
          <w:color w:val="auto"/>
          <w:sz w:val="21"/>
          <w:szCs w:val="21"/>
          <w:highlight w:val="none"/>
        </w:rPr>
        <w:sectPr>
          <w:pgSz w:w="11906" w:h="16838"/>
          <w:pgMar w:top="1418" w:right="1474" w:bottom="1418" w:left="1474" w:header="851" w:footer="992" w:gutter="0"/>
          <w:cols w:space="720" w:num="1"/>
          <w:docGrid w:linePitch="312" w:charSpace="0"/>
        </w:sectPr>
      </w:pPr>
    </w:p>
    <w:p>
      <w:pPr>
        <w:pStyle w:val="4"/>
        <w:numPr>
          <w:ilvl w:val="1"/>
          <w:numId w:val="0"/>
        </w:numPr>
        <w:spacing w:line="360" w:lineRule="auto"/>
        <w:rPr>
          <w:rFonts w:ascii="宋体" w:hAnsi="宋体"/>
          <w:color w:val="auto"/>
          <w:sz w:val="28"/>
          <w:szCs w:val="28"/>
          <w:highlight w:val="none"/>
        </w:rPr>
      </w:pPr>
      <w:bookmarkStart w:id="373" w:name="_Toc200414534"/>
      <w:bookmarkStart w:id="374" w:name="_Toc469160804"/>
      <w:bookmarkStart w:id="375" w:name="_Toc19930"/>
      <w:r>
        <w:rPr>
          <w:rFonts w:hint="eastAsia" w:ascii="宋体" w:hAnsi="宋体"/>
          <w:color w:val="auto"/>
          <w:sz w:val="28"/>
          <w:szCs w:val="28"/>
          <w:highlight w:val="none"/>
        </w:rPr>
        <w:t>附件九：成交服务费承诺</w:t>
      </w:r>
      <w:bookmarkEnd w:id="373"/>
      <w:bookmarkEnd w:id="374"/>
      <w:bookmarkEnd w:id="375"/>
    </w:p>
    <w:p>
      <w:pPr>
        <w:spacing w:line="360" w:lineRule="auto"/>
        <w:rPr>
          <w:rFonts w:ascii="宋体" w:hAnsi="宋体"/>
          <w:color w:val="auto"/>
          <w:szCs w:val="21"/>
          <w:highlight w:val="none"/>
        </w:rPr>
      </w:pPr>
      <w:r>
        <w:rPr>
          <w:rFonts w:hint="eastAsia" w:ascii="宋体" w:hAnsi="宋体"/>
          <w:color w:val="auto"/>
          <w:szCs w:val="21"/>
          <w:highlight w:val="none"/>
        </w:rPr>
        <w:t>致（代理机构）：</w:t>
      </w:r>
    </w:p>
    <w:p>
      <w:pPr>
        <w:spacing w:line="360" w:lineRule="auto"/>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针对贵方组织的（项目名称：</w:t>
      </w:r>
      <w:r>
        <w:rPr>
          <w:rFonts w:hint="eastAsia" w:ascii="宋体" w:hAnsi="宋体"/>
          <w:b/>
          <w:color w:val="auto"/>
          <w:highlight w:val="none"/>
          <w:u w:val="single"/>
        </w:rPr>
        <w:t xml:space="preserve">                               </w:t>
      </w:r>
      <w:r>
        <w:rPr>
          <w:rFonts w:hint="eastAsia" w:ascii="宋体" w:hAnsi="宋体"/>
          <w:bCs/>
          <w:color w:val="auto"/>
          <w:highlight w:val="none"/>
        </w:rPr>
        <w:t>）</w:t>
      </w:r>
      <w:r>
        <w:rPr>
          <w:rFonts w:hint="eastAsia" w:ascii="宋体" w:hAnsi="宋体"/>
          <w:color w:val="auto"/>
          <w:szCs w:val="21"/>
          <w:highlight w:val="none"/>
        </w:rPr>
        <w:t>磋商项目（</w:t>
      </w:r>
      <w:r>
        <w:rPr>
          <w:rFonts w:hint="eastAsia" w:ascii="宋体" w:hAnsi="宋体"/>
          <w:bCs/>
          <w:color w:val="auto"/>
          <w:szCs w:val="21"/>
          <w:highlight w:val="none"/>
        </w:rPr>
        <w:t xml:space="preserve">项目编号： </w:t>
      </w:r>
      <w:r>
        <w:rPr>
          <w:rFonts w:hint="eastAsia" w:ascii="宋体" w:hAnsi="宋体"/>
          <w:b/>
          <w:bCs/>
          <w:color w:val="auto"/>
          <w:szCs w:val="21"/>
          <w:highlight w:val="none"/>
          <w:u w:val="single"/>
        </w:rPr>
        <w:t xml:space="preserve">                        </w:t>
      </w:r>
      <w:r>
        <w:rPr>
          <w:rFonts w:hint="eastAsia" w:ascii="宋体" w:hAnsi="宋体"/>
          <w:color w:val="auto"/>
          <w:szCs w:val="21"/>
          <w:highlight w:val="none"/>
        </w:rPr>
        <w:t>），我方承诺：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1.若我方成交，将严格遵照本项目磋商文件的规定向代理采购机构缴纳成交服务费。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2.若我方成交后拒绝如数缴纳或未按本项目磋商文件规定的期限缴纳成交服务费，则视为我方自动放弃该成交结果，贵方有权没收我方的保证金并重新确定成交结果，我方对此无任何异议。</w:t>
      </w:r>
    </w:p>
    <w:p>
      <w:pPr>
        <w:spacing w:line="360" w:lineRule="auto"/>
        <w:rPr>
          <w:rFonts w:ascii="宋体" w:hAnsi="宋体"/>
          <w:color w:val="auto"/>
          <w:szCs w:val="21"/>
          <w:highlight w:val="none"/>
        </w:rPr>
      </w:pPr>
      <w:r>
        <w:rPr>
          <w:rFonts w:hint="eastAsia" w:ascii="宋体" w:hAnsi="宋体"/>
          <w:color w:val="auto"/>
          <w:szCs w:val="21"/>
          <w:highlight w:val="none"/>
        </w:rPr>
        <w:t xml:space="preserve">     </w:t>
      </w:r>
    </w:p>
    <w:p>
      <w:pPr>
        <w:spacing w:line="360" w:lineRule="auto"/>
        <w:ind w:firstLine="420" w:firstLineChars="200"/>
        <w:rPr>
          <w:rFonts w:ascii="宋体" w:hAnsi="宋体"/>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bCs/>
          <w:color w:val="auto"/>
          <w:szCs w:val="21"/>
          <w:highlight w:val="none"/>
          <w:u w:val="single"/>
        </w:rPr>
        <w:t xml:space="preserve">                            </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spacing w:line="360" w:lineRule="auto"/>
        <w:ind w:right="-384" w:rightChars="-183"/>
        <w:rPr>
          <w:rFonts w:ascii="宋体" w:hAnsi="宋体"/>
          <w:bCs/>
          <w:color w:val="auto"/>
          <w:szCs w:val="21"/>
          <w:highlight w:val="none"/>
          <w:u w:val="single"/>
        </w:rPr>
      </w:pPr>
      <w:r>
        <w:rPr>
          <w:rFonts w:hint="eastAsia" w:ascii="宋体" w:hAnsi="宋体"/>
          <w:bCs/>
          <w:color w:val="auto"/>
          <w:szCs w:val="21"/>
          <w:highlight w:val="none"/>
        </w:rPr>
        <w:t>日期：</w:t>
      </w:r>
      <w:r>
        <w:rPr>
          <w:rFonts w:ascii="宋体" w:hAnsi="宋体"/>
          <w:color w:val="auto"/>
          <w:szCs w:val="21"/>
          <w:highlight w:val="none"/>
          <w:u w:val="single"/>
        </w:rPr>
        <w:t xml:space="preserve">      </w:t>
      </w:r>
      <w:r>
        <w:rPr>
          <w:rFonts w:hint="eastAsia" w:ascii="宋体" w:hAnsi="宋体"/>
          <w:bCs/>
          <w:color w:val="auto"/>
          <w:szCs w:val="21"/>
          <w:highlight w:val="none"/>
        </w:rPr>
        <w:t>年</w:t>
      </w:r>
      <w:r>
        <w:rPr>
          <w:rFonts w:ascii="宋体" w:hAnsi="宋体"/>
          <w:color w:val="auto"/>
          <w:szCs w:val="21"/>
          <w:highlight w:val="none"/>
          <w:u w:val="single"/>
        </w:rPr>
        <w:t xml:space="preserve">      </w:t>
      </w:r>
      <w:r>
        <w:rPr>
          <w:rFonts w:hint="eastAsia" w:ascii="宋体" w:hAnsi="宋体"/>
          <w:bCs/>
          <w:color w:val="auto"/>
          <w:szCs w:val="21"/>
          <w:highlight w:val="none"/>
        </w:rPr>
        <w:t>月</w:t>
      </w:r>
      <w:r>
        <w:rPr>
          <w:rFonts w:ascii="宋体" w:hAnsi="宋体"/>
          <w:color w:val="auto"/>
          <w:szCs w:val="21"/>
          <w:highlight w:val="none"/>
          <w:u w:val="single"/>
        </w:rPr>
        <w:t xml:space="preserve">      </w:t>
      </w:r>
      <w:r>
        <w:rPr>
          <w:rFonts w:hint="eastAsia" w:ascii="宋体" w:hAnsi="宋体"/>
          <w:bCs/>
          <w:color w:val="auto"/>
          <w:szCs w:val="21"/>
          <w:highlight w:val="none"/>
        </w:rPr>
        <w:t>日</w:t>
      </w: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spacing w:line="360" w:lineRule="auto"/>
        <w:ind w:right="-384" w:rightChars="-183"/>
        <w:rPr>
          <w:rFonts w:ascii="宋体" w:hAnsi="宋体"/>
          <w:bCs/>
          <w:color w:val="auto"/>
          <w:highlight w:val="none"/>
          <w:u w:val="single"/>
        </w:rPr>
      </w:pPr>
    </w:p>
    <w:p>
      <w:pPr>
        <w:pStyle w:val="4"/>
        <w:numPr>
          <w:ilvl w:val="1"/>
          <w:numId w:val="0"/>
        </w:numPr>
        <w:spacing w:line="360" w:lineRule="auto"/>
        <w:rPr>
          <w:rFonts w:ascii="宋体" w:hAnsi="宋体"/>
          <w:color w:val="auto"/>
          <w:sz w:val="28"/>
          <w:szCs w:val="28"/>
          <w:highlight w:val="none"/>
        </w:rPr>
      </w:pPr>
      <w:bookmarkStart w:id="376" w:name="_Toc469160805"/>
      <w:bookmarkStart w:id="377" w:name="_Toc21915"/>
      <w:bookmarkStart w:id="378" w:name="_Toc200414535"/>
      <w:r>
        <w:rPr>
          <w:rFonts w:hint="eastAsia" w:ascii="宋体" w:hAnsi="宋体"/>
          <w:color w:val="auto"/>
          <w:sz w:val="28"/>
          <w:szCs w:val="28"/>
          <w:highlight w:val="none"/>
        </w:rPr>
        <w:t>附件十：磋商供应商提交的其他资料</w:t>
      </w:r>
      <w:bookmarkEnd w:id="376"/>
      <w:bookmarkEnd w:id="377"/>
      <w:bookmarkEnd w:id="378"/>
    </w:p>
    <w:p>
      <w:pPr>
        <w:adjustRightInd w:val="0"/>
        <w:snapToGrid w:val="0"/>
        <w:spacing w:line="360" w:lineRule="auto"/>
        <w:jc w:val="left"/>
        <w:rPr>
          <w:rFonts w:ascii="宋体" w:hAnsi="宋体"/>
          <w:b/>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eastAsia="zh-CN"/>
        </w:rPr>
        <w:t>YXCG-20220622</w:t>
      </w:r>
      <w:r>
        <w:rPr>
          <w:rFonts w:hint="eastAsia" w:ascii="宋体" w:hAnsi="宋体"/>
          <w:b/>
          <w:bCs/>
          <w:caps/>
          <w:color w:val="auto"/>
          <w:szCs w:val="21"/>
          <w:highlight w:val="none"/>
          <w:u w:val="single"/>
        </w:rPr>
        <w:t xml:space="preserve">  </w:t>
      </w:r>
    </w:p>
    <w:p>
      <w:pPr>
        <w:adjustRightInd w:val="0"/>
        <w:snapToGrid w:val="0"/>
        <w:spacing w:line="360" w:lineRule="auto"/>
        <w:jc w:val="left"/>
        <w:rPr>
          <w:rFonts w:ascii="宋体" w:hAnsi="宋体"/>
          <w:bCs/>
          <w:color w:val="auto"/>
          <w:szCs w:val="21"/>
          <w:highlight w:val="none"/>
        </w:rPr>
      </w:pPr>
      <w:r>
        <w:rPr>
          <w:rFonts w:hint="eastAsia" w:ascii="宋体" w:hAnsi="宋体"/>
          <w:color w:val="auto"/>
          <w:szCs w:val="21"/>
          <w:highlight w:val="none"/>
        </w:rPr>
        <w:t>项目名称：</w:t>
      </w:r>
      <w:r>
        <w:rPr>
          <w:rFonts w:hint="eastAsia" w:ascii="宋体" w:hAnsi="宋体"/>
          <w:b/>
          <w:bCs/>
          <w:color w:val="auto"/>
          <w:szCs w:val="21"/>
          <w:highlight w:val="none"/>
          <w:u w:val="single"/>
          <w:lang w:eastAsia="zh-CN"/>
        </w:rPr>
        <w:t>阳江市阳东区第一职业技术学校风雨长廊建设项目</w:t>
      </w:r>
      <w:r>
        <w:rPr>
          <w:rFonts w:hint="eastAsia" w:ascii="宋体" w:hAnsi="宋体"/>
          <w:b/>
          <w:bCs/>
          <w:color w:val="auto"/>
          <w:szCs w:val="21"/>
          <w:highlight w:val="none"/>
          <w:u w:val="single"/>
        </w:rPr>
        <w:t xml:space="preserve"> </w:t>
      </w:r>
    </w:p>
    <w:p>
      <w:pPr>
        <w:adjustRightInd w:val="0"/>
        <w:snapToGrid w:val="0"/>
        <w:spacing w:line="360" w:lineRule="auto"/>
        <w:jc w:val="left"/>
        <w:rPr>
          <w:rFonts w:ascii="宋体" w:hAnsi="宋体"/>
          <w:bCs/>
          <w:color w:val="auto"/>
          <w:szCs w:val="21"/>
          <w:highlight w:val="none"/>
          <w:u w:val="single"/>
        </w:rPr>
      </w:pPr>
    </w:p>
    <w:p>
      <w:pPr>
        <w:pStyle w:val="5"/>
        <w:spacing w:line="360" w:lineRule="auto"/>
        <w:rPr>
          <w:rFonts w:hAnsi="宋体"/>
          <w:color w:val="auto"/>
          <w:sz w:val="21"/>
          <w:szCs w:val="21"/>
          <w:highlight w:val="none"/>
        </w:rPr>
      </w:pPr>
    </w:p>
    <w:p>
      <w:pPr>
        <w:pStyle w:val="5"/>
        <w:spacing w:line="360" w:lineRule="auto"/>
        <w:rPr>
          <w:rFonts w:hAnsi="宋体"/>
          <w:bCs/>
          <w:color w:val="auto"/>
          <w:sz w:val="21"/>
          <w:szCs w:val="21"/>
          <w:highlight w:val="none"/>
        </w:rPr>
      </w:pPr>
      <w:r>
        <w:rPr>
          <w:rFonts w:hint="eastAsia" w:hAnsi="宋体"/>
          <w:bCs/>
          <w:color w:val="auto"/>
          <w:sz w:val="21"/>
          <w:szCs w:val="21"/>
          <w:highlight w:val="none"/>
        </w:rPr>
        <w:t>本节无格式要求，供应商可根据自身实际情况以及磋商文件规定的“磋商采购项目要求”等进行编制。</w:t>
      </w:r>
    </w:p>
    <w:p>
      <w:pPr>
        <w:pStyle w:val="5"/>
        <w:spacing w:line="360" w:lineRule="auto"/>
        <w:rPr>
          <w:rFonts w:hAnsi="宋体"/>
          <w:bCs/>
          <w:color w:val="auto"/>
          <w:sz w:val="21"/>
          <w:szCs w:val="21"/>
          <w:highlight w:val="none"/>
        </w:rPr>
      </w:pPr>
      <w:r>
        <w:rPr>
          <w:rFonts w:hint="eastAsia" w:hAnsi="宋体"/>
          <w:bCs/>
          <w:color w:val="auto"/>
          <w:sz w:val="21"/>
          <w:szCs w:val="21"/>
          <w:highlight w:val="none"/>
        </w:rPr>
        <w:t>一、</w:t>
      </w:r>
    </w:p>
    <w:p>
      <w:pPr>
        <w:pStyle w:val="5"/>
        <w:spacing w:line="360" w:lineRule="auto"/>
        <w:rPr>
          <w:rFonts w:hAnsi="宋体"/>
          <w:bCs/>
          <w:color w:val="auto"/>
          <w:sz w:val="21"/>
          <w:szCs w:val="21"/>
          <w:highlight w:val="none"/>
        </w:rPr>
      </w:pPr>
      <w:r>
        <w:rPr>
          <w:rFonts w:hint="eastAsia" w:hAnsi="宋体"/>
          <w:bCs/>
          <w:color w:val="auto"/>
          <w:sz w:val="21"/>
          <w:szCs w:val="21"/>
          <w:highlight w:val="none"/>
        </w:rPr>
        <w:t>二、</w:t>
      </w:r>
    </w:p>
    <w:p>
      <w:pPr>
        <w:pStyle w:val="5"/>
        <w:spacing w:line="360" w:lineRule="auto"/>
        <w:rPr>
          <w:rFonts w:hAnsi="宋体"/>
          <w:bCs/>
          <w:color w:val="auto"/>
          <w:sz w:val="21"/>
          <w:szCs w:val="21"/>
          <w:highlight w:val="none"/>
        </w:rPr>
      </w:pPr>
      <w:r>
        <w:rPr>
          <w:rFonts w:hint="eastAsia" w:hAnsi="宋体"/>
          <w:bCs/>
          <w:color w:val="auto"/>
          <w:sz w:val="21"/>
          <w:szCs w:val="21"/>
          <w:highlight w:val="none"/>
        </w:rPr>
        <w:t>三、</w:t>
      </w:r>
      <w:r>
        <w:rPr>
          <w:rFonts w:hAnsi="宋体"/>
          <w:bCs/>
          <w:color w:val="auto"/>
          <w:sz w:val="21"/>
          <w:szCs w:val="21"/>
          <w:highlight w:val="none"/>
        </w:rPr>
        <w:t>...</w:t>
      </w:r>
    </w:p>
    <w:p>
      <w:pPr>
        <w:pStyle w:val="5"/>
        <w:spacing w:line="360" w:lineRule="auto"/>
        <w:rPr>
          <w:rFonts w:hAnsi="宋体"/>
          <w:bCs/>
          <w:color w:val="auto"/>
          <w:sz w:val="21"/>
          <w:szCs w:val="21"/>
          <w:highlight w:val="none"/>
        </w:rPr>
      </w:pPr>
      <w:r>
        <w:rPr>
          <w:rFonts w:hint="eastAsia" w:hAnsi="宋体"/>
          <w:bCs/>
          <w:color w:val="auto"/>
          <w:sz w:val="21"/>
          <w:szCs w:val="21"/>
          <w:highlight w:val="none"/>
        </w:rPr>
        <w:t>四、</w:t>
      </w:r>
      <w:r>
        <w:rPr>
          <w:rFonts w:hAnsi="宋体"/>
          <w:bCs/>
          <w:color w:val="auto"/>
          <w:sz w:val="21"/>
          <w:szCs w:val="21"/>
          <w:highlight w:val="none"/>
        </w:rPr>
        <w:t>...</w:t>
      </w: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供应商法定代表人（负责人）或授权代理人（签字）：</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u w:val="single"/>
        </w:rPr>
      </w:pPr>
      <w:r>
        <w:rPr>
          <w:rFonts w:hint="eastAsia" w:ascii="宋体" w:hAnsi="宋体"/>
          <w:bCs/>
          <w:color w:val="auto"/>
          <w:szCs w:val="21"/>
          <w:highlight w:val="none"/>
        </w:rPr>
        <w:t>供应商名称（加盖公章）：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ascii="宋体" w:hAnsi="宋体"/>
          <w:bCs/>
          <w:color w:val="auto"/>
          <w:szCs w:val="21"/>
          <w:highlight w:val="none"/>
        </w:rPr>
        <w:t xml:space="preserve"> </w:t>
      </w:r>
      <w:r>
        <w:rPr>
          <w:rFonts w:hint="eastAsia" w:ascii="宋体" w:hAnsi="宋体"/>
          <w:bCs/>
          <w:color w:val="auto"/>
          <w:szCs w:val="21"/>
          <w:highlight w:val="none"/>
        </w:rPr>
        <w:t>年</w:t>
      </w:r>
      <w:r>
        <w:rPr>
          <w:rFonts w:ascii="宋体" w:hAnsi="宋体"/>
          <w:bCs/>
          <w:color w:val="auto"/>
          <w:szCs w:val="21"/>
          <w:highlight w:val="none"/>
          <w:u w:val="single"/>
        </w:rPr>
        <w:t xml:space="preserve">     </w:t>
      </w:r>
      <w:r>
        <w:rPr>
          <w:rFonts w:hint="eastAsia" w:ascii="宋体" w:hAnsi="宋体"/>
          <w:bCs/>
          <w:color w:val="auto"/>
          <w:szCs w:val="21"/>
          <w:highlight w:val="none"/>
        </w:rPr>
        <w:t>月</w:t>
      </w:r>
      <w:r>
        <w:rPr>
          <w:rFonts w:ascii="宋体" w:hAnsi="宋体"/>
          <w:bCs/>
          <w:color w:val="auto"/>
          <w:szCs w:val="21"/>
          <w:highlight w:val="non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rPr>
        <w:t>日</w:t>
      </w:r>
    </w:p>
    <w:p>
      <w:pPr>
        <w:pStyle w:val="5"/>
        <w:spacing w:line="360" w:lineRule="auto"/>
        <w:rPr>
          <w:rFonts w:hAnsi="宋体"/>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（供应商认为本节无须提交的，应当注明“本节空白”字样）。</w:t>
      </w:r>
    </w:p>
    <w:p>
      <w:pPr>
        <w:pStyle w:val="5"/>
        <w:spacing w:line="360" w:lineRule="auto"/>
        <w:rPr>
          <w:rFonts w:hAnsi="宋体"/>
          <w:color w:val="auto"/>
          <w:highlight w:val="none"/>
        </w:rPr>
      </w:pPr>
    </w:p>
    <w:p>
      <w:pPr>
        <w:pStyle w:val="5"/>
        <w:ind w:firstLine="0"/>
        <w:rPr>
          <w:rFonts w:hAnsi="宋体"/>
          <w:color w:val="auto"/>
          <w:highlight w:val="none"/>
        </w:rPr>
      </w:pPr>
      <w:bookmarkStart w:id="379" w:name="_Toc434832511"/>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5"/>
        <w:ind w:firstLine="0"/>
        <w:rPr>
          <w:rFonts w:hAnsi="宋体"/>
          <w:color w:val="auto"/>
          <w:highlight w:val="none"/>
        </w:rPr>
      </w:pPr>
    </w:p>
    <w:p>
      <w:pPr>
        <w:pStyle w:val="4"/>
        <w:numPr>
          <w:ilvl w:val="1"/>
          <w:numId w:val="0"/>
        </w:numPr>
        <w:spacing w:line="360" w:lineRule="auto"/>
        <w:rPr>
          <w:rFonts w:ascii="宋体" w:hAnsi="宋体"/>
          <w:color w:val="auto"/>
          <w:sz w:val="52"/>
          <w:highlight w:val="none"/>
        </w:rPr>
      </w:pPr>
      <w:bookmarkStart w:id="380" w:name="_Toc13510"/>
      <w:bookmarkStart w:id="381" w:name="_Toc469160806"/>
      <w:r>
        <w:rPr>
          <w:rFonts w:hint="eastAsia" w:ascii="宋体" w:hAnsi="宋体"/>
          <w:color w:val="auto"/>
          <w:sz w:val="52"/>
          <w:highlight w:val="none"/>
        </w:rPr>
        <w:t>其 他 格 式</w:t>
      </w:r>
      <w:bookmarkEnd w:id="379"/>
      <w:bookmarkEnd w:id="380"/>
      <w:bookmarkEnd w:id="381"/>
    </w:p>
    <w:p>
      <w:pPr>
        <w:spacing w:line="360" w:lineRule="auto"/>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b/>
          <w:color w:val="auto"/>
          <w:highlight w:val="none"/>
        </w:rPr>
      </w:pPr>
    </w:p>
    <w:p>
      <w:pPr>
        <w:pStyle w:val="6"/>
        <w:numPr>
          <w:ilvl w:val="2"/>
          <w:numId w:val="0"/>
        </w:numPr>
        <w:spacing w:afterLines="50"/>
        <w:jc w:val="center"/>
        <w:rPr>
          <w:rFonts w:ascii="宋体" w:hAnsi="宋体" w:eastAsia="宋体"/>
          <w:color w:val="auto"/>
          <w:sz w:val="28"/>
          <w:highlight w:val="none"/>
        </w:rPr>
      </w:pPr>
      <w:bookmarkStart w:id="382" w:name="_Toc469160807"/>
      <w:bookmarkStart w:id="383" w:name="_Toc3564"/>
      <w:r>
        <w:rPr>
          <w:rFonts w:hint="eastAsia" w:ascii="宋体" w:hAnsi="宋体" w:eastAsia="宋体"/>
          <w:color w:val="auto"/>
          <w:sz w:val="28"/>
          <w:highlight w:val="none"/>
        </w:rPr>
        <w:t>投标保证金退付书</w:t>
      </w:r>
      <w:bookmarkEnd w:id="382"/>
      <w:bookmarkEnd w:id="383"/>
    </w:p>
    <w:p>
      <w:pPr>
        <w:spacing w:line="360" w:lineRule="auto"/>
        <w:rPr>
          <w:rFonts w:ascii="宋体" w:hAnsi="宋体"/>
          <w:b/>
          <w:color w:val="auto"/>
          <w:highlight w:val="none"/>
        </w:rPr>
      </w:pPr>
      <w:r>
        <w:rPr>
          <w:rFonts w:hint="eastAsia" w:ascii="宋体" w:hAnsi="宋体"/>
          <w:b/>
          <w:color w:val="auto"/>
          <w:highlight w:val="none"/>
        </w:rPr>
        <w:t>致：广东业信采购招标有限公司</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本公司为本项目的投标已提交了足额投标保证金，请贵</w:t>
      </w:r>
      <w:r>
        <w:rPr>
          <w:rFonts w:hint="eastAsia" w:ascii="宋体" w:hAnsi="宋体"/>
          <w:color w:val="auto"/>
          <w:szCs w:val="21"/>
          <w:highlight w:val="none"/>
        </w:rPr>
        <w:t>方</w:t>
      </w:r>
      <w:r>
        <w:rPr>
          <w:rFonts w:hint="eastAsia" w:ascii="宋体" w:hAnsi="宋体"/>
          <w:color w:val="auto"/>
          <w:highlight w:val="none"/>
        </w:rPr>
        <w:t>在符合退还条件时请代划入下列账户：</w:t>
      </w:r>
    </w:p>
    <w:tbl>
      <w:tblPr>
        <w:tblStyle w:val="52"/>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项目名称</w:t>
            </w:r>
          </w:p>
        </w:tc>
        <w:tc>
          <w:tcPr>
            <w:tcW w:w="6095" w:type="dxa"/>
            <w:gridSpan w:val="3"/>
          </w:tcPr>
          <w:p>
            <w:pPr>
              <w:spacing w:line="360" w:lineRule="auto"/>
              <w:ind w:right="206" w:rightChars="98"/>
              <w:rPr>
                <w:rStyle w:val="137"/>
                <w:rFonts w:ascii="宋体" w:hAnsi="宋体" w:eastAsia="宋体"/>
                <w:color w:val="auto"/>
                <w:spacing w:val="10"/>
                <w:sz w:val="21"/>
                <w:szCs w:val="21"/>
                <w:highlight w:val="none"/>
                <w:lang w:val="zh-CN"/>
              </w:rPr>
            </w:pPr>
            <w:r>
              <w:rPr>
                <w:rStyle w:val="137"/>
                <w:rFonts w:hint="eastAsia" w:ascii="宋体" w:hAnsi="宋体"/>
                <w:color w:val="auto"/>
                <w:spacing w:val="10"/>
                <w:sz w:val="21"/>
                <w:szCs w:val="21"/>
                <w:highlight w:val="none"/>
                <w:lang w:val="zh-CN"/>
              </w:rPr>
              <w:t>阳江市阳东区第一职业技术学校风雨长廊建设项目</w:t>
            </w:r>
            <w:r>
              <w:rPr>
                <w:rStyle w:val="137"/>
                <w:rFonts w:ascii="宋体" w:hAnsi="宋体" w:eastAsia="宋体"/>
                <w:color w:val="auto"/>
                <w:spacing w:val="10"/>
                <w:sz w:val="21"/>
                <w:szCs w:val="21"/>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287" w:type="dxa"/>
            <w:gridSpan w:val="2"/>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项目编号</w:t>
            </w:r>
          </w:p>
        </w:tc>
        <w:tc>
          <w:tcPr>
            <w:tcW w:w="6095" w:type="dxa"/>
            <w:gridSpan w:val="3"/>
          </w:tcPr>
          <w:p>
            <w:pPr>
              <w:spacing w:line="360" w:lineRule="auto"/>
              <w:ind w:right="206" w:rightChars="98"/>
              <w:rPr>
                <w:rStyle w:val="137"/>
                <w:rFonts w:ascii="宋体" w:hAnsi="宋体" w:eastAsia="宋体"/>
                <w:color w:val="auto"/>
                <w:spacing w:val="10"/>
                <w:sz w:val="21"/>
                <w:szCs w:val="21"/>
                <w:highlight w:val="none"/>
                <w:lang w:val="zh-CN"/>
              </w:rPr>
            </w:pPr>
            <w:r>
              <w:rPr>
                <w:rStyle w:val="137"/>
                <w:rFonts w:hint="eastAsia" w:ascii="宋体" w:hAnsi="宋体"/>
                <w:color w:val="auto"/>
                <w:spacing w:val="10"/>
                <w:sz w:val="21"/>
                <w:szCs w:val="21"/>
                <w:highlight w:val="none"/>
                <w:lang w:val="zh-CN"/>
              </w:rPr>
              <w:t>YXCG-20220622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451" w:type="dxa"/>
            <w:vMerge w:val="restart"/>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收款单位</w:t>
            </w:r>
          </w:p>
        </w:tc>
        <w:tc>
          <w:tcPr>
            <w:tcW w:w="2836" w:type="dxa"/>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收款单位名称</w:t>
            </w:r>
          </w:p>
        </w:tc>
        <w:tc>
          <w:tcPr>
            <w:tcW w:w="6095" w:type="dxa"/>
            <w:gridSpan w:val="3"/>
          </w:tcPr>
          <w:p>
            <w:pPr>
              <w:spacing w:line="360" w:lineRule="auto"/>
              <w:ind w:right="206" w:rightChars="98"/>
              <w:jc w:val="center"/>
              <w:rPr>
                <w:rStyle w:val="137"/>
                <w:rFonts w:ascii="宋体" w:hAnsi="宋体" w:eastAsia="宋体"/>
                <w:color w:val="auto"/>
                <w:spacing w:val="10"/>
                <w:sz w:val="21"/>
                <w:szCs w:val="21"/>
                <w:highlight w:val="none"/>
                <w:u w:val="single"/>
                <w:lang w:val="zh-CN"/>
              </w:rPr>
            </w:pPr>
            <w:r>
              <w:rPr>
                <w:rStyle w:val="137"/>
                <w:rFonts w:ascii="宋体" w:hAnsi="宋体" w:eastAsia="宋体"/>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收款单位地址</w:t>
            </w:r>
          </w:p>
        </w:tc>
        <w:tc>
          <w:tcPr>
            <w:tcW w:w="6095" w:type="dxa"/>
            <w:gridSpan w:val="3"/>
          </w:tcPr>
          <w:p>
            <w:pPr>
              <w:spacing w:line="360" w:lineRule="auto"/>
              <w:ind w:right="206" w:rightChars="98"/>
              <w:jc w:val="center"/>
              <w:rPr>
                <w:rStyle w:val="137"/>
                <w:rFonts w:ascii="宋体" w:hAnsi="宋体" w:eastAsia="宋体"/>
                <w:color w:val="auto"/>
                <w:spacing w:val="10"/>
                <w:sz w:val="21"/>
                <w:szCs w:val="21"/>
                <w:highlight w:val="none"/>
                <w:lang w:val="zh-CN"/>
              </w:rPr>
            </w:pPr>
            <w:r>
              <w:rPr>
                <w:rStyle w:val="137"/>
                <w:rFonts w:ascii="宋体" w:hAnsi="宋体" w:eastAsia="宋体"/>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开户银行</w:t>
            </w:r>
            <w:r>
              <w:rPr>
                <w:rStyle w:val="137"/>
                <w:rFonts w:ascii="宋体" w:hAnsi="宋体" w:eastAsia="宋体"/>
                <w:color w:val="auto"/>
                <w:spacing w:val="10"/>
                <w:sz w:val="21"/>
                <w:szCs w:val="21"/>
                <w:highlight w:val="none"/>
                <w:lang w:val="zh-CN"/>
              </w:rPr>
              <w:t>（含汇入地点）</w:t>
            </w:r>
          </w:p>
        </w:tc>
        <w:tc>
          <w:tcPr>
            <w:tcW w:w="6095" w:type="dxa"/>
            <w:gridSpan w:val="3"/>
            <w:vAlign w:val="center"/>
          </w:tcPr>
          <w:p>
            <w:pPr>
              <w:spacing w:line="360" w:lineRule="auto"/>
              <w:ind w:right="206" w:rightChars="98" w:firstLine="460" w:firstLineChars="200"/>
              <w:rPr>
                <w:rStyle w:val="137"/>
                <w:rFonts w:ascii="宋体" w:hAnsi="宋体" w:eastAsia="宋体"/>
                <w:color w:val="auto"/>
                <w:spacing w:val="10"/>
                <w:sz w:val="21"/>
                <w:szCs w:val="21"/>
                <w:highlight w:val="none"/>
                <w:lang w:val="zh-CN"/>
              </w:rPr>
            </w:pPr>
            <w:r>
              <w:rPr>
                <w:rStyle w:val="137"/>
                <w:rFonts w:ascii="宋体" w:hAnsi="宋体" w:eastAsia="宋体"/>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银行账号</w:t>
            </w:r>
          </w:p>
        </w:tc>
        <w:tc>
          <w:tcPr>
            <w:tcW w:w="6095" w:type="dxa"/>
            <w:gridSpan w:val="3"/>
          </w:tcPr>
          <w:p>
            <w:pPr>
              <w:spacing w:line="360" w:lineRule="auto"/>
              <w:ind w:right="206" w:rightChars="98"/>
              <w:jc w:val="center"/>
              <w:rPr>
                <w:rStyle w:val="137"/>
                <w:rFonts w:ascii="宋体" w:hAnsi="宋体" w:eastAsia="宋体"/>
                <w:color w:val="auto"/>
                <w:spacing w:val="10"/>
                <w:sz w:val="21"/>
                <w:szCs w:val="21"/>
                <w:highlight w:val="none"/>
                <w:u w:val="single"/>
                <w:lang w:val="zh-CN"/>
              </w:rPr>
            </w:pPr>
            <w:r>
              <w:rPr>
                <w:rStyle w:val="137"/>
                <w:rFonts w:ascii="宋体" w:hAnsi="宋体" w:eastAsia="宋体"/>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总金额（投标保证金）</w:t>
            </w:r>
          </w:p>
        </w:tc>
        <w:tc>
          <w:tcPr>
            <w:tcW w:w="6095" w:type="dxa"/>
            <w:gridSpan w:val="3"/>
            <w:vAlign w:val="center"/>
          </w:tcPr>
          <w:p>
            <w:pPr>
              <w:spacing w:line="360" w:lineRule="auto"/>
              <w:ind w:right="206" w:rightChars="98"/>
              <w:jc w:val="center"/>
              <w:rPr>
                <w:rStyle w:val="137"/>
                <w:rFonts w:ascii="宋体" w:hAnsi="宋体" w:eastAsia="宋体"/>
                <w:color w:val="auto"/>
                <w:spacing w:val="10"/>
                <w:sz w:val="21"/>
                <w:szCs w:val="21"/>
                <w:highlight w:val="none"/>
                <w:lang w:val="zh-CN"/>
              </w:rPr>
            </w:pPr>
            <w:r>
              <w:rPr>
                <w:rFonts w:ascii="宋体" w:hAnsi="宋体"/>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vMerge w:val="restart"/>
            <w:vAlign w:val="center"/>
          </w:tcPr>
          <w:p>
            <w:pPr>
              <w:spacing w:line="360" w:lineRule="auto"/>
              <w:ind w:right="206" w:rightChars="98"/>
              <w:jc w:val="center"/>
              <w:rPr>
                <w:rStyle w:val="137"/>
                <w:rFonts w:ascii="宋体" w:hAnsi="宋体" w:eastAsia="宋体"/>
                <w:b/>
                <w:color w:val="auto"/>
                <w:spacing w:val="10"/>
                <w:sz w:val="21"/>
                <w:szCs w:val="21"/>
                <w:highlight w:val="none"/>
                <w:lang w:val="zh-CN"/>
              </w:rPr>
            </w:pPr>
            <w:r>
              <w:rPr>
                <w:rStyle w:val="137"/>
                <w:rFonts w:ascii="宋体" w:hAnsi="宋体" w:eastAsia="宋体"/>
                <w:b/>
                <w:color w:val="auto"/>
                <w:spacing w:val="10"/>
                <w:sz w:val="21"/>
                <w:szCs w:val="21"/>
                <w:highlight w:val="none"/>
                <w:lang w:val="zh-CN"/>
              </w:rPr>
              <w:t>财务联系人</w:t>
            </w:r>
          </w:p>
        </w:tc>
        <w:tc>
          <w:tcPr>
            <w:tcW w:w="1498" w:type="dxa"/>
            <w:vMerge w:val="restart"/>
            <w:vAlign w:val="center"/>
          </w:tcPr>
          <w:p>
            <w:pPr>
              <w:spacing w:line="360" w:lineRule="auto"/>
              <w:ind w:right="206" w:rightChars="98"/>
              <w:rPr>
                <w:rStyle w:val="137"/>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137"/>
                <w:rFonts w:ascii="宋体" w:hAnsi="宋体" w:eastAsia="宋体"/>
                <w:color w:val="auto"/>
                <w:spacing w:val="10"/>
                <w:sz w:val="21"/>
                <w:szCs w:val="21"/>
                <w:highlight w:val="none"/>
                <w:lang w:val="zh-CN"/>
              </w:rPr>
            </w:pPr>
            <w:r>
              <w:rPr>
                <w:rStyle w:val="137"/>
                <w:rFonts w:ascii="宋体" w:hAnsi="宋体" w:eastAsia="宋体"/>
                <w:color w:val="auto"/>
                <w:spacing w:val="10"/>
                <w:sz w:val="21"/>
                <w:szCs w:val="21"/>
                <w:highlight w:val="none"/>
                <w:lang w:val="zh-CN"/>
              </w:rPr>
              <w:t>联系电话</w:t>
            </w:r>
          </w:p>
        </w:tc>
        <w:tc>
          <w:tcPr>
            <w:tcW w:w="3116" w:type="dxa"/>
            <w:vAlign w:val="center"/>
          </w:tcPr>
          <w:p>
            <w:pPr>
              <w:spacing w:line="360" w:lineRule="auto"/>
              <w:ind w:right="206" w:rightChars="98"/>
              <w:rPr>
                <w:rStyle w:val="137"/>
                <w:rFonts w:ascii="宋体" w:hAnsi="宋体" w:eastAsia="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1" w:type="dxa"/>
            <w:vMerge w:val="continue"/>
          </w:tcPr>
          <w:p>
            <w:pPr>
              <w:spacing w:line="360" w:lineRule="auto"/>
              <w:ind w:right="206" w:rightChars="98"/>
              <w:rPr>
                <w:rStyle w:val="137"/>
                <w:rFonts w:ascii="宋体" w:hAnsi="宋体" w:eastAsia="宋体"/>
                <w:color w:val="auto"/>
                <w:spacing w:val="10"/>
                <w:sz w:val="21"/>
                <w:szCs w:val="21"/>
                <w:highlight w:val="none"/>
                <w:lang w:val="zh-CN"/>
              </w:rPr>
            </w:pPr>
          </w:p>
        </w:tc>
        <w:tc>
          <w:tcPr>
            <w:tcW w:w="2836" w:type="dxa"/>
            <w:vMerge w:val="continue"/>
          </w:tcPr>
          <w:p>
            <w:pPr>
              <w:spacing w:line="360" w:lineRule="auto"/>
              <w:ind w:right="206" w:rightChars="98"/>
              <w:jc w:val="center"/>
              <w:rPr>
                <w:rStyle w:val="137"/>
                <w:rFonts w:ascii="宋体" w:hAnsi="宋体" w:eastAsia="宋体"/>
                <w:b/>
                <w:color w:val="auto"/>
                <w:spacing w:val="10"/>
                <w:sz w:val="21"/>
                <w:szCs w:val="21"/>
                <w:highlight w:val="none"/>
                <w:lang w:val="zh-CN"/>
              </w:rPr>
            </w:pPr>
          </w:p>
        </w:tc>
        <w:tc>
          <w:tcPr>
            <w:tcW w:w="1498" w:type="dxa"/>
            <w:vMerge w:val="continue"/>
            <w:vAlign w:val="center"/>
          </w:tcPr>
          <w:p>
            <w:pPr>
              <w:spacing w:line="360" w:lineRule="auto"/>
              <w:ind w:right="206" w:rightChars="98"/>
              <w:rPr>
                <w:rStyle w:val="137"/>
                <w:rFonts w:ascii="宋体" w:hAnsi="宋体" w:eastAsia="宋体"/>
                <w:color w:val="auto"/>
                <w:spacing w:val="10"/>
                <w:sz w:val="21"/>
                <w:szCs w:val="21"/>
                <w:highlight w:val="none"/>
                <w:lang w:val="zh-CN"/>
              </w:rPr>
            </w:pPr>
          </w:p>
        </w:tc>
        <w:tc>
          <w:tcPr>
            <w:tcW w:w="1481" w:type="dxa"/>
            <w:vAlign w:val="center"/>
          </w:tcPr>
          <w:p>
            <w:pPr>
              <w:spacing w:line="360" w:lineRule="auto"/>
              <w:ind w:right="206" w:rightChars="98"/>
              <w:jc w:val="center"/>
              <w:rPr>
                <w:rStyle w:val="137"/>
                <w:rFonts w:ascii="宋体" w:hAnsi="宋体" w:eastAsia="宋体"/>
                <w:color w:val="auto"/>
                <w:spacing w:val="10"/>
                <w:sz w:val="21"/>
                <w:szCs w:val="21"/>
                <w:highlight w:val="none"/>
                <w:lang w:val="zh-CN"/>
              </w:rPr>
            </w:pPr>
            <w:r>
              <w:rPr>
                <w:rStyle w:val="137"/>
                <w:rFonts w:ascii="宋体" w:hAnsi="宋体" w:eastAsia="宋体"/>
                <w:color w:val="auto"/>
                <w:spacing w:val="10"/>
                <w:sz w:val="21"/>
                <w:szCs w:val="21"/>
                <w:highlight w:val="none"/>
                <w:lang w:val="zh-CN"/>
              </w:rPr>
              <w:t>传真</w:t>
            </w:r>
          </w:p>
        </w:tc>
        <w:tc>
          <w:tcPr>
            <w:tcW w:w="3116" w:type="dxa"/>
            <w:vAlign w:val="center"/>
          </w:tcPr>
          <w:p>
            <w:pPr>
              <w:spacing w:line="360" w:lineRule="auto"/>
              <w:ind w:right="206" w:rightChars="98"/>
              <w:rPr>
                <w:rStyle w:val="137"/>
                <w:rFonts w:ascii="宋体" w:hAnsi="宋体" w:eastAsia="宋体"/>
                <w:color w:val="auto"/>
                <w:spacing w:val="10"/>
                <w:sz w:val="21"/>
                <w:szCs w:val="21"/>
                <w:highlight w:val="none"/>
                <w:lang w:val="zh-CN"/>
              </w:rPr>
            </w:pPr>
          </w:p>
        </w:tc>
      </w:tr>
    </w:tbl>
    <w:p>
      <w:pPr>
        <w:spacing w:line="360" w:lineRule="auto"/>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52"/>
        <w:tblW w:w="8429"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8429"/>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8429" w:type="dxa"/>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投标保证金银行汇款单复印件</w:t>
            </w:r>
          </w:p>
          <w:p>
            <w:pPr>
              <w:spacing w:line="360" w:lineRule="auto"/>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spacing w:line="360" w:lineRule="auto"/>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u w:val="single"/>
        </w:rPr>
        <w:t xml:space="preserve">         （公司名称）          </w:t>
      </w:r>
      <w:r>
        <w:rPr>
          <w:rFonts w:hint="eastAsia" w:ascii="宋体" w:hAnsi="宋体"/>
          <w:color w:val="auto"/>
          <w:szCs w:val="21"/>
          <w:highlight w:val="none"/>
        </w:rPr>
        <w:t>（盖公章）</w:t>
      </w:r>
    </w:p>
    <w:p>
      <w:pPr>
        <w:spacing w:line="360" w:lineRule="auto"/>
        <w:rPr>
          <w:rFonts w:ascii="宋体" w:hAnsi="宋体"/>
          <w:color w:val="auto"/>
          <w:szCs w:val="21"/>
          <w:highlight w:val="none"/>
        </w:rPr>
      </w:pPr>
      <w:r>
        <w:rPr>
          <w:rFonts w:hint="eastAsia" w:ascii="宋体" w:hAnsi="宋体"/>
          <w:color w:val="auto"/>
          <w:szCs w:val="21"/>
          <w:highlight w:val="none"/>
        </w:rPr>
        <w:t>日期：    年    月    日</w:t>
      </w:r>
    </w:p>
    <w:p>
      <w:pPr>
        <w:spacing w:line="360" w:lineRule="auto"/>
        <w:rPr>
          <w:rFonts w:ascii="宋体" w:hAnsi="宋体"/>
          <w:b/>
          <w:color w:val="auto"/>
          <w:szCs w:val="21"/>
          <w:highlight w:val="none"/>
        </w:rPr>
      </w:pPr>
      <w:r>
        <w:rPr>
          <w:rFonts w:hint="eastAsia" w:ascii="宋体" w:hAnsi="宋体"/>
          <w:b/>
          <w:color w:val="auto"/>
          <w:szCs w:val="21"/>
          <w:highlight w:val="none"/>
        </w:rPr>
        <w:t>注：本退付书原件须放入唱标信封内。</w:t>
      </w:r>
    </w:p>
    <w:p>
      <w:pPr>
        <w:spacing w:line="360" w:lineRule="auto"/>
        <w:rPr>
          <w:rFonts w:ascii="宋体" w:hAnsi="宋体"/>
          <w:b/>
          <w:color w:val="auto"/>
          <w:szCs w:val="21"/>
          <w:highlight w:val="none"/>
        </w:rPr>
      </w:pPr>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52"/>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8"/>
          <w:szCs w:val="28"/>
          <w:highlight w:val="none"/>
        </w:rPr>
      </w:pPr>
    </w:p>
    <w:p>
      <w:pPr>
        <w:spacing w:line="360" w:lineRule="auto"/>
        <w:jc w:val="center"/>
        <w:rPr>
          <w:rFonts w:hint="eastAsia" w:ascii="宋体" w:hAnsi="宋体"/>
          <w:b/>
          <w:color w:val="auto"/>
          <w:sz w:val="28"/>
          <w:szCs w:val="28"/>
          <w:highlight w:val="none"/>
        </w:rPr>
      </w:pPr>
    </w:p>
    <w:p>
      <w:pPr>
        <w:spacing w:line="360" w:lineRule="auto"/>
        <w:jc w:val="center"/>
        <w:rPr>
          <w:rFonts w:hint="eastAsia" w:ascii="宋体" w:hAnsi="宋体"/>
          <w:b/>
          <w:color w:val="auto"/>
          <w:sz w:val="28"/>
          <w:szCs w:val="28"/>
          <w:highlight w:val="none"/>
        </w:rPr>
      </w:pPr>
    </w:p>
    <w:p>
      <w:pPr>
        <w:spacing w:line="360" w:lineRule="auto"/>
        <w:jc w:val="center"/>
        <w:rPr>
          <w:rFonts w:hint="eastAsia" w:ascii="宋体" w:hAnsi="宋体"/>
          <w:b/>
          <w:color w:val="auto"/>
          <w:sz w:val="28"/>
          <w:szCs w:val="28"/>
          <w:highlight w:val="none"/>
        </w:rPr>
      </w:pPr>
    </w:p>
    <w:p>
      <w:pPr>
        <w:spacing w:line="360" w:lineRule="auto"/>
        <w:jc w:val="center"/>
        <w:rPr>
          <w:rFonts w:hint="eastAsia" w:ascii="宋体" w:hAnsi="宋体"/>
          <w:b/>
          <w:color w:val="auto"/>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询问函、质疑函格式</w:t>
      </w:r>
    </w:p>
    <w:p>
      <w:pPr>
        <w:pStyle w:val="46"/>
        <w:snapToGrid w:val="0"/>
        <w:spacing w:before="0" w:beforeAutospacing="0" w:after="0" w:afterAutospacing="0" w:line="360" w:lineRule="auto"/>
        <w:jc w:val="both"/>
        <w:rPr>
          <w:color w:val="auto"/>
          <w:sz w:val="21"/>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46"/>
        <w:snapToGrid w:val="0"/>
        <w:spacing w:before="0" w:beforeAutospacing="0" w:after="0" w:afterAutospacing="0" w:line="360" w:lineRule="auto"/>
        <w:jc w:val="both"/>
        <w:rPr>
          <w:color w:val="auto"/>
          <w:sz w:val="21"/>
          <w:szCs w:val="21"/>
          <w:highlight w:val="none"/>
        </w:rPr>
      </w:pPr>
    </w:p>
    <w:p>
      <w:pPr>
        <w:pStyle w:val="46"/>
        <w:snapToGrid w:val="0"/>
        <w:spacing w:before="0" w:beforeAutospacing="0" w:after="0" w:afterAutospacing="0" w:line="360" w:lineRule="auto"/>
        <w:jc w:val="both"/>
        <w:rPr>
          <w:color w:val="auto"/>
          <w:sz w:val="21"/>
          <w:szCs w:val="21"/>
          <w:highlight w:val="none"/>
        </w:rPr>
      </w:pPr>
      <w:r>
        <w:rPr>
          <w:rFonts w:hint="eastAsia"/>
          <w:color w:val="auto"/>
          <w:sz w:val="21"/>
          <w:szCs w:val="21"/>
          <w:highlight w:val="none"/>
        </w:rPr>
        <w:t>1：询问函格式</w:t>
      </w:r>
    </w:p>
    <w:p>
      <w:pPr>
        <w:pStyle w:val="46"/>
        <w:spacing w:before="0" w:beforeAutospacing="0" w:after="0" w:afterAutospacing="0" w:line="360" w:lineRule="auto"/>
        <w:jc w:val="center"/>
        <w:rPr>
          <w:rStyle w:val="55"/>
          <w:rFonts w:cs="Times New Roman"/>
          <w:b w:val="0"/>
          <w:color w:val="auto"/>
          <w:sz w:val="21"/>
          <w:szCs w:val="21"/>
          <w:highlight w:val="none"/>
        </w:rPr>
      </w:pPr>
      <w:r>
        <w:rPr>
          <w:rStyle w:val="55"/>
          <w:rFonts w:hint="eastAsia" w:cs="Times New Roman"/>
          <w:b w:val="0"/>
          <w:color w:val="auto"/>
          <w:sz w:val="21"/>
          <w:szCs w:val="21"/>
          <w:highlight w:val="none"/>
        </w:rPr>
        <w:t>询问函</w:t>
      </w:r>
    </w:p>
    <w:p>
      <w:pPr>
        <w:widowControl/>
        <w:tabs>
          <w:tab w:val="left" w:pos="6300"/>
        </w:tabs>
        <w:snapToGrid w:val="0"/>
        <w:spacing w:line="360" w:lineRule="auto"/>
        <w:jc w:val="left"/>
        <w:rPr>
          <w:rFonts w:ascii="宋体" w:hAnsi="宋体"/>
          <w:color w:val="auto"/>
          <w:szCs w:val="21"/>
          <w:highlight w:val="none"/>
        </w:rPr>
      </w:pPr>
      <w:r>
        <w:rPr>
          <w:rFonts w:hint="eastAsia" w:ascii="宋体" w:hAnsi="宋体"/>
          <w:color w:val="auto"/>
          <w:szCs w:val="21"/>
          <w:highlight w:val="none"/>
        </w:rPr>
        <w:t>广东业信采购招标有限公司：</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项目（采购文件编号：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一、_____________________（事项一）</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（1）____________________（问题或条款内容）</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（2）____________________（说明疑问或无法理解原因）</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（3）____________________（建议）</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二、_____________________（事项二）</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1260" w:firstLineChars="600"/>
        <w:jc w:val="left"/>
        <w:rPr>
          <w:rFonts w:ascii="宋体" w:hAnsi="宋体"/>
          <w:color w:val="auto"/>
          <w:szCs w:val="21"/>
          <w:highlight w:val="none"/>
        </w:rPr>
      </w:pPr>
      <w:r>
        <w:rPr>
          <w:rFonts w:hint="eastAsia" w:ascii="宋体" w:hAnsi="宋体"/>
          <w:color w:val="auto"/>
          <w:szCs w:val="21"/>
          <w:highlight w:val="none"/>
        </w:rPr>
        <w:t>询问人：（公章）</w:t>
      </w:r>
    </w:p>
    <w:p>
      <w:pPr>
        <w:widowControl/>
        <w:tabs>
          <w:tab w:val="left" w:pos="6300"/>
        </w:tabs>
        <w:snapToGrid w:val="0"/>
        <w:spacing w:line="360" w:lineRule="auto"/>
        <w:ind w:firstLine="1260" w:firstLineChars="600"/>
        <w:jc w:val="left"/>
        <w:rPr>
          <w:rFonts w:ascii="宋体" w:hAnsi="宋体"/>
          <w:color w:val="auto"/>
          <w:szCs w:val="21"/>
          <w:highlight w:val="none"/>
        </w:rPr>
      </w:pPr>
      <w:r>
        <w:rPr>
          <w:rFonts w:hint="eastAsia" w:ascii="宋体" w:hAnsi="宋体"/>
          <w:color w:val="auto"/>
          <w:szCs w:val="21"/>
          <w:highlight w:val="none"/>
        </w:rPr>
        <w:t>法定代表人（负责人）（授权代表）：</w:t>
      </w:r>
    </w:p>
    <w:p>
      <w:pPr>
        <w:tabs>
          <w:tab w:val="left" w:pos="6300"/>
        </w:tabs>
        <w:snapToGrid w:val="0"/>
        <w:spacing w:line="360" w:lineRule="auto"/>
        <w:ind w:firstLine="1260" w:firstLineChars="600"/>
        <w:jc w:val="left"/>
        <w:rPr>
          <w:rFonts w:ascii="宋体" w:hAnsi="宋体"/>
          <w:color w:val="auto"/>
          <w:szCs w:val="21"/>
          <w:highlight w:val="none"/>
        </w:rPr>
      </w:pPr>
      <w:r>
        <w:rPr>
          <w:rFonts w:hint="eastAsia" w:ascii="宋体" w:hAnsi="宋体"/>
          <w:color w:val="auto"/>
          <w:szCs w:val="21"/>
          <w:highlight w:val="none"/>
        </w:rPr>
        <w:t>地址/邮编：</w:t>
      </w:r>
    </w:p>
    <w:p>
      <w:pPr>
        <w:tabs>
          <w:tab w:val="left" w:pos="6300"/>
        </w:tabs>
        <w:snapToGrid w:val="0"/>
        <w:spacing w:line="360" w:lineRule="auto"/>
        <w:ind w:firstLine="1260" w:firstLineChars="600"/>
        <w:jc w:val="left"/>
        <w:rPr>
          <w:rFonts w:ascii="宋体" w:hAnsi="宋体"/>
          <w:color w:val="auto"/>
          <w:szCs w:val="21"/>
          <w:highlight w:val="none"/>
        </w:rPr>
      </w:pPr>
      <w:r>
        <w:rPr>
          <w:rFonts w:hint="eastAsia" w:ascii="宋体" w:hAnsi="宋体"/>
          <w:color w:val="auto"/>
          <w:szCs w:val="21"/>
          <w:highlight w:val="none"/>
        </w:rPr>
        <w:t>电话/传真：</w:t>
      </w:r>
    </w:p>
    <w:p>
      <w:pPr>
        <w:tabs>
          <w:tab w:val="left" w:pos="6300"/>
        </w:tabs>
        <w:snapToGrid w:val="0"/>
        <w:spacing w:line="360" w:lineRule="auto"/>
        <w:ind w:firstLine="1260" w:firstLineChars="600"/>
        <w:jc w:val="left"/>
        <w:rPr>
          <w:rFonts w:ascii="宋体" w:hAnsi="宋体"/>
          <w:color w:val="auto"/>
          <w:szCs w:val="21"/>
          <w:highlight w:val="none"/>
        </w:rPr>
      </w:pPr>
    </w:p>
    <w:p>
      <w:pPr>
        <w:tabs>
          <w:tab w:val="left" w:pos="6300"/>
        </w:tabs>
        <w:snapToGrid w:val="0"/>
        <w:spacing w:line="360" w:lineRule="auto"/>
        <w:ind w:firstLine="1260" w:firstLineChars="600"/>
        <w:jc w:val="left"/>
        <w:rPr>
          <w:rFonts w:ascii="宋体" w:hAnsi="宋体"/>
          <w:color w:val="auto"/>
          <w:szCs w:val="21"/>
          <w:highlight w:val="none"/>
        </w:rPr>
      </w:pPr>
    </w:p>
    <w:p>
      <w:pPr>
        <w:spacing w:line="360" w:lineRule="auto"/>
        <w:jc w:val="right"/>
        <w:rPr>
          <w:rFonts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napToGrid w:val="0"/>
        <w:spacing w:line="360" w:lineRule="auto"/>
        <w:ind w:firstLine="378" w:firstLineChars="180"/>
        <w:rPr>
          <w:rFonts w:ascii="宋体" w:hAnsi="宋体"/>
          <w:color w:val="auto"/>
          <w:szCs w:val="21"/>
          <w:highlight w:val="none"/>
        </w:rPr>
      </w:pPr>
    </w:p>
    <w:p>
      <w:pPr>
        <w:pStyle w:val="46"/>
        <w:adjustRightInd w:val="0"/>
        <w:snapToGrid w:val="0"/>
        <w:spacing w:before="0" w:beforeAutospacing="0" w:after="0" w:afterAutospacing="0" w:line="360" w:lineRule="auto"/>
        <w:jc w:val="both"/>
        <w:rPr>
          <w:color w:val="auto"/>
          <w:sz w:val="21"/>
          <w:szCs w:val="21"/>
          <w:highlight w:val="none"/>
        </w:rPr>
      </w:pPr>
      <w:r>
        <w:rPr>
          <w:rFonts w:hint="eastAsia"/>
          <w:color w:val="auto"/>
          <w:sz w:val="21"/>
          <w:szCs w:val="21"/>
          <w:highlight w:val="none"/>
        </w:rPr>
        <w:br w:type="page"/>
      </w:r>
      <w:r>
        <w:rPr>
          <w:rFonts w:hint="eastAsia"/>
          <w:color w:val="auto"/>
          <w:sz w:val="21"/>
          <w:szCs w:val="21"/>
          <w:highlight w:val="none"/>
        </w:rPr>
        <w:t>2：质疑函格式</w:t>
      </w:r>
    </w:p>
    <w:p>
      <w:pPr>
        <w:pStyle w:val="46"/>
        <w:spacing w:before="0" w:beforeAutospacing="0" w:after="0" w:afterAutospacing="0" w:line="360" w:lineRule="auto"/>
        <w:jc w:val="center"/>
        <w:rPr>
          <w:rStyle w:val="55"/>
          <w:rFonts w:cs="Times New Roman"/>
          <w:b w:val="0"/>
          <w:color w:val="auto"/>
          <w:sz w:val="21"/>
          <w:szCs w:val="21"/>
          <w:highlight w:val="none"/>
        </w:rPr>
      </w:pPr>
      <w:r>
        <w:rPr>
          <w:rStyle w:val="55"/>
          <w:rFonts w:hint="eastAsia" w:cs="Times New Roman"/>
          <w:b w:val="0"/>
          <w:color w:val="auto"/>
          <w:sz w:val="21"/>
          <w:szCs w:val="21"/>
          <w:highlight w:val="none"/>
        </w:rPr>
        <w:t>质疑函</w:t>
      </w:r>
    </w:p>
    <w:p>
      <w:pPr>
        <w:adjustRightInd w:val="0"/>
        <w:snapToGrid w:val="0"/>
        <w:spacing w:beforeLines="100" w:line="360" w:lineRule="auto"/>
        <w:rPr>
          <w:rFonts w:ascii="宋体" w:hAnsi="宋体" w:cs="仿宋"/>
          <w:bCs/>
          <w:color w:val="auto"/>
          <w:szCs w:val="21"/>
          <w:highlight w:val="none"/>
        </w:rPr>
      </w:pPr>
      <w:r>
        <w:rPr>
          <w:rFonts w:hint="eastAsia" w:ascii="宋体" w:hAnsi="宋体" w:cs="仿宋"/>
          <w:bCs/>
          <w:color w:val="auto"/>
          <w:szCs w:val="21"/>
          <w:highlight w:val="none"/>
        </w:rPr>
        <w:t>一、质疑供应商基本信息</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质疑供应商：</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地址：</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邮编：</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联系人：</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联系电话：</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授权代表：</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联系电话：</w:t>
      </w:r>
      <w:r>
        <w:rPr>
          <w:rFonts w:hint="eastAsia" w:ascii="宋体" w:hAnsi="宋体" w:cs="仿宋"/>
          <w:color w:val="auto"/>
          <w:szCs w:val="21"/>
          <w:highlight w:val="none"/>
          <w:u w:val="dotted"/>
        </w:rPr>
        <w:t xml:space="preserve">                                           </w:t>
      </w:r>
      <w:r>
        <w:rPr>
          <w:rFonts w:ascii="宋体" w:hAnsi="宋体" w:cs="仿宋"/>
          <w:color w:val="auto"/>
          <w:szCs w:val="21"/>
          <w:highlight w:val="none"/>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地址：</w:t>
      </w:r>
      <w:r>
        <w:rPr>
          <w:rFonts w:ascii="宋体" w:hAnsi="宋体" w:cs="仿宋"/>
          <w:color w:val="auto"/>
          <w:szCs w:val="21"/>
          <w:highlight w:val="none"/>
        </w:rPr>
        <w:t xml:space="preserve"> </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邮编：</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bCs/>
          <w:color w:val="auto"/>
          <w:szCs w:val="21"/>
          <w:highlight w:val="none"/>
        </w:rPr>
      </w:pPr>
      <w:r>
        <w:rPr>
          <w:rFonts w:hint="eastAsia" w:ascii="宋体" w:hAnsi="宋体" w:cs="仿宋"/>
          <w:bCs/>
          <w:color w:val="auto"/>
          <w:szCs w:val="21"/>
          <w:highlight w:val="none"/>
        </w:rPr>
        <w:t>二、质疑项目基本情况</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质疑项目的名称：</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质疑项目的编号：</w:t>
      </w:r>
      <w:r>
        <w:rPr>
          <w:rFonts w:hint="eastAsia" w:ascii="宋体" w:hAnsi="宋体" w:cs="仿宋"/>
          <w:color w:val="auto"/>
          <w:szCs w:val="21"/>
          <w:highlight w:val="none"/>
          <w:u w:val="dotted"/>
        </w:rPr>
        <w:t xml:space="preserve">               </w:t>
      </w:r>
      <w:r>
        <w:rPr>
          <w:rFonts w:hint="eastAsia" w:ascii="宋体" w:hAnsi="宋体" w:cs="仿宋"/>
          <w:color w:val="auto"/>
          <w:szCs w:val="21"/>
          <w:highlight w:val="none"/>
        </w:rPr>
        <w:t>包号：</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采购人名称：</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采购文件获取日期：</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bCs/>
          <w:color w:val="auto"/>
          <w:szCs w:val="21"/>
          <w:highlight w:val="none"/>
        </w:rPr>
      </w:pPr>
      <w:r>
        <w:rPr>
          <w:rFonts w:hint="eastAsia" w:ascii="宋体" w:hAnsi="宋体" w:cs="仿宋"/>
          <w:bCs/>
          <w:color w:val="auto"/>
          <w:szCs w:val="21"/>
          <w:highlight w:val="none"/>
        </w:rPr>
        <w:t>三、质疑事项具体内容</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质疑事项1：</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事实依据：</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法律依据：</w:t>
      </w: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u w:val="dotted"/>
        </w:rPr>
        <w:t xml:space="preserve">                                                     </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质疑事项2</w:t>
      </w:r>
    </w:p>
    <w:p>
      <w:pPr>
        <w:adjustRightInd w:val="0"/>
        <w:snapToGrid w:val="0"/>
        <w:spacing w:line="360" w:lineRule="auto"/>
        <w:rPr>
          <w:rFonts w:ascii="宋体" w:hAnsi="宋体" w:cs="仿宋"/>
          <w:color w:val="auto"/>
          <w:szCs w:val="21"/>
          <w:highlight w:val="none"/>
        </w:rPr>
      </w:pPr>
      <w:r>
        <w:rPr>
          <w:rFonts w:hint="eastAsia" w:ascii="宋体" w:hAnsi="宋体" w:cs="仿宋"/>
          <w:color w:val="auto"/>
          <w:szCs w:val="21"/>
          <w:highlight w:val="none"/>
        </w:rPr>
        <w:t>……</w:t>
      </w:r>
    </w:p>
    <w:p>
      <w:pPr>
        <w:adjustRightInd w:val="0"/>
        <w:snapToGrid w:val="0"/>
        <w:spacing w:line="360" w:lineRule="auto"/>
        <w:rPr>
          <w:rFonts w:ascii="宋体" w:hAnsi="宋体" w:cs="仿宋"/>
          <w:bCs/>
          <w:color w:val="auto"/>
          <w:szCs w:val="21"/>
          <w:highlight w:val="none"/>
        </w:rPr>
      </w:pPr>
      <w:r>
        <w:rPr>
          <w:rFonts w:hint="eastAsia" w:ascii="宋体" w:hAnsi="宋体" w:cs="仿宋"/>
          <w:bCs/>
          <w:color w:val="auto"/>
          <w:szCs w:val="21"/>
          <w:highlight w:val="none"/>
        </w:rPr>
        <w:t>四、与质疑事项相关的质疑请求</w:t>
      </w:r>
    </w:p>
    <w:p>
      <w:pPr>
        <w:adjustRightInd w:val="0"/>
        <w:snapToGrid w:val="0"/>
        <w:spacing w:line="360" w:lineRule="auto"/>
        <w:rPr>
          <w:rFonts w:ascii="宋体" w:hAnsi="宋体" w:cs="仿宋"/>
          <w:color w:val="auto"/>
          <w:szCs w:val="21"/>
          <w:highlight w:val="none"/>
          <w:u w:val="dotted"/>
        </w:rPr>
      </w:pPr>
      <w:r>
        <w:rPr>
          <w:rFonts w:hint="eastAsia" w:ascii="宋体" w:hAnsi="宋体" w:cs="仿宋"/>
          <w:color w:val="auto"/>
          <w:szCs w:val="21"/>
          <w:highlight w:val="none"/>
        </w:rPr>
        <w:t>请求：</w:t>
      </w:r>
      <w:r>
        <w:rPr>
          <w:rFonts w:hint="eastAsia" w:ascii="宋体" w:hAnsi="宋体" w:cs="仿宋"/>
          <w:color w:val="auto"/>
          <w:szCs w:val="21"/>
          <w:highlight w:val="none"/>
          <w:u w:val="dotted"/>
        </w:rPr>
        <w:t xml:space="preserve">                                               </w:t>
      </w:r>
    </w:p>
    <w:p>
      <w:pPr>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 xml:space="preserve">签字(签章)：                   公章：                      </w:t>
      </w:r>
    </w:p>
    <w:p>
      <w:pPr>
        <w:rPr>
          <w:rFonts w:ascii="宋体" w:hAnsi="宋体"/>
          <w:color w:val="auto"/>
          <w:szCs w:val="21"/>
          <w:highlight w:val="none"/>
        </w:rPr>
      </w:pPr>
    </w:p>
    <w:p>
      <w:pPr>
        <w:rPr>
          <w:rFonts w:ascii="宋体" w:hAnsi="宋体"/>
          <w:color w:val="auto"/>
          <w:szCs w:val="21"/>
          <w:highlight w:val="none"/>
        </w:rPr>
      </w:pPr>
      <w:r>
        <w:rPr>
          <w:rFonts w:hint="eastAsia" w:ascii="宋体" w:hAnsi="宋体"/>
          <w:color w:val="auto"/>
          <w:szCs w:val="21"/>
          <w:highlight w:val="none"/>
        </w:rPr>
        <w:t xml:space="preserve">日期：    </w:t>
      </w:r>
    </w:p>
    <w:p>
      <w:pPr>
        <w:adjustRightInd w:val="0"/>
        <w:snapToGrid w:val="0"/>
        <w:spacing w:line="360" w:lineRule="auto"/>
        <w:rPr>
          <w:rFonts w:ascii="宋体" w:hAnsi="宋体" w:cs="仿宋"/>
          <w:color w:val="auto"/>
          <w:szCs w:val="21"/>
          <w:highlight w:val="none"/>
        </w:rPr>
      </w:pPr>
    </w:p>
    <w:p>
      <w:pPr>
        <w:adjustRightInd w:val="0"/>
        <w:snapToGrid w:val="0"/>
        <w:spacing w:line="360" w:lineRule="auto"/>
        <w:rPr>
          <w:rFonts w:ascii="宋体" w:hAnsi="宋体" w:cs="仿宋"/>
          <w:color w:val="auto"/>
          <w:szCs w:val="21"/>
          <w:highlight w:val="none"/>
        </w:rPr>
      </w:pPr>
    </w:p>
    <w:p>
      <w:pPr>
        <w:adjustRightInd w:val="0"/>
        <w:snapToGrid w:val="0"/>
        <w:spacing w:line="360" w:lineRule="auto"/>
        <w:rPr>
          <w:rFonts w:ascii="宋体" w:hAnsi="宋体" w:cs="仿宋"/>
          <w:color w:val="auto"/>
          <w:szCs w:val="21"/>
          <w:highlight w:val="none"/>
        </w:rPr>
      </w:pPr>
    </w:p>
    <w:p>
      <w:pPr>
        <w:adjustRightInd w:val="0"/>
        <w:snapToGrid w:val="0"/>
        <w:spacing w:line="360" w:lineRule="auto"/>
        <w:rPr>
          <w:rFonts w:ascii="宋体" w:hAnsi="宋体" w:cs="仿宋"/>
          <w:color w:val="auto"/>
          <w:szCs w:val="21"/>
          <w:highlight w:val="none"/>
        </w:rPr>
      </w:pPr>
    </w:p>
    <w:p>
      <w:pPr>
        <w:adjustRightInd w:val="0"/>
        <w:snapToGrid w:val="0"/>
        <w:spacing w:line="360" w:lineRule="auto"/>
        <w:rPr>
          <w:rFonts w:ascii="宋体" w:hAnsi="宋体" w:cs="仿宋"/>
          <w:color w:val="auto"/>
          <w:szCs w:val="21"/>
          <w:highlight w:val="none"/>
        </w:rPr>
      </w:pPr>
    </w:p>
    <w:p>
      <w:pPr>
        <w:adjustRightInd w:val="0"/>
        <w:snapToGrid w:val="0"/>
        <w:spacing w:line="360" w:lineRule="auto"/>
        <w:rPr>
          <w:rFonts w:ascii="宋体" w:hAnsi="宋体" w:cs="仿宋"/>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spacing w:line="360" w:lineRule="auto"/>
        <w:ind w:firstLine="420" w:firstLineChars="200"/>
        <w:rPr>
          <w:rFonts w:ascii="宋体" w:hAnsi="宋体"/>
          <w:b/>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spacing w:line="360" w:lineRule="auto"/>
        <w:rPr>
          <w:rFonts w:ascii="宋体" w:hAnsi="宋体"/>
          <w:b/>
          <w:color w:val="auto"/>
          <w:szCs w:val="21"/>
          <w:highlight w:val="none"/>
        </w:rPr>
      </w:pPr>
    </w:p>
    <w:sectPr>
      <w:headerReference r:id="rId1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Arial">
    <w:panose1 w:val="020B0604020202020204"/>
    <w:charset w:val="00"/>
    <w:family w:val="auto"/>
    <w:pitch w:val="default"/>
    <w:sig w:usb0="E0002EFF" w:usb1="C000785B" w:usb2="00000009" w:usb3="00000000" w:csb0="400001FF" w:csb1="FFFF0000"/>
  </w:font>
  <w:font w:name="华文楷体">
    <w:altName w:val="宋体"/>
    <w:panose1 w:val="02010600040101010101"/>
    <w:charset w:val="86"/>
    <w:family w:val="auto"/>
    <w:pitch w:val="default"/>
    <w:sig w:usb0="00000000" w:usb1="00000000" w:usb2="00000000" w:usb3="00000000" w:csb0="0004009F" w:csb1="DFD70000"/>
  </w:font>
  <w:font w:name="Heiti SC Light">
    <w:altName w:val="宋体"/>
    <w:panose1 w:val="02000000000000000000"/>
    <w:charset w:val="86"/>
    <w:family w:val="roman"/>
    <w:pitch w:val="default"/>
    <w:sig w:usb0="00000000" w:usb1="00000000" w:usb2="00000000" w:usb3="00000000" w:csb0="203E0000"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6"/>
      </w:rPr>
    </w:pPr>
    <w:r>
      <w:fldChar w:fldCharType="begin"/>
    </w:r>
    <w:r>
      <w:rPr>
        <w:rStyle w:val="56"/>
      </w:rPr>
      <w:instrText xml:space="preserve">PAGE  </w:instrText>
    </w:r>
    <w:r>
      <w:fldChar w:fldCharType="end"/>
    </w:r>
  </w:p>
  <w:p>
    <w:pPr>
      <w:pStyle w:val="3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53</w:t>
    </w:r>
    <w:r>
      <w:rPr>
        <w:szCs w:val="21"/>
      </w:rPr>
      <w:fldChar w:fldCharType="end"/>
    </w:r>
    <w:r>
      <w:rPr>
        <w:rFonts w:hint="eastAsia"/>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33</w:t>
    </w:r>
    <w:r>
      <w:rPr>
        <w:szCs w:val="21"/>
      </w:rPr>
      <w:fldChar w:fldCharType="end"/>
    </w:r>
    <w:r>
      <w:rPr>
        <w:rFonts w:hint="eastAsia"/>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45</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45</w:t>
    </w:r>
    <w:r>
      <w:rPr>
        <w:szCs w:val="21"/>
      </w:rPr>
      <w:fldChar w:fldCharType="end"/>
    </w:r>
    <w:r>
      <w:rPr>
        <w:rFonts w:hint="eastAsia"/>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5F963"/>
    <w:multiLevelType w:val="singleLevel"/>
    <w:tmpl w:val="D695F963"/>
    <w:lvl w:ilvl="0" w:tentative="0">
      <w:start w:val="1"/>
      <w:numFmt w:val="decimal"/>
      <w:suff w:val="nothing"/>
      <w:lvlText w:val="%1）"/>
      <w:lvlJc w:val="left"/>
    </w:lvl>
  </w:abstractNum>
  <w:abstractNum w:abstractNumId="1">
    <w:nsid w:val="00000009"/>
    <w:multiLevelType w:val="singleLevel"/>
    <w:tmpl w:val="00000009"/>
    <w:lvl w:ilvl="0" w:tentative="0">
      <w:start w:val="1"/>
      <w:numFmt w:val="bullet"/>
      <w:pStyle w:val="287"/>
      <w:lvlText w:val=""/>
      <w:lvlJc w:val="left"/>
      <w:pPr>
        <w:tabs>
          <w:tab w:val="left" w:pos="360"/>
        </w:tabs>
        <w:ind w:left="360" w:hanging="360"/>
      </w:pPr>
      <w:rPr>
        <w:rFonts w:hint="default" w:ascii="Wingdings" w:hAnsi="Wingdings"/>
      </w:rPr>
    </w:lvl>
  </w:abstractNum>
  <w:abstractNum w:abstractNumId="2">
    <w:nsid w:val="0000000A"/>
    <w:multiLevelType w:val="multilevel"/>
    <w:tmpl w:val="0000000A"/>
    <w:lvl w:ilvl="0" w:tentative="0">
      <w:start w:val="1"/>
      <w:numFmt w:val="decimal"/>
      <w:lvlText w:val="（%1）"/>
      <w:lvlJc w:val="left"/>
      <w:pPr>
        <w:tabs>
          <w:tab w:val="left" w:pos="1275"/>
        </w:tabs>
        <w:ind w:left="1275" w:hanging="855"/>
      </w:pPr>
      <w:rPr>
        <w:rFonts w:hint="eastAsia"/>
      </w:rPr>
    </w:lvl>
    <w:lvl w:ilvl="1" w:tentative="0">
      <w:start w:val="1"/>
      <w:numFmt w:val="decimal"/>
      <w:pStyle w:val="175"/>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C"/>
    <w:multiLevelType w:val="singleLevel"/>
    <w:tmpl w:val="0000000C"/>
    <w:lvl w:ilvl="0" w:tentative="0">
      <w:start w:val="1"/>
      <w:numFmt w:val="decimal"/>
      <w:pStyle w:val="328"/>
      <w:lvlText w:val="%1."/>
      <w:lvlJc w:val="left"/>
      <w:pPr>
        <w:tabs>
          <w:tab w:val="left" w:pos="360"/>
        </w:tabs>
        <w:ind w:left="360" w:hanging="360"/>
      </w:pPr>
    </w:lvl>
  </w:abstractNum>
  <w:abstractNum w:abstractNumId="4">
    <w:nsid w:val="0000000E"/>
    <w:multiLevelType w:val="multilevel"/>
    <w:tmpl w:val="0000000E"/>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24"/>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singleLevel"/>
    <w:tmpl w:val="0000000F"/>
    <w:lvl w:ilvl="0" w:tentative="0">
      <w:start w:val="1"/>
      <w:numFmt w:val="decimal"/>
      <w:pStyle w:val="29"/>
      <w:lvlText w:val="%1."/>
      <w:lvlJc w:val="left"/>
      <w:pPr>
        <w:tabs>
          <w:tab w:val="left" w:pos="425"/>
        </w:tabs>
        <w:ind w:left="425" w:hanging="425"/>
      </w:pPr>
      <w:rPr>
        <w:rFonts w:hint="eastAsia"/>
      </w:rPr>
    </w:lvl>
  </w:abstractNum>
  <w:abstractNum w:abstractNumId="6">
    <w:nsid w:val="00000010"/>
    <w:multiLevelType w:val="multilevel"/>
    <w:tmpl w:val="00000010"/>
    <w:lvl w:ilvl="0" w:tentative="0">
      <w:start w:val="1"/>
      <w:numFmt w:val="decimal"/>
      <w:pStyle w:val="19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1"/>
    <w:multiLevelType w:val="multilevel"/>
    <w:tmpl w:val="00000011"/>
    <w:lvl w:ilvl="0" w:tentative="0">
      <w:start w:val="1"/>
      <w:numFmt w:val="decimal"/>
      <w:pStyle w:val="172"/>
      <w:lvlText w:val="%1. "/>
      <w:lvlJc w:val="left"/>
      <w:pPr>
        <w:tabs>
          <w:tab w:val="left" w:pos="839"/>
        </w:tabs>
        <w:ind w:left="839" w:hanging="419"/>
      </w:pPr>
    </w:lvl>
    <w:lvl w:ilvl="1" w:tentative="0">
      <w:start w:val="1"/>
      <w:numFmt w:val="upperLetter"/>
      <w:pStyle w:val="186"/>
      <w:lvlText w:val="%2. "/>
      <w:lvlJc w:val="left"/>
      <w:pPr>
        <w:tabs>
          <w:tab w:val="left" w:pos="1049"/>
        </w:tabs>
        <w:ind w:left="1049" w:hanging="420"/>
      </w:pPr>
    </w:lvl>
    <w:lvl w:ilvl="2" w:tentative="0">
      <w:start w:val="1"/>
      <w:numFmt w:val="lowerLetter"/>
      <w:pStyle w:val="245"/>
      <w:lvlText w:val="%3. "/>
      <w:lvlJc w:val="left"/>
      <w:pPr>
        <w:tabs>
          <w:tab w:val="left" w:pos="1259"/>
        </w:tabs>
        <w:ind w:left="1259" w:hanging="420"/>
      </w:pPr>
    </w:lvl>
    <w:lvl w:ilvl="3" w:tentative="0">
      <w:start w:val="1"/>
      <w:numFmt w:val="lowerLetter"/>
      <w:pStyle w:val="324"/>
      <w:lvlText w:val="%4) "/>
      <w:lvlJc w:val="left"/>
      <w:pPr>
        <w:tabs>
          <w:tab w:val="left" w:pos="1469"/>
        </w:tabs>
        <w:ind w:left="1469" w:hanging="420"/>
      </w:pPr>
    </w:lvl>
    <w:lvl w:ilvl="4" w:tentative="0">
      <w:start w:val="1"/>
      <w:numFmt w:val="none"/>
      <w:suff w:val="nothing"/>
      <w:lvlText w:val=""/>
      <w:lvlJc w:val="left"/>
      <w:pPr>
        <w:ind w:left="1259" w:firstLine="0"/>
      </w:pPr>
    </w:lvl>
    <w:lvl w:ilvl="5" w:tentative="0">
      <w:start w:val="1"/>
      <w:numFmt w:val="none"/>
      <w:suff w:val="nothing"/>
      <w:lvlText w:val=""/>
      <w:lvlJc w:val="left"/>
      <w:pPr>
        <w:ind w:left="1259" w:firstLine="0"/>
      </w:pPr>
    </w:lvl>
    <w:lvl w:ilvl="6" w:tentative="0">
      <w:start w:val="1"/>
      <w:numFmt w:val="none"/>
      <w:suff w:val="nothing"/>
      <w:lvlText w:val=""/>
      <w:lvlJc w:val="left"/>
      <w:pPr>
        <w:ind w:left="1259" w:firstLine="0"/>
      </w:pPr>
    </w:lvl>
    <w:lvl w:ilvl="7" w:tentative="0">
      <w:start w:val="1"/>
      <w:numFmt w:val="none"/>
      <w:suff w:val="nothing"/>
      <w:lvlText w:val=""/>
      <w:lvlJc w:val="left"/>
      <w:pPr>
        <w:ind w:left="1259" w:firstLine="0"/>
      </w:pPr>
    </w:lvl>
    <w:lvl w:ilvl="8" w:tentative="0">
      <w:start w:val="1"/>
      <w:numFmt w:val="none"/>
      <w:suff w:val="nothing"/>
      <w:lvlText w:val=""/>
      <w:lvlJc w:val="left"/>
      <w:pPr>
        <w:ind w:left="1259" w:firstLine="0"/>
      </w:pPr>
    </w:lvl>
  </w:abstractNum>
  <w:abstractNum w:abstractNumId="8">
    <w:nsid w:val="00000012"/>
    <w:multiLevelType w:val="multilevel"/>
    <w:tmpl w:val="00000012"/>
    <w:lvl w:ilvl="0" w:tentative="0">
      <w:start w:val="1"/>
      <w:numFmt w:val="decimal"/>
      <w:pStyle w:val="11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9">
    <w:nsid w:val="00000013"/>
    <w:multiLevelType w:val="singleLevel"/>
    <w:tmpl w:val="00000013"/>
    <w:lvl w:ilvl="0" w:tentative="0">
      <w:start w:val="1"/>
      <w:numFmt w:val="decimal"/>
      <w:pStyle w:val="254"/>
      <w:lvlText w:val="%1."/>
      <w:lvlJc w:val="left"/>
      <w:pPr>
        <w:tabs>
          <w:tab w:val="left" w:pos="2040"/>
        </w:tabs>
        <w:ind w:left="2040" w:hanging="360"/>
      </w:pPr>
    </w:lvl>
  </w:abstractNum>
  <w:abstractNum w:abstractNumId="10">
    <w:nsid w:val="00000014"/>
    <w:multiLevelType w:val="singleLevel"/>
    <w:tmpl w:val="00000014"/>
    <w:lvl w:ilvl="0" w:tentative="0">
      <w:start w:val="1"/>
      <w:numFmt w:val="bullet"/>
      <w:pStyle w:val="243"/>
      <w:lvlText w:val=""/>
      <w:lvlJc w:val="left"/>
      <w:pPr>
        <w:tabs>
          <w:tab w:val="left" w:pos="2040"/>
        </w:tabs>
        <w:ind w:left="2040" w:hanging="360"/>
      </w:pPr>
      <w:rPr>
        <w:rFonts w:hint="default" w:ascii="Wingdings" w:hAnsi="Wingdings"/>
      </w:rPr>
    </w:lvl>
  </w:abstractNum>
  <w:abstractNum w:abstractNumId="11">
    <w:nsid w:val="00000016"/>
    <w:multiLevelType w:val="multilevel"/>
    <w:tmpl w:val="00000016"/>
    <w:lvl w:ilvl="0" w:tentative="0">
      <w:start w:val="2"/>
      <w:numFmt w:val="decimal"/>
      <w:pStyle w:val="16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2">
    <w:nsid w:val="00000018"/>
    <w:multiLevelType w:val="multilevel"/>
    <w:tmpl w:val="00000018"/>
    <w:lvl w:ilvl="0" w:tentative="0">
      <w:start w:val="1"/>
      <w:numFmt w:val="decimal"/>
      <w:pStyle w:val="236"/>
      <w:lvlText w:val="%1)"/>
      <w:lvlJc w:val="left"/>
      <w:pPr>
        <w:tabs>
          <w:tab w:val="left" w:pos="420"/>
        </w:tabs>
        <w:ind w:left="420" w:hanging="420"/>
      </w:pPr>
    </w:lvl>
    <w:lvl w:ilvl="1" w:tentative="0">
      <w:start w:val="1"/>
      <w:numFmt w:val="lowerLetter"/>
      <w:pStyle w:val="101"/>
      <w:lvlText w:val="%2)"/>
      <w:lvlJc w:val="left"/>
      <w:pPr>
        <w:tabs>
          <w:tab w:val="left" w:pos="840"/>
        </w:tabs>
        <w:ind w:left="840" w:hanging="420"/>
      </w:pPr>
    </w:lvl>
    <w:lvl w:ilvl="2" w:tentative="0">
      <w:start w:val="1"/>
      <w:numFmt w:val="lowerRoman"/>
      <w:pStyle w:val="100"/>
      <w:lvlText w:val="%3."/>
      <w:lvlJc w:val="right"/>
      <w:pPr>
        <w:tabs>
          <w:tab w:val="left" w:pos="1260"/>
        </w:tabs>
        <w:ind w:left="1260" w:hanging="420"/>
      </w:pPr>
    </w:lvl>
    <w:lvl w:ilvl="3" w:tentative="0">
      <w:start w:val="1"/>
      <w:numFmt w:val="decimal"/>
      <w:pStyle w:val="223"/>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9"/>
    <w:multiLevelType w:val="singleLevel"/>
    <w:tmpl w:val="00000019"/>
    <w:lvl w:ilvl="0" w:tentative="0">
      <w:start w:val="1"/>
      <w:numFmt w:val="decimal"/>
      <w:pStyle w:val="342"/>
      <w:lvlText w:val="%1."/>
      <w:lvlJc w:val="left"/>
      <w:pPr>
        <w:tabs>
          <w:tab w:val="left" w:pos="1145"/>
        </w:tabs>
        <w:ind w:left="902" w:hanging="477"/>
      </w:pPr>
      <w:rPr>
        <w:rFonts w:hint="eastAsia"/>
      </w:rPr>
    </w:lvl>
  </w:abstractNum>
  <w:abstractNum w:abstractNumId="14">
    <w:nsid w:val="0000001A"/>
    <w:multiLevelType w:val="multilevel"/>
    <w:tmpl w:val="0000001A"/>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15">
    <w:nsid w:val="0000001B"/>
    <w:multiLevelType w:val="multilevel"/>
    <w:tmpl w:val="0000001B"/>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C"/>
    <w:multiLevelType w:val="singleLevel"/>
    <w:tmpl w:val="0000001C"/>
    <w:lvl w:ilvl="0" w:tentative="0">
      <w:start w:val="1"/>
      <w:numFmt w:val="decimal"/>
      <w:pStyle w:val="195"/>
      <w:lvlText w:val="%1."/>
      <w:lvlJc w:val="left"/>
      <w:pPr>
        <w:tabs>
          <w:tab w:val="left" w:pos="1200"/>
        </w:tabs>
        <w:ind w:left="1200" w:hanging="360"/>
      </w:pPr>
    </w:lvl>
  </w:abstractNum>
  <w:abstractNum w:abstractNumId="17">
    <w:nsid w:val="0000001D"/>
    <w:multiLevelType w:val="multilevel"/>
    <w:tmpl w:val="0000001D"/>
    <w:lvl w:ilvl="0" w:tentative="0">
      <w:start w:val="1"/>
      <w:numFmt w:val="bullet"/>
      <w:pStyle w:val="34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8">
    <w:nsid w:val="0000001E"/>
    <w:multiLevelType w:val="multilevel"/>
    <w:tmpl w:val="0000001E"/>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92"/>
      <w:suff w:val="space"/>
      <w:lvlText w:val="%1.%2.%3"/>
      <w:lvlJc w:val="left"/>
      <w:pPr>
        <w:tabs>
          <w:tab w:val="left" w:pos="1418"/>
        </w:tabs>
        <w:ind w:left="0" w:firstLine="0"/>
      </w:pPr>
    </w:lvl>
    <w:lvl w:ilvl="3" w:tentative="0">
      <w:start w:val="1"/>
      <w:numFmt w:val="decimal"/>
      <w:pStyle w:val="170"/>
      <w:suff w:val="space"/>
      <w:lvlText w:val="%1.%2.%3.%4"/>
      <w:lvlJc w:val="left"/>
      <w:pPr>
        <w:tabs>
          <w:tab w:val="left" w:pos="1984"/>
        </w:tabs>
        <w:ind w:left="0" w:firstLine="0"/>
      </w:pPr>
    </w:lvl>
    <w:lvl w:ilvl="4" w:tentative="0">
      <w:start w:val="1"/>
      <w:numFmt w:val="decimal"/>
      <w:pStyle w:val="206"/>
      <w:suff w:val="space"/>
      <w:lvlText w:val="%1.%2.%3.%4.%5"/>
      <w:lvlJc w:val="left"/>
      <w:pPr>
        <w:tabs>
          <w:tab w:val="left" w:pos="2551"/>
        </w:tabs>
        <w:ind w:left="0" w:firstLine="0"/>
      </w:pPr>
    </w:lvl>
    <w:lvl w:ilvl="5" w:tentative="0">
      <w:start w:val="1"/>
      <w:numFmt w:val="decimal"/>
      <w:pStyle w:val="259"/>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9">
    <w:nsid w:val="0000001F"/>
    <w:multiLevelType w:val="singleLevel"/>
    <w:tmpl w:val="0000001F"/>
    <w:lvl w:ilvl="0" w:tentative="0">
      <w:start w:val="1"/>
      <w:numFmt w:val="decimal"/>
      <w:lvlText w:val="%1."/>
      <w:lvlJc w:val="left"/>
      <w:pPr>
        <w:tabs>
          <w:tab w:val="left" w:pos="425"/>
        </w:tabs>
        <w:ind w:left="425" w:hanging="425"/>
      </w:pPr>
      <w:rPr>
        <w:rFonts w:hint="eastAsia" w:ascii="宋体" w:hAnsi="宋体" w:eastAsia="宋体"/>
      </w:rPr>
    </w:lvl>
  </w:abstractNum>
  <w:abstractNum w:abstractNumId="20">
    <w:nsid w:val="00000020"/>
    <w:multiLevelType w:val="multilevel"/>
    <w:tmpl w:val="00000020"/>
    <w:lvl w:ilvl="0" w:tentative="0">
      <w:start w:val="5"/>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21"/>
    <w:multiLevelType w:val="singleLevel"/>
    <w:tmpl w:val="00000021"/>
    <w:lvl w:ilvl="0" w:tentative="0">
      <w:start w:val="1"/>
      <w:numFmt w:val="bullet"/>
      <w:pStyle w:val="22"/>
      <w:lvlText w:val=""/>
      <w:lvlJc w:val="left"/>
      <w:pPr>
        <w:tabs>
          <w:tab w:val="left" w:pos="780"/>
        </w:tabs>
        <w:ind w:left="780" w:hanging="360"/>
      </w:pPr>
      <w:rPr>
        <w:rFonts w:hint="default" w:ascii="Wingdings" w:hAnsi="Wingdings"/>
      </w:rPr>
    </w:lvl>
  </w:abstractNum>
  <w:abstractNum w:abstractNumId="22">
    <w:nsid w:val="00000024"/>
    <w:multiLevelType w:val="multilevel"/>
    <w:tmpl w:val="00000024"/>
    <w:lvl w:ilvl="0" w:tentative="0">
      <w:start w:val="1"/>
      <w:numFmt w:val="decimal"/>
      <w:pStyle w:val="2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3">
    <w:nsid w:val="00000025"/>
    <w:multiLevelType w:val="singleLevel"/>
    <w:tmpl w:val="00000025"/>
    <w:lvl w:ilvl="0" w:tentative="0">
      <w:start w:val="1"/>
      <w:numFmt w:val="decimal"/>
      <w:pStyle w:val="239"/>
      <w:lvlText w:val="%1."/>
      <w:lvlJc w:val="left"/>
      <w:pPr>
        <w:tabs>
          <w:tab w:val="left" w:pos="1620"/>
        </w:tabs>
        <w:ind w:left="1620" w:hanging="360"/>
      </w:pPr>
    </w:lvl>
  </w:abstractNum>
  <w:abstractNum w:abstractNumId="24">
    <w:nsid w:val="00000027"/>
    <w:multiLevelType w:val="multilevel"/>
    <w:tmpl w:val="00000027"/>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331A306D"/>
    <w:multiLevelType w:val="multilevel"/>
    <w:tmpl w:val="331A306D"/>
    <w:lvl w:ilvl="0" w:tentative="0">
      <w:start w:val="1"/>
      <w:numFmt w:val="decimal"/>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6">
    <w:nsid w:val="44B0667B"/>
    <w:multiLevelType w:val="multilevel"/>
    <w:tmpl w:val="44B0667B"/>
    <w:lvl w:ilvl="0" w:tentative="0">
      <w:start w:val="1"/>
      <w:numFmt w:val="decimal"/>
      <w:lvlText w:val="%1、"/>
      <w:lvlJc w:val="left"/>
      <w:pPr>
        <w:tabs>
          <w:tab w:val="left" w:pos="1203"/>
        </w:tabs>
        <w:ind w:left="1203" w:hanging="360"/>
      </w:pPr>
      <w:rPr>
        <w:rFonts w:hint="default" w:ascii="宋体" w:hAnsi="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4"/>
  </w:num>
  <w:num w:numId="2">
    <w:abstractNumId w:val="21"/>
  </w:num>
  <w:num w:numId="3">
    <w:abstractNumId w:val="22"/>
  </w:num>
  <w:num w:numId="4">
    <w:abstractNumId w:val="5"/>
  </w:num>
  <w:num w:numId="5">
    <w:abstractNumId w:val="12"/>
  </w:num>
  <w:num w:numId="6">
    <w:abstractNumId w:val="8"/>
  </w:num>
  <w:num w:numId="7">
    <w:abstractNumId w:val="11"/>
  </w:num>
  <w:num w:numId="8">
    <w:abstractNumId w:val="18"/>
  </w:num>
  <w:num w:numId="9">
    <w:abstractNumId w:val="7"/>
  </w:num>
  <w:num w:numId="10">
    <w:abstractNumId w:val="2"/>
  </w:num>
  <w:num w:numId="11">
    <w:abstractNumId w:val="6"/>
  </w:num>
  <w:num w:numId="12">
    <w:abstractNumId w:val="16"/>
  </w:num>
  <w:num w:numId="13">
    <w:abstractNumId w:val="4"/>
  </w:num>
  <w:num w:numId="14">
    <w:abstractNumId w:val="23"/>
  </w:num>
  <w:num w:numId="15">
    <w:abstractNumId w:val="10"/>
  </w:num>
  <w:num w:numId="16">
    <w:abstractNumId w:val="9"/>
  </w:num>
  <w:num w:numId="17">
    <w:abstractNumId w:val="1"/>
  </w:num>
  <w:num w:numId="18">
    <w:abstractNumId w:val="3"/>
  </w:num>
  <w:num w:numId="19">
    <w:abstractNumId w:val="13"/>
  </w:num>
  <w:num w:numId="20">
    <w:abstractNumId w:val="17"/>
  </w:num>
  <w:num w:numId="21">
    <w:abstractNumId w:val="15"/>
  </w:num>
  <w:num w:numId="22">
    <w:abstractNumId w:val="20"/>
  </w:num>
  <w:num w:numId="23">
    <w:abstractNumId w:val="0"/>
  </w:num>
  <w:num w:numId="24">
    <w:abstractNumId w:val="25"/>
  </w:num>
  <w:num w:numId="25">
    <w:abstractNumId w:val="26"/>
  </w:num>
  <w:num w:numId="26">
    <w:abstractNumId w:val="24"/>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xODI4OGFlOTMzOWRmYmM1M2VkOWQwZDExYTJmYWEifQ=="/>
  </w:docVars>
  <w:rsids>
    <w:rsidRoot w:val="00172A27"/>
    <w:rsid w:val="00003715"/>
    <w:rsid w:val="00015EFC"/>
    <w:rsid w:val="00022A82"/>
    <w:rsid w:val="000351F0"/>
    <w:rsid w:val="00043F63"/>
    <w:rsid w:val="00044719"/>
    <w:rsid w:val="000545F6"/>
    <w:rsid w:val="000551CA"/>
    <w:rsid w:val="0006223B"/>
    <w:rsid w:val="00065D85"/>
    <w:rsid w:val="0007599D"/>
    <w:rsid w:val="00085289"/>
    <w:rsid w:val="00086AD4"/>
    <w:rsid w:val="000A02A9"/>
    <w:rsid w:val="000A6122"/>
    <w:rsid w:val="000B78E5"/>
    <w:rsid w:val="000C01BB"/>
    <w:rsid w:val="000D107A"/>
    <w:rsid w:val="000E04B0"/>
    <w:rsid w:val="000F5037"/>
    <w:rsid w:val="001177C2"/>
    <w:rsid w:val="00127F6A"/>
    <w:rsid w:val="00136D79"/>
    <w:rsid w:val="00145D46"/>
    <w:rsid w:val="00151D5C"/>
    <w:rsid w:val="00153512"/>
    <w:rsid w:val="00172A27"/>
    <w:rsid w:val="0017770B"/>
    <w:rsid w:val="001932CC"/>
    <w:rsid w:val="001A3E95"/>
    <w:rsid w:val="001A7A72"/>
    <w:rsid w:val="001B171D"/>
    <w:rsid w:val="001B2FD4"/>
    <w:rsid w:val="001B36A2"/>
    <w:rsid w:val="001C182A"/>
    <w:rsid w:val="001C7D6D"/>
    <w:rsid w:val="001D2131"/>
    <w:rsid w:val="001D4265"/>
    <w:rsid w:val="001E0218"/>
    <w:rsid w:val="001E0C1B"/>
    <w:rsid w:val="001E7BCE"/>
    <w:rsid w:val="001F6D8F"/>
    <w:rsid w:val="0020509E"/>
    <w:rsid w:val="00222B53"/>
    <w:rsid w:val="0023140D"/>
    <w:rsid w:val="00234769"/>
    <w:rsid w:val="0028241F"/>
    <w:rsid w:val="00283364"/>
    <w:rsid w:val="002935BB"/>
    <w:rsid w:val="00295DB3"/>
    <w:rsid w:val="002A2C48"/>
    <w:rsid w:val="002B07A0"/>
    <w:rsid w:val="002D6B63"/>
    <w:rsid w:val="00306744"/>
    <w:rsid w:val="00321E5F"/>
    <w:rsid w:val="00324222"/>
    <w:rsid w:val="00335E4A"/>
    <w:rsid w:val="00341880"/>
    <w:rsid w:val="003502B3"/>
    <w:rsid w:val="00355B82"/>
    <w:rsid w:val="00360111"/>
    <w:rsid w:val="0039067B"/>
    <w:rsid w:val="003B027A"/>
    <w:rsid w:val="003B0AFE"/>
    <w:rsid w:val="003B5A21"/>
    <w:rsid w:val="003B5E67"/>
    <w:rsid w:val="003D6964"/>
    <w:rsid w:val="003F3CB2"/>
    <w:rsid w:val="00402FD8"/>
    <w:rsid w:val="00420B8A"/>
    <w:rsid w:val="00424329"/>
    <w:rsid w:val="004315AB"/>
    <w:rsid w:val="004369FC"/>
    <w:rsid w:val="00440768"/>
    <w:rsid w:val="00474A02"/>
    <w:rsid w:val="00476C57"/>
    <w:rsid w:val="004917A7"/>
    <w:rsid w:val="00496944"/>
    <w:rsid w:val="004C23C7"/>
    <w:rsid w:val="004C65B0"/>
    <w:rsid w:val="004C6E50"/>
    <w:rsid w:val="00503F38"/>
    <w:rsid w:val="0053004E"/>
    <w:rsid w:val="00533BC8"/>
    <w:rsid w:val="0054003D"/>
    <w:rsid w:val="005511C6"/>
    <w:rsid w:val="005552B4"/>
    <w:rsid w:val="00566DB7"/>
    <w:rsid w:val="005752A1"/>
    <w:rsid w:val="0057745C"/>
    <w:rsid w:val="0059009C"/>
    <w:rsid w:val="0059146A"/>
    <w:rsid w:val="00592019"/>
    <w:rsid w:val="00597777"/>
    <w:rsid w:val="005A0C5D"/>
    <w:rsid w:val="005A5099"/>
    <w:rsid w:val="005D7F9C"/>
    <w:rsid w:val="00627224"/>
    <w:rsid w:val="006348F9"/>
    <w:rsid w:val="006433B8"/>
    <w:rsid w:val="00670FD0"/>
    <w:rsid w:val="00673A22"/>
    <w:rsid w:val="006A11E6"/>
    <w:rsid w:val="006F49A2"/>
    <w:rsid w:val="007052A3"/>
    <w:rsid w:val="00722460"/>
    <w:rsid w:val="00777915"/>
    <w:rsid w:val="00784E14"/>
    <w:rsid w:val="00797633"/>
    <w:rsid w:val="007C1727"/>
    <w:rsid w:val="007C24B2"/>
    <w:rsid w:val="007C26FA"/>
    <w:rsid w:val="007E59D4"/>
    <w:rsid w:val="007F44B6"/>
    <w:rsid w:val="008123D8"/>
    <w:rsid w:val="00827C44"/>
    <w:rsid w:val="008502BA"/>
    <w:rsid w:val="00863411"/>
    <w:rsid w:val="0086799B"/>
    <w:rsid w:val="00873084"/>
    <w:rsid w:val="00881EBB"/>
    <w:rsid w:val="00885134"/>
    <w:rsid w:val="00895107"/>
    <w:rsid w:val="00896D8E"/>
    <w:rsid w:val="008A23C4"/>
    <w:rsid w:val="008A37B3"/>
    <w:rsid w:val="008D24F3"/>
    <w:rsid w:val="008D2741"/>
    <w:rsid w:val="008E0973"/>
    <w:rsid w:val="008F44CD"/>
    <w:rsid w:val="009035E3"/>
    <w:rsid w:val="00912CA6"/>
    <w:rsid w:val="00915061"/>
    <w:rsid w:val="0092418F"/>
    <w:rsid w:val="00934E15"/>
    <w:rsid w:val="009534A7"/>
    <w:rsid w:val="00954327"/>
    <w:rsid w:val="009566D5"/>
    <w:rsid w:val="00977DB6"/>
    <w:rsid w:val="00984A80"/>
    <w:rsid w:val="009A07F1"/>
    <w:rsid w:val="009A5A4C"/>
    <w:rsid w:val="009B2FF3"/>
    <w:rsid w:val="009E6A50"/>
    <w:rsid w:val="009F5C05"/>
    <w:rsid w:val="00A00D54"/>
    <w:rsid w:val="00A05F94"/>
    <w:rsid w:val="00A217AC"/>
    <w:rsid w:val="00A21EBA"/>
    <w:rsid w:val="00A2271D"/>
    <w:rsid w:val="00A3140B"/>
    <w:rsid w:val="00A31DEE"/>
    <w:rsid w:val="00A36356"/>
    <w:rsid w:val="00A431A0"/>
    <w:rsid w:val="00A5681E"/>
    <w:rsid w:val="00A746D0"/>
    <w:rsid w:val="00A9202D"/>
    <w:rsid w:val="00A95744"/>
    <w:rsid w:val="00AA00AC"/>
    <w:rsid w:val="00AE359E"/>
    <w:rsid w:val="00AF7220"/>
    <w:rsid w:val="00B004AE"/>
    <w:rsid w:val="00B047C2"/>
    <w:rsid w:val="00B06AAE"/>
    <w:rsid w:val="00B15C14"/>
    <w:rsid w:val="00B37F75"/>
    <w:rsid w:val="00B4320B"/>
    <w:rsid w:val="00B44BA6"/>
    <w:rsid w:val="00B5114D"/>
    <w:rsid w:val="00B64C13"/>
    <w:rsid w:val="00B81D65"/>
    <w:rsid w:val="00B83610"/>
    <w:rsid w:val="00B9270F"/>
    <w:rsid w:val="00BC7ED8"/>
    <w:rsid w:val="00BE75FC"/>
    <w:rsid w:val="00BF7601"/>
    <w:rsid w:val="00C01F69"/>
    <w:rsid w:val="00C062D9"/>
    <w:rsid w:val="00C11ED5"/>
    <w:rsid w:val="00C133DC"/>
    <w:rsid w:val="00C14800"/>
    <w:rsid w:val="00C157E1"/>
    <w:rsid w:val="00C2614B"/>
    <w:rsid w:val="00C30816"/>
    <w:rsid w:val="00C34C74"/>
    <w:rsid w:val="00C36823"/>
    <w:rsid w:val="00C41A1B"/>
    <w:rsid w:val="00C43A8D"/>
    <w:rsid w:val="00C74BD8"/>
    <w:rsid w:val="00C75A7F"/>
    <w:rsid w:val="00CC284F"/>
    <w:rsid w:val="00CD0D7C"/>
    <w:rsid w:val="00CD348D"/>
    <w:rsid w:val="00D2469D"/>
    <w:rsid w:val="00D34D2C"/>
    <w:rsid w:val="00D44D99"/>
    <w:rsid w:val="00D45336"/>
    <w:rsid w:val="00D7340E"/>
    <w:rsid w:val="00DA67BE"/>
    <w:rsid w:val="00DB3973"/>
    <w:rsid w:val="00DC21F0"/>
    <w:rsid w:val="00DF5D8B"/>
    <w:rsid w:val="00E01359"/>
    <w:rsid w:val="00E07441"/>
    <w:rsid w:val="00E076D2"/>
    <w:rsid w:val="00E07C15"/>
    <w:rsid w:val="00E12ACA"/>
    <w:rsid w:val="00E23B70"/>
    <w:rsid w:val="00E410A6"/>
    <w:rsid w:val="00E52135"/>
    <w:rsid w:val="00E56839"/>
    <w:rsid w:val="00E66286"/>
    <w:rsid w:val="00E72CF2"/>
    <w:rsid w:val="00E8147C"/>
    <w:rsid w:val="00E957FD"/>
    <w:rsid w:val="00E96FDC"/>
    <w:rsid w:val="00EB0735"/>
    <w:rsid w:val="00EB0FB7"/>
    <w:rsid w:val="00EB1640"/>
    <w:rsid w:val="00EC10D8"/>
    <w:rsid w:val="00EC293F"/>
    <w:rsid w:val="00ED3E65"/>
    <w:rsid w:val="00EE1D0E"/>
    <w:rsid w:val="00EE3783"/>
    <w:rsid w:val="00F11B47"/>
    <w:rsid w:val="00F37254"/>
    <w:rsid w:val="00F401A0"/>
    <w:rsid w:val="00F4052C"/>
    <w:rsid w:val="00F44B52"/>
    <w:rsid w:val="00F451DC"/>
    <w:rsid w:val="00F50717"/>
    <w:rsid w:val="00F63276"/>
    <w:rsid w:val="00F6389E"/>
    <w:rsid w:val="00F714A3"/>
    <w:rsid w:val="00F7740A"/>
    <w:rsid w:val="00F81494"/>
    <w:rsid w:val="00F93CC1"/>
    <w:rsid w:val="00FA3136"/>
    <w:rsid w:val="00FB4F8E"/>
    <w:rsid w:val="00FB5933"/>
    <w:rsid w:val="00FC1758"/>
    <w:rsid w:val="00FD6B2A"/>
    <w:rsid w:val="00FE2BF1"/>
    <w:rsid w:val="00FF51C1"/>
    <w:rsid w:val="00FF58C2"/>
    <w:rsid w:val="0100429C"/>
    <w:rsid w:val="011F3681"/>
    <w:rsid w:val="01D96468"/>
    <w:rsid w:val="02B23F1E"/>
    <w:rsid w:val="046C420D"/>
    <w:rsid w:val="04E275D5"/>
    <w:rsid w:val="05BC68B0"/>
    <w:rsid w:val="05CC64B2"/>
    <w:rsid w:val="07474F91"/>
    <w:rsid w:val="08770394"/>
    <w:rsid w:val="09173EE8"/>
    <w:rsid w:val="09ED2E9B"/>
    <w:rsid w:val="0AE0030A"/>
    <w:rsid w:val="0B8764FD"/>
    <w:rsid w:val="0C462F47"/>
    <w:rsid w:val="0D5648B3"/>
    <w:rsid w:val="0D8B6C53"/>
    <w:rsid w:val="0EE956F7"/>
    <w:rsid w:val="0F262DEA"/>
    <w:rsid w:val="12E40351"/>
    <w:rsid w:val="13730200"/>
    <w:rsid w:val="16676611"/>
    <w:rsid w:val="1A7849EB"/>
    <w:rsid w:val="1B065B6B"/>
    <w:rsid w:val="1E796457"/>
    <w:rsid w:val="1F2367D1"/>
    <w:rsid w:val="2114292B"/>
    <w:rsid w:val="21432484"/>
    <w:rsid w:val="221D3B4A"/>
    <w:rsid w:val="23871054"/>
    <w:rsid w:val="25B52667"/>
    <w:rsid w:val="26474F15"/>
    <w:rsid w:val="26835D38"/>
    <w:rsid w:val="27A40BE5"/>
    <w:rsid w:val="28B9421C"/>
    <w:rsid w:val="29763EBB"/>
    <w:rsid w:val="2B3765A2"/>
    <w:rsid w:val="2FAA5E8A"/>
    <w:rsid w:val="2FC2125D"/>
    <w:rsid w:val="316A0071"/>
    <w:rsid w:val="31772EC7"/>
    <w:rsid w:val="34540C20"/>
    <w:rsid w:val="34A01C68"/>
    <w:rsid w:val="34BD5B76"/>
    <w:rsid w:val="35F14022"/>
    <w:rsid w:val="3784633D"/>
    <w:rsid w:val="37F05781"/>
    <w:rsid w:val="3C346CB0"/>
    <w:rsid w:val="3F6D76B7"/>
    <w:rsid w:val="406E20DB"/>
    <w:rsid w:val="43B43B06"/>
    <w:rsid w:val="43F202A8"/>
    <w:rsid w:val="44071E88"/>
    <w:rsid w:val="444B7E9D"/>
    <w:rsid w:val="458A55B2"/>
    <w:rsid w:val="462C207A"/>
    <w:rsid w:val="47D87B0B"/>
    <w:rsid w:val="48C80E81"/>
    <w:rsid w:val="4A500805"/>
    <w:rsid w:val="4A510301"/>
    <w:rsid w:val="4B027D48"/>
    <w:rsid w:val="4CEB2649"/>
    <w:rsid w:val="4D812A3A"/>
    <w:rsid w:val="4D822493"/>
    <w:rsid w:val="4EBE7F2F"/>
    <w:rsid w:val="501C4F0D"/>
    <w:rsid w:val="50D76FCF"/>
    <w:rsid w:val="53847836"/>
    <w:rsid w:val="538F3C48"/>
    <w:rsid w:val="53E2021C"/>
    <w:rsid w:val="55587C85"/>
    <w:rsid w:val="567C04B4"/>
    <w:rsid w:val="56B22645"/>
    <w:rsid w:val="57312CE3"/>
    <w:rsid w:val="57D14C92"/>
    <w:rsid w:val="5AA47FD9"/>
    <w:rsid w:val="5CD63E5D"/>
    <w:rsid w:val="5D5D7AB2"/>
    <w:rsid w:val="5E04700C"/>
    <w:rsid w:val="5EF93166"/>
    <w:rsid w:val="5F3C2ED6"/>
    <w:rsid w:val="5FB3660D"/>
    <w:rsid w:val="627B1F2A"/>
    <w:rsid w:val="6315416A"/>
    <w:rsid w:val="636E2764"/>
    <w:rsid w:val="64FC5595"/>
    <w:rsid w:val="64FD3107"/>
    <w:rsid w:val="65DD0843"/>
    <w:rsid w:val="6697642F"/>
    <w:rsid w:val="690F2D34"/>
    <w:rsid w:val="6BC464E2"/>
    <w:rsid w:val="6D9A3F7B"/>
    <w:rsid w:val="6E11552E"/>
    <w:rsid w:val="71495E20"/>
    <w:rsid w:val="71777D9E"/>
    <w:rsid w:val="72ED3BA3"/>
    <w:rsid w:val="75B025BC"/>
    <w:rsid w:val="75EF0D47"/>
    <w:rsid w:val="762A1882"/>
    <w:rsid w:val="78144598"/>
    <w:rsid w:val="78882890"/>
    <w:rsid w:val="78A37C84"/>
    <w:rsid w:val="7961380D"/>
    <w:rsid w:val="7AF456AE"/>
    <w:rsid w:val="7B24371D"/>
    <w:rsid w:val="7BB340C8"/>
    <w:rsid w:val="7BD22F5A"/>
    <w:rsid w:val="7C4676BA"/>
    <w:rsid w:val="7DEF74BD"/>
    <w:rsid w:val="7E8865C0"/>
    <w:rsid w:val="7EBB02E5"/>
    <w:rsid w:val="7FAE75AA"/>
    <w:rsid w:val="FE7B71EE"/>
    <w:rsid w:val="FEEEE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56"/>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84"/>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Cambria" w:hAnsi="Cambria"/>
      <w:b/>
      <w:bCs/>
      <w:sz w:val="32"/>
      <w:szCs w:val="32"/>
    </w:rPr>
  </w:style>
  <w:style w:type="paragraph" w:styleId="6">
    <w:name w:val="heading 3"/>
    <w:basedOn w:val="1"/>
    <w:next w:val="5"/>
    <w:link w:val="90"/>
    <w:qFormat/>
    <w:uiPriority w:val="0"/>
    <w:pPr>
      <w:keepNext/>
      <w:keepLines/>
      <w:widowControl/>
      <w:numPr>
        <w:ilvl w:val="2"/>
        <w:numId w:val="1"/>
      </w:numPr>
      <w:tabs>
        <w:tab w:val="left" w:pos="753"/>
        <w:tab w:val="clear" w:pos="432"/>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66"/>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5"/>
    <w:link w:val="149"/>
    <w:qFormat/>
    <w:uiPriority w:val="0"/>
    <w:pPr>
      <w:keepNext/>
      <w:keepLines/>
      <w:spacing w:before="280" w:after="290" w:line="376" w:lineRule="auto"/>
      <w:outlineLvl w:val="4"/>
    </w:pPr>
    <w:rPr>
      <w:b/>
      <w:sz w:val="28"/>
      <w:szCs w:val="20"/>
    </w:rPr>
  </w:style>
  <w:style w:type="paragraph" w:styleId="9">
    <w:name w:val="heading 6"/>
    <w:basedOn w:val="1"/>
    <w:next w:val="5"/>
    <w:link w:val="114"/>
    <w:qFormat/>
    <w:uiPriority w:val="0"/>
    <w:pPr>
      <w:keepNext/>
      <w:keepLines/>
      <w:spacing w:before="240" w:after="64" w:line="320" w:lineRule="auto"/>
      <w:outlineLvl w:val="5"/>
    </w:pPr>
    <w:rPr>
      <w:rFonts w:ascii="Arial" w:hAnsi="Arial" w:eastAsia="黑体"/>
      <w:b/>
      <w:bCs/>
      <w:sz w:val="24"/>
    </w:rPr>
  </w:style>
  <w:style w:type="paragraph" w:styleId="10">
    <w:name w:val="heading 7"/>
    <w:basedOn w:val="1"/>
    <w:next w:val="5"/>
    <w:link w:val="142"/>
    <w:qFormat/>
    <w:uiPriority w:val="0"/>
    <w:pPr>
      <w:keepNext/>
      <w:keepLines/>
      <w:spacing w:before="240" w:after="64" w:line="320" w:lineRule="auto"/>
      <w:outlineLvl w:val="6"/>
    </w:pPr>
    <w:rPr>
      <w:b/>
      <w:bCs/>
      <w:sz w:val="24"/>
    </w:rPr>
  </w:style>
  <w:style w:type="paragraph" w:styleId="11">
    <w:name w:val="heading 8"/>
    <w:basedOn w:val="1"/>
    <w:next w:val="5"/>
    <w:link w:val="122"/>
    <w:qFormat/>
    <w:uiPriority w:val="0"/>
    <w:pPr>
      <w:keepNext/>
      <w:keepLines/>
      <w:spacing w:before="240" w:after="64" w:line="320" w:lineRule="auto"/>
      <w:outlineLvl w:val="7"/>
    </w:pPr>
    <w:rPr>
      <w:rFonts w:ascii="Arial" w:hAnsi="Arial" w:eastAsia="黑体"/>
      <w:sz w:val="24"/>
    </w:rPr>
  </w:style>
  <w:style w:type="paragraph" w:styleId="12">
    <w:name w:val="heading 9"/>
    <w:basedOn w:val="1"/>
    <w:next w:val="5"/>
    <w:link w:val="97"/>
    <w:qFormat/>
    <w:uiPriority w:val="0"/>
    <w:pPr>
      <w:keepNext/>
      <w:keepLines/>
      <w:spacing w:before="240" w:after="64" w:line="320" w:lineRule="auto"/>
      <w:outlineLvl w:val="8"/>
    </w:pPr>
    <w:rPr>
      <w:rFonts w:ascii="Arial" w:hAnsi="Arial" w:eastAsia="黑体"/>
      <w:szCs w:val="21"/>
    </w:rPr>
  </w:style>
  <w:style w:type="character" w:default="1" w:styleId="54">
    <w:name w:val="Default Paragraph Font"/>
    <w:unhideWhenUsed/>
    <w:qFormat/>
    <w:uiPriority w:val="1"/>
  </w:style>
  <w:style w:type="table" w:default="1" w:styleId="52">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5">
    <w:name w:val="Normal Indent"/>
    <w:basedOn w:val="1"/>
    <w:link w:val="125"/>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link w:val="121"/>
    <w:qFormat/>
    <w:uiPriority w:val="0"/>
    <w:pPr>
      <w:spacing w:line="360" w:lineRule="auto"/>
    </w:pPr>
    <w:rPr>
      <w:rFonts w:ascii="Arial" w:hAnsi="Arial" w:eastAsia="黑体"/>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toa heading"/>
    <w:basedOn w:val="1"/>
    <w:next w:val="1"/>
    <w:qFormat/>
    <w:uiPriority w:val="0"/>
    <w:pPr>
      <w:spacing w:before="120"/>
    </w:pPr>
    <w:rPr>
      <w:rFonts w:ascii="Arial" w:hAnsi="Arial"/>
      <w:sz w:val="24"/>
      <w:szCs w:val="20"/>
    </w:rPr>
  </w:style>
  <w:style w:type="paragraph" w:styleId="18">
    <w:name w:val="annotation text"/>
    <w:basedOn w:val="1"/>
    <w:link w:val="73"/>
    <w:qFormat/>
    <w:uiPriority w:val="0"/>
    <w:pPr>
      <w:spacing w:line="360" w:lineRule="auto"/>
      <w:jc w:val="left"/>
    </w:pPr>
    <w:rPr>
      <w:szCs w:val="20"/>
    </w:rPr>
  </w:style>
  <w:style w:type="paragraph" w:styleId="19">
    <w:name w:val="Body Text 3"/>
    <w:basedOn w:val="1"/>
    <w:next w:val="1"/>
    <w:link w:val="62"/>
    <w:qFormat/>
    <w:uiPriority w:val="0"/>
    <w:pPr>
      <w:spacing w:after="120"/>
    </w:pPr>
    <w:rPr>
      <w:sz w:val="16"/>
      <w:szCs w:val="16"/>
    </w:rPr>
  </w:style>
  <w:style w:type="paragraph" w:styleId="20">
    <w:name w:val="Body Text"/>
    <w:basedOn w:val="1"/>
    <w:link w:val="96"/>
    <w:qFormat/>
    <w:uiPriority w:val="0"/>
    <w:pPr>
      <w:spacing w:after="120"/>
    </w:pPr>
  </w:style>
  <w:style w:type="paragraph" w:styleId="21">
    <w:name w:val="Body Text Indent"/>
    <w:basedOn w:val="1"/>
    <w:link w:val="131"/>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2">
    <w:name w:val="List Bullet 2"/>
    <w:basedOn w:val="1"/>
    <w:qFormat/>
    <w:uiPriority w:val="0"/>
    <w:pPr>
      <w:numPr>
        <w:ilvl w:val="0"/>
        <w:numId w:val="2"/>
      </w:numPr>
    </w:pPr>
  </w:style>
  <w:style w:type="paragraph" w:styleId="23">
    <w:name w:val="HTML Address"/>
    <w:basedOn w:val="1"/>
    <w:link w:val="116"/>
    <w:qFormat/>
    <w:uiPriority w:val="0"/>
    <w:pPr>
      <w:numPr>
        <w:ilvl w:val="0"/>
        <w:numId w:val="3"/>
      </w:numPr>
      <w:tabs>
        <w:tab w:val="clear" w:pos="432"/>
      </w:tabs>
      <w:ind w:left="0" w:firstLine="0"/>
    </w:pPr>
    <w:rPr>
      <w:i/>
    </w:rPr>
  </w:style>
  <w:style w:type="paragraph" w:styleId="24">
    <w:name w:val="toc 5"/>
    <w:basedOn w:val="1"/>
    <w:next w:val="1"/>
    <w:qFormat/>
    <w:uiPriority w:val="0"/>
    <w:pPr>
      <w:ind w:left="800" w:leftChars="800"/>
    </w:pPr>
    <w:rPr>
      <w:rFonts w:ascii="Calibri" w:hAnsi="Calibri"/>
      <w:szCs w:val="22"/>
    </w:rPr>
  </w:style>
  <w:style w:type="paragraph" w:styleId="25">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6">
    <w:name w:val="Plain Text"/>
    <w:basedOn w:val="1"/>
    <w:link w:val="93"/>
    <w:qFormat/>
    <w:uiPriority w:val="0"/>
    <w:rPr>
      <w:rFonts w:ascii="宋体" w:hAnsi="Courier New"/>
      <w:szCs w:val="20"/>
    </w:rPr>
  </w:style>
  <w:style w:type="paragraph" w:styleId="27">
    <w:name w:val="toc 8"/>
    <w:basedOn w:val="1"/>
    <w:next w:val="1"/>
    <w:qFormat/>
    <w:uiPriority w:val="0"/>
    <w:pPr>
      <w:ind w:left="1400" w:leftChars="1400"/>
    </w:pPr>
    <w:rPr>
      <w:rFonts w:ascii="Calibri" w:hAnsi="Calibri"/>
      <w:szCs w:val="22"/>
    </w:rPr>
  </w:style>
  <w:style w:type="paragraph" w:styleId="28">
    <w:name w:val="index 3"/>
    <w:basedOn w:val="1"/>
    <w:next w:val="1"/>
    <w:qFormat/>
    <w:uiPriority w:val="0"/>
    <w:pPr>
      <w:ind w:left="400" w:leftChars="400"/>
    </w:pPr>
  </w:style>
  <w:style w:type="paragraph" w:styleId="29">
    <w:name w:val="Date"/>
    <w:basedOn w:val="1"/>
    <w:next w:val="1"/>
    <w:link w:val="75"/>
    <w:qFormat/>
    <w:uiPriority w:val="0"/>
    <w:pPr>
      <w:numPr>
        <w:ilvl w:val="0"/>
        <w:numId w:val="4"/>
      </w:numPr>
      <w:ind w:left="100" w:leftChars="2500"/>
    </w:pPr>
  </w:style>
  <w:style w:type="paragraph" w:styleId="30">
    <w:name w:val="Body Text Indent 2"/>
    <w:basedOn w:val="1"/>
    <w:link w:val="123"/>
    <w:qFormat/>
    <w:uiPriority w:val="0"/>
    <w:pPr>
      <w:spacing w:line="480" w:lineRule="exact"/>
      <w:ind w:left="810" w:firstLine="675"/>
    </w:pPr>
    <w:rPr>
      <w:rFonts w:eastAsia="仿宋_GB2312"/>
      <w:kern w:val="0"/>
      <w:sz w:val="30"/>
      <w:szCs w:val="20"/>
    </w:rPr>
  </w:style>
  <w:style w:type="paragraph" w:styleId="31">
    <w:name w:val="Balloon Text"/>
    <w:basedOn w:val="1"/>
    <w:link w:val="152"/>
    <w:qFormat/>
    <w:uiPriority w:val="0"/>
    <w:rPr>
      <w:sz w:val="18"/>
      <w:szCs w:val="18"/>
    </w:rPr>
  </w:style>
  <w:style w:type="paragraph" w:styleId="32">
    <w:name w:val="footer"/>
    <w:basedOn w:val="1"/>
    <w:link w:val="86"/>
    <w:qFormat/>
    <w:uiPriority w:val="0"/>
    <w:pPr>
      <w:tabs>
        <w:tab w:val="center" w:pos="4153"/>
        <w:tab w:val="right" w:pos="8306"/>
      </w:tabs>
      <w:snapToGrid w:val="0"/>
      <w:jc w:val="left"/>
    </w:pPr>
    <w:rPr>
      <w:kern w:val="0"/>
      <w:sz w:val="18"/>
      <w:szCs w:val="18"/>
    </w:rPr>
  </w:style>
  <w:style w:type="paragraph" w:styleId="33">
    <w:name w:val="header"/>
    <w:basedOn w:val="1"/>
    <w:link w:val="135"/>
    <w:qFormat/>
    <w:uiPriority w:val="0"/>
    <w:pPr>
      <w:pBdr>
        <w:bottom w:val="single" w:color="auto" w:sz="6" w:space="1"/>
      </w:pBdr>
      <w:tabs>
        <w:tab w:val="center" w:pos="4153"/>
        <w:tab w:val="right" w:pos="8306"/>
      </w:tabs>
      <w:snapToGrid w:val="0"/>
      <w:jc w:val="center"/>
    </w:pPr>
    <w:rPr>
      <w:sz w:val="18"/>
      <w:szCs w:val="20"/>
    </w:rPr>
  </w:style>
  <w:style w:type="paragraph" w:styleId="34">
    <w:name w:val="toc 1"/>
    <w:basedOn w:val="1"/>
    <w:next w:val="1"/>
    <w:qFormat/>
    <w:uiPriority w:val="39"/>
    <w:pPr>
      <w:tabs>
        <w:tab w:val="right" w:leader="dot" w:pos="8949"/>
      </w:tabs>
      <w:spacing w:before="120" w:after="120"/>
      <w:jc w:val="left"/>
    </w:pPr>
    <w:rPr>
      <w:b/>
      <w:bCs/>
      <w:caps/>
      <w:szCs w:val="21"/>
    </w:rPr>
  </w:style>
  <w:style w:type="paragraph" w:styleId="35">
    <w:name w:val="toc 4"/>
    <w:basedOn w:val="1"/>
    <w:next w:val="1"/>
    <w:qFormat/>
    <w:uiPriority w:val="0"/>
    <w:pPr>
      <w:ind w:left="600" w:leftChars="600"/>
    </w:pPr>
    <w:rPr>
      <w:rFonts w:ascii="Calibri" w:hAnsi="Calibri"/>
      <w:szCs w:val="22"/>
    </w:rPr>
  </w:style>
  <w:style w:type="paragraph" w:styleId="36">
    <w:name w:val="index heading"/>
    <w:basedOn w:val="1"/>
    <w:next w:val="37"/>
    <w:qFormat/>
    <w:uiPriority w:val="0"/>
    <w:rPr>
      <w:szCs w:val="20"/>
    </w:rPr>
  </w:style>
  <w:style w:type="paragraph" w:styleId="37">
    <w:name w:val="index 1"/>
    <w:basedOn w:val="1"/>
    <w:next w:val="1"/>
    <w:qFormat/>
    <w:uiPriority w:val="0"/>
  </w:style>
  <w:style w:type="paragraph" w:styleId="38">
    <w:name w:val="Subtitle"/>
    <w:basedOn w:val="1"/>
    <w:next w:val="1"/>
    <w:link w:val="126"/>
    <w:qFormat/>
    <w:uiPriority w:val="0"/>
    <w:pPr>
      <w:spacing w:before="240" w:after="60" w:line="312" w:lineRule="atLeast"/>
      <w:ind w:left="420" w:hanging="420"/>
      <w:jc w:val="center"/>
      <w:outlineLvl w:val="1"/>
    </w:pPr>
    <w:rPr>
      <w:rFonts w:ascii="Calibri Light" w:hAnsi="Calibri Light"/>
      <w:b/>
      <w:bCs/>
      <w:kern w:val="28"/>
      <w:sz w:val="32"/>
      <w:szCs w:val="32"/>
    </w:rPr>
  </w:style>
  <w:style w:type="paragraph" w:styleId="39">
    <w:name w:val="List"/>
    <w:basedOn w:val="1"/>
    <w:qFormat/>
    <w:uiPriority w:val="0"/>
    <w:pPr>
      <w:ind w:left="200" w:hanging="200" w:hangingChars="200"/>
    </w:pPr>
  </w:style>
  <w:style w:type="paragraph" w:styleId="40">
    <w:name w:val="toc 6"/>
    <w:basedOn w:val="1"/>
    <w:next w:val="1"/>
    <w:qFormat/>
    <w:uiPriority w:val="0"/>
    <w:pPr>
      <w:ind w:left="1000" w:leftChars="1000"/>
    </w:pPr>
    <w:rPr>
      <w:rFonts w:ascii="Calibri" w:hAnsi="Calibri"/>
      <w:szCs w:val="22"/>
    </w:rPr>
  </w:style>
  <w:style w:type="paragraph" w:styleId="41">
    <w:name w:val="Body Text Indent 3"/>
    <w:basedOn w:val="1"/>
    <w:link w:val="87"/>
    <w:qFormat/>
    <w:uiPriority w:val="0"/>
    <w:pPr>
      <w:widowControl/>
      <w:tabs>
        <w:tab w:val="left" w:pos="502"/>
      </w:tabs>
      <w:adjustRightInd w:val="0"/>
      <w:snapToGrid w:val="0"/>
      <w:spacing w:line="360" w:lineRule="auto"/>
      <w:ind w:left="540" w:leftChars="257"/>
    </w:pPr>
    <w:rPr>
      <w:rFonts w:ascii="宋体" w:hAnsi="宋体"/>
    </w:rPr>
  </w:style>
  <w:style w:type="paragraph" w:styleId="42">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3">
    <w:name w:val="toc 9"/>
    <w:basedOn w:val="1"/>
    <w:next w:val="1"/>
    <w:qFormat/>
    <w:uiPriority w:val="0"/>
    <w:pPr>
      <w:ind w:left="1600" w:leftChars="1600"/>
    </w:pPr>
    <w:rPr>
      <w:rFonts w:ascii="Calibri" w:hAnsi="Calibri"/>
      <w:szCs w:val="22"/>
    </w:rPr>
  </w:style>
  <w:style w:type="paragraph" w:styleId="44">
    <w:name w:val="Body Text 2"/>
    <w:basedOn w:val="1"/>
    <w:link w:val="61"/>
    <w:qFormat/>
    <w:uiPriority w:val="0"/>
    <w:pPr>
      <w:spacing w:line="360" w:lineRule="auto"/>
    </w:pPr>
    <w:rPr>
      <w:rFonts w:ascii="仿宋_GB2312" w:eastAsia="仿宋_GB2312"/>
      <w:sz w:val="32"/>
    </w:rPr>
  </w:style>
  <w:style w:type="paragraph" w:styleId="45">
    <w:name w:val="HTML Preformatted"/>
    <w:basedOn w:val="1"/>
    <w:link w:val="13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7">
    <w:name w:val="index 2"/>
    <w:basedOn w:val="1"/>
    <w:next w:val="1"/>
    <w:qFormat/>
    <w:uiPriority w:val="0"/>
    <w:pPr>
      <w:ind w:left="420" w:hanging="210"/>
      <w:jc w:val="left"/>
    </w:pPr>
    <w:rPr>
      <w:sz w:val="20"/>
      <w:szCs w:val="20"/>
    </w:rPr>
  </w:style>
  <w:style w:type="paragraph" w:styleId="48">
    <w:name w:val="Title"/>
    <w:basedOn w:val="1"/>
    <w:next w:val="1"/>
    <w:link w:val="92"/>
    <w:qFormat/>
    <w:uiPriority w:val="0"/>
    <w:pPr>
      <w:spacing w:before="240" w:after="60"/>
      <w:jc w:val="center"/>
      <w:outlineLvl w:val="0"/>
    </w:pPr>
    <w:rPr>
      <w:rFonts w:ascii="Cambria" w:hAnsi="Cambria"/>
      <w:b/>
      <w:bCs/>
      <w:sz w:val="32"/>
      <w:szCs w:val="32"/>
    </w:rPr>
  </w:style>
  <w:style w:type="paragraph" w:styleId="49">
    <w:name w:val="annotation subject"/>
    <w:basedOn w:val="18"/>
    <w:next w:val="18"/>
    <w:link w:val="128"/>
    <w:qFormat/>
    <w:uiPriority w:val="0"/>
    <w:pPr>
      <w:spacing w:line="240" w:lineRule="auto"/>
    </w:pPr>
    <w:rPr>
      <w:b/>
      <w:bCs/>
      <w:szCs w:val="24"/>
    </w:rPr>
  </w:style>
  <w:style w:type="paragraph" w:styleId="50">
    <w:name w:val="Body Text First Indent"/>
    <w:basedOn w:val="20"/>
    <w:link w:val="159"/>
    <w:qFormat/>
    <w:uiPriority w:val="0"/>
    <w:pPr>
      <w:ind w:firstLine="100" w:firstLineChars="100"/>
    </w:pPr>
    <w:rPr>
      <w:rFonts w:ascii="Calibri" w:hAnsi="Calibri"/>
      <w:szCs w:val="22"/>
    </w:rPr>
  </w:style>
  <w:style w:type="paragraph" w:styleId="51">
    <w:name w:val="Body Text First Indent 2"/>
    <w:basedOn w:val="21"/>
    <w:link w:val="68"/>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3">
    <w:name w:val="Table Grid"/>
    <w:basedOn w:val="5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0"/>
    <w:rPr>
      <w:color w:val="800080"/>
      <w:u w:val="single"/>
    </w:rPr>
  </w:style>
  <w:style w:type="character" w:styleId="58">
    <w:name w:val="Emphasis"/>
    <w:qFormat/>
    <w:uiPriority w:val="0"/>
    <w:rPr>
      <w:i/>
      <w:iCs/>
    </w:rPr>
  </w:style>
  <w:style w:type="character" w:styleId="59">
    <w:name w:val="Hyperlink"/>
    <w:qFormat/>
    <w:uiPriority w:val="99"/>
    <w:rPr>
      <w:color w:val="0000FF"/>
      <w:u w:val="single"/>
    </w:rPr>
  </w:style>
  <w:style w:type="character" w:styleId="60">
    <w:name w:val="annotation reference"/>
    <w:qFormat/>
    <w:uiPriority w:val="0"/>
    <w:rPr>
      <w:sz w:val="21"/>
      <w:szCs w:val="21"/>
    </w:rPr>
  </w:style>
  <w:style w:type="character" w:customStyle="1" w:styleId="61">
    <w:name w:val="正文文本 2 Char"/>
    <w:link w:val="44"/>
    <w:qFormat/>
    <w:uiPriority w:val="0"/>
    <w:rPr>
      <w:rFonts w:ascii="仿宋_GB2312" w:eastAsia="仿宋_GB2312"/>
      <w:kern w:val="2"/>
      <w:sz w:val="32"/>
      <w:szCs w:val="24"/>
      <w:lang w:val="en-US" w:eastAsia="zh-CN" w:bidi="ar-SA"/>
    </w:rPr>
  </w:style>
  <w:style w:type="character" w:customStyle="1" w:styleId="62">
    <w:name w:val="正文文本 3 Char"/>
    <w:link w:val="19"/>
    <w:qFormat/>
    <w:uiPriority w:val="0"/>
    <w:rPr>
      <w:kern w:val="2"/>
      <w:sz w:val="16"/>
      <w:szCs w:val="16"/>
    </w:rPr>
  </w:style>
  <w:style w:type="character" w:customStyle="1" w:styleId="63">
    <w:name w:val="文档正文 Char1"/>
    <w:link w:val="64"/>
    <w:qFormat/>
    <w:uiPriority w:val="0"/>
    <w:rPr>
      <w:rFonts w:ascii="Arial Narrow" w:hAnsi="Arial Narrow"/>
      <w:sz w:val="24"/>
      <w:szCs w:val="24"/>
      <w:lang w:val="en-US" w:eastAsia="zh-CN" w:bidi="ar-SA"/>
    </w:rPr>
  </w:style>
  <w:style w:type="paragraph" w:customStyle="1" w:styleId="64">
    <w:name w:val="文档正文"/>
    <w:link w:val="63"/>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5">
    <w:name w:val="font1"/>
    <w:qFormat/>
    <w:uiPriority w:val="0"/>
    <w:rPr>
      <w:sz w:val="18"/>
      <w:szCs w:val="18"/>
      <w:u w:val="none"/>
    </w:rPr>
  </w:style>
  <w:style w:type="character" w:customStyle="1" w:styleId="66">
    <w:name w:val="标题 4 Char"/>
    <w:link w:val="7"/>
    <w:qFormat/>
    <w:uiPriority w:val="0"/>
    <w:rPr>
      <w:rFonts w:ascii="Arial" w:hAnsi="Arial" w:eastAsia="黑体"/>
      <w:b/>
      <w:bCs/>
      <w:kern w:val="2"/>
      <w:sz w:val="28"/>
      <w:szCs w:val="28"/>
      <w:lang w:val="en-US" w:eastAsia="zh-CN" w:bidi="ar-SA"/>
    </w:rPr>
  </w:style>
  <w:style w:type="character" w:customStyle="1" w:styleId="67">
    <w:name w:val="font21"/>
    <w:qFormat/>
    <w:uiPriority w:val="0"/>
    <w:rPr>
      <w:rFonts w:hint="default" w:ascii="Arial" w:hAnsi="Arial" w:cs="Arial"/>
      <w:color w:val="000000"/>
      <w:sz w:val="24"/>
      <w:szCs w:val="24"/>
      <w:u w:val="none"/>
    </w:rPr>
  </w:style>
  <w:style w:type="character" w:customStyle="1" w:styleId="68">
    <w:name w:val="正文首行缩进 2 Char"/>
    <w:link w:val="51"/>
    <w:qFormat/>
    <w:uiPriority w:val="0"/>
    <w:rPr>
      <w:rFonts w:ascii="Calibri" w:hAnsi="Calibri" w:eastAsia="仿宋_GB2312"/>
      <w:kern w:val="2"/>
      <w:sz w:val="21"/>
      <w:szCs w:val="22"/>
      <w:lang w:val="en-US" w:eastAsia="zh-CN" w:bidi="ar-SA"/>
    </w:rPr>
  </w:style>
  <w:style w:type="character" w:customStyle="1" w:styleId="69">
    <w:name w:val="类目1 Char Char"/>
    <w:link w:val="70"/>
    <w:qFormat/>
    <w:uiPriority w:val="0"/>
    <w:rPr>
      <w:b/>
      <w:color w:val="17365D"/>
      <w:kern w:val="2"/>
      <w:sz w:val="28"/>
      <w:szCs w:val="28"/>
      <w:lang w:bidi="ar-SA"/>
    </w:rPr>
  </w:style>
  <w:style w:type="paragraph" w:customStyle="1" w:styleId="70">
    <w:name w:val="类目1"/>
    <w:basedOn w:val="1"/>
    <w:link w:val="69"/>
    <w:qFormat/>
    <w:uiPriority w:val="0"/>
    <w:pPr>
      <w:adjustRightInd w:val="0"/>
      <w:snapToGrid w:val="0"/>
      <w:spacing w:line="220" w:lineRule="atLeast"/>
    </w:pPr>
    <w:rPr>
      <w:b/>
      <w:color w:val="17365D"/>
      <w:sz w:val="28"/>
      <w:szCs w:val="28"/>
    </w:rPr>
  </w:style>
  <w:style w:type="character" w:customStyle="1" w:styleId="71">
    <w:name w:val="text1"/>
    <w:qFormat/>
    <w:uiPriority w:val="0"/>
    <w:rPr>
      <w:sz w:val="20"/>
      <w:szCs w:val="20"/>
    </w:rPr>
  </w:style>
  <w:style w:type="character" w:customStyle="1" w:styleId="72">
    <w:name w:val="ca-5"/>
    <w:basedOn w:val="54"/>
    <w:qFormat/>
    <w:uiPriority w:val="0"/>
  </w:style>
  <w:style w:type="character" w:customStyle="1" w:styleId="73">
    <w:name w:val="批注文字 Char"/>
    <w:link w:val="18"/>
    <w:qFormat/>
    <w:uiPriority w:val="0"/>
    <w:rPr>
      <w:kern w:val="2"/>
      <w:sz w:val="21"/>
      <w:lang w:bidi="ar-SA"/>
    </w:rPr>
  </w:style>
  <w:style w:type="character" w:customStyle="1" w:styleId="74">
    <w:name w:val="Char Char14"/>
    <w:qFormat/>
    <w:uiPriority w:val="0"/>
    <w:rPr>
      <w:rFonts w:ascii="宋体" w:eastAsia="宋体"/>
      <w:sz w:val="34"/>
      <w:lang w:val="en-US" w:eastAsia="zh-CN" w:bidi="ar-SA"/>
    </w:rPr>
  </w:style>
  <w:style w:type="character" w:customStyle="1" w:styleId="75">
    <w:name w:val="日期 Char"/>
    <w:link w:val="29"/>
    <w:qFormat/>
    <w:uiPriority w:val="0"/>
    <w:rPr>
      <w:kern w:val="2"/>
      <w:sz w:val="21"/>
      <w:szCs w:val="24"/>
    </w:rPr>
  </w:style>
  <w:style w:type="character" w:customStyle="1" w:styleId="76">
    <w:name w:val="font11"/>
    <w:qFormat/>
    <w:uiPriority w:val="0"/>
    <w:rPr>
      <w:rFonts w:hint="eastAsia" w:ascii="宋体" w:hAnsi="宋体" w:eastAsia="宋体"/>
      <w:color w:val="000000"/>
      <w:sz w:val="24"/>
      <w:szCs w:val="24"/>
      <w:u w:val="none"/>
    </w:rPr>
  </w:style>
  <w:style w:type="character" w:customStyle="1" w:styleId="77">
    <w:name w:val="apple-converted-space"/>
    <w:qFormat/>
    <w:uiPriority w:val="0"/>
    <w:rPr>
      <w:rFonts w:cs="Times New Roman"/>
    </w:rPr>
  </w:style>
  <w:style w:type="character" w:customStyle="1" w:styleId="78">
    <w:name w:val="标题 1 Char2"/>
    <w:qFormat/>
    <w:uiPriority w:val="0"/>
    <w:rPr>
      <w:rFonts w:ascii="黑体" w:eastAsia="黑体"/>
      <w:bCs/>
      <w:kern w:val="44"/>
      <w:sz w:val="24"/>
      <w:szCs w:val="24"/>
    </w:rPr>
  </w:style>
  <w:style w:type="character" w:customStyle="1" w:styleId="79">
    <w:name w:val="ca-8"/>
    <w:basedOn w:val="54"/>
    <w:qFormat/>
    <w:uiPriority w:val="0"/>
  </w:style>
  <w:style w:type="character" w:customStyle="1" w:styleId="80">
    <w:name w:val="Char Char3"/>
    <w:qFormat/>
    <w:uiPriority w:val="0"/>
    <w:rPr>
      <w:rFonts w:eastAsia="宋体"/>
      <w:kern w:val="2"/>
      <w:sz w:val="18"/>
      <w:lang w:val="en-US" w:eastAsia="zh-CN" w:bidi="ar-SA"/>
    </w:rPr>
  </w:style>
  <w:style w:type="character" w:customStyle="1" w:styleId="81">
    <w:name w:val="标题 5 Char Char"/>
    <w:qFormat/>
    <w:uiPriority w:val="0"/>
    <w:rPr>
      <w:rFonts w:eastAsia="宋体"/>
      <w:b/>
      <w:bCs/>
      <w:kern w:val="2"/>
      <w:sz w:val="28"/>
      <w:szCs w:val="28"/>
      <w:lang w:val="en-US" w:eastAsia="zh-CN" w:bidi="ar-SA"/>
    </w:rPr>
  </w:style>
  <w:style w:type="character" w:customStyle="1" w:styleId="82">
    <w:name w:val="ca-10"/>
    <w:basedOn w:val="54"/>
    <w:qFormat/>
    <w:uiPriority w:val="0"/>
  </w:style>
  <w:style w:type="character" w:customStyle="1" w:styleId="83">
    <w:name w:val="Char Char9"/>
    <w:qFormat/>
    <w:uiPriority w:val="0"/>
    <w:rPr>
      <w:rFonts w:ascii="宋体" w:hAnsi="Courier New" w:eastAsia="宋体"/>
      <w:kern w:val="2"/>
      <w:sz w:val="21"/>
      <w:lang w:val="en-US" w:eastAsia="zh-CN" w:bidi="ar-SA"/>
    </w:rPr>
  </w:style>
  <w:style w:type="character" w:customStyle="1" w:styleId="84">
    <w:name w:val="标题 2 Char"/>
    <w:link w:val="4"/>
    <w:qFormat/>
    <w:uiPriority w:val="0"/>
    <w:rPr>
      <w:rFonts w:ascii="Cambria" w:hAnsi="Cambria" w:eastAsia="宋体"/>
      <w:b/>
      <w:bCs/>
      <w:kern w:val="2"/>
      <w:sz w:val="32"/>
      <w:szCs w:val="32"/>
      <w:lang w:val="en-US" w:eastAsia="zh-CN" w:bidi="ar-SA"/>
    </w:rPr>
  </w:style>
  <w:style w:type="character" w:customStyle="1" w:styleId="85">
    <w:name w:val="mark8"/>
    <w:qFormat/>
    <w:uiPriority w:val="0"/>
    <w:rPr>
      <w:b/>
      <w:bCs/>
      <w:sz w:val="21"/>
      <w:szCs w:val="21"/>
    </w:rPr>
  </w:style>
  <w:style w:type="character" w:customStyle="1" w:styleId="86">
    <w:name w:val="页脚 Char"/>
    <w:link w:val="32"/>
    <w:qFormat/>
    <w:uiPriority w:val="0"/>
    <w:rPr>
      <w:rFonts w:eastAsia="宋体"/>
      <w:sz w:val="18"/>
      <w:szCs w:val="18"/>
      <w:lang w:bidi="ar-SA"/>
    </w:rPr>
  </w:style>
  <w:style w:type="character" w:customStyle="1" w:styleId="87">
    <w:name w:val="正文文本缩进 3 Char"/>
    <w:link w:val="41"/>
    <w:qFormat/>
    <w:uiPriority w:val="0"/>
    <w:rPr>
      <w:rFonts w:ascii="宋体" w:hAnsi="宋体" w:eastAsia="宋体"/>
      <w:kern w:val="2"/>
      <w:sz w:val="21"/>
      <w:szCs w:val="24"/>
      <w:lang w:val="en-US" w:eastAsia="zh-CN" w:bidi="ar-SA"/>
    </w:rPr>
  </w:style>
  <w:style w:type="character" w:customStyle="1" w:styleId="88">
    <w:name w:val="List Paragraph Char Char"/>
    <w:link w:val="89"/>
    <w:qFormat/>
    <w:uiPriority w:val="0"/>
    <w:rPr>
      <w:kern w:val="2"/>
      <w:sz w:val="21"/>
      <w:szCs w:val="24"/>
    </w:rPr>
  </w:style>
  <w:style w:type="paragraph" w:customStyle="1" w:styleId="89">
    <w:name w:val="列出段落1"/>
    <w:basedOn w:val="1"/>
    <w:link w:val="88"/>
    <w:qFormat/>
    <w:uiPriority w:val="0"/>
    <w:pPr>
      <w:ind w:firstLine="420" w:firstLineChars="200"/>
    </w:pPr>
  </w:style>
  <w:style w:type="character" w:customStyle="1" w:styleId="90">
    <w:name w:val="标题 3 Char"/>
    <w:link w:val="6"/>
    <w:qFormat/>
    <w:uiPriority w:val="0"/>
    <w:rPr>
      <w:rFonts w:ascii="黑体" w:eastAsia="黑体"/>
      <w:bCs/>
      <w:color w:val="000000"/>
      <w:kern w:val="2"/>
      <w:sz w:val="21"/>
      <w:szCs w:val="24"/>
    </w:rPr>
  </w:style>
  <w:style w:type="character" w:customStyle="1" w:styleId="91">
    <w:name w:val="标题 2 Char1"/>
    <w:qFormat/>
    <w:uiPriority w:val="0"/>
    <w:rPr>
      <w:rFonts w:ascii="Arial" w:hAnsi="Arial" w:eastAsia="黑体"/>
      <w:b/>
      <w:bCs/>
      <w:kern w:val="2"/>
      <w:sz w:val="32"/>
      <w:szCs w:val="32"/>
    </w:rPr>
  </w:style>
  <w:style w:type="character" w:customStyle="1" w:styleId="92">
    <w:name w:val="标题 Char"/>
    <w:link w:val="48"/>
    <w:qFormat/>
    <w:uiPriority w:val="0"/>
    <w:rPr>
      <w:rFonts w:ascii="Cambria" w:hAnsi="Cambria"/>
      <w:b/>
      <w:bCs/>
      <w:kern w:val="2"/>
      <w:sz w:val="32"/>
      <w:szCs w:val="32"/>
    </w:rPr>
  </w:style>
  <w:style w:type="character" w:customStyle="1" w:styleId="93">
    <w:name w:val="纯文本 Char"/>
    <w:link w:val="26"/>
    <w:qFormat/>
    <w:uiPriority w:val="0"/>
    <w:rPr>
      <w:rFonts w:ascii="宋体" w:hAnsi="Courier New"/>
      <w:kern w:val="2"/>
      <w:sz w:val="21"/>
      <w:lang w:bidi="ar-SA"/>
    </w:rPr>
  </w:style>
  <w:style w:type="character" w:customStyle="1" w:styleId="94">
    <w:name w:val="flname7"/>
    <w:basedOn w:val="54"/>
    <w:qFormat/>
    <w:uiPriority w:val="0"/>
  </w:style>
  <w:style w:type="character" w:customStyle="1" w:styleId="95">
    <w:name w:val="content"/>
    <w:qFormat/>
    <w:uiPriority w:val="0"/>
  </w:style>
  <w:style w:type="character" w:customStyle="1" w:styleId="96">
    <w:name w:val="正文文本 Char"/>
    <w:link w:val="20"/>
    <w:qFormat/>
    <w:uiPriority w:val="0"/>
    <w:rPr>
      <w:rFonts w:eastAsia="宋体"/>
      <w:kern w:val="2"/>
      <w:sz w:val="21"/>
      <w:szCs w:val="24"/>
      <w:lang w:val="en-US" w:eastAsia="zh-CN" w:bidi="ar-SA"/>
    </w:rPr>
  </w:style>
  <w:style w:type="character" w:customStyle="1" w:styleId="97">
    <w:name w:val="标题 9 Char"/>
    <w:link w:val="12"/>
    <w:qFormat/>
    <w:uiPriority w:val="0"/>
    <w:rPr>
      <w:rFonts w:ascii="Arial" w:hAnsi="Arial" w:eastAsia="黑体"/>
      <w:kern w:val="2"/>
      <w:sz w:val="21"/>
      <w:szCs w:val="21"/>
      <w:lang w:val="en-US" w:eastAsia="zh-CN" w:bidi="ar-SA"/>
    </w:rPr>
  </w:style>
  <w:style w:type="character" w:customStyle="1" w:styleId="98">
    <w:name w:val="c_666"/>
    <w:basedOn w:val="54"/>
    <w:qFormat/>
    <w:uiPriority w:val="0"/>
  </w:style>
  <w:style w:type="character" w:customStyle="1" w:styleId="99">
    <w:name w:val="书籍标题3 Char1"/>
    <w:link w:val="100"/>
    <w:qFormat/>
    <w:uiPriority w:val="0"/>
    <w:rPr>
      <w:b/>
      <w:bCs/>
      <w:spacing w:val="20"/>
      <w:kern w:val="2"/>
      <w:sz w:val="28"/>
      <w:szCs w:val="28"/>
    </w:rPr>
  </w:style>
  <w:style w:type="paragraph" w:customStyle="1" w:styleId="100">
    <w:name w:val="书籍标题3"/>
    <w:basedOn w:val="101"/>
    <w:link w:val="99"/>
    <w:qFormat/>
    <w:uiPriority w:val="0"/>
    <w:pPr>
      <w:numPr>
        <w:ilvl w:val="2"/>
      </w:numPr>
      <w:tabs>
        <w:tab w:val="left" w:pos="840"/>
      </w:tabs>
      <w:outlineLvl w:val="2"/>
    </w:pPr>
    <w:rPr>
      <w:rFonts w:cs="Times New Roman"/>
      <w:sz w:val="28"/>
      <w:szCs w:val="28"/>
    </w:rPr>
  </w:style>
  <w:style w:type="paragraph" w:customStyle="1" w:styleId="10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02">
    <w:name w:val="标题 1 1 Char"/>
    <w:qFormat/>
    <w:uiPriority w:val="0"/>
    <w:rPr>
      <w:rFonts w:ascii="黑体" w:eastAsia="黑体"/>
      <w:bCs/>
      <w:kern w:val="44"/>
      <w:sz w:val="24"/>
      <w:lang w:val="en-US" w:eastAsia="zh-CN" w:bidi="ar-SA"/>
    </w:rPr>
  </w:style>
  <w:style w:type="character" w:customStyle="1" w:styleId="103">
    <w:name w:val="列出段落 Char"/>
    <w:link w:val="104"/>
    <w:qFormat/>
    <w:uiPriority w:val="0"/>
    <w:rPr>
      <w:kern w:val="2"/>
      <w:sz w:val="21"/>
      <w:szCs w:val="24"/>
    </w:rPr>
  </w:style>
  <w:style w:type="paragraph" w:customStyle="1" w:styleId="104">
    <w:name w:val="List Paragraph"/>
    <w:basedOn w:val="1"/>
    <w:link w:val="103"/>
    <w:qFormat/>
    <w:uiPriority w:val="0"/>
    <w:pPr>
      <w:ind w:firstLine="420" w:firstLineChars="200"/>
    </w:pPr>
  </w:style>
  <w:style w:type="character" w:customStyle="1" w:styleId="105">
    <w:name w:val="标题 3 Char1"/>
    <w:qFormat/>
    <w:uiPriority w:val="0"/>
    <w:rPr>
      <w:rFonts w:ascii="宋体" w:hAnsi="Times New Roman"/>
    </w:rPr>
  </w:style>
  <w:style w:type="character" w:customStyle="1" w:styleId="106">
    <w:name w:val="样式 样式 宋体 小四 行距: 1.5 倍行距 + ˎ̥ 黑色 Char Char"/>
    <w:link w:val="107"/>
    <w:qFormat/>
    <w:uiPriority w:val="0"/>
    <w:rPr>
      <w:rFonts w:ascii="Calibri" w:hAnsi="Calibri" w:eastAsia="仿宋_GB2312"/>
      <w:kern w:val="2"/>
      <w:sz w:val="21"/>
      <w:szCs w:val="22"/>
      <w:lang w:val="en-US" w:eastAsia="zh-CN" w:bidi="ar-SA"/>
    </w:rPr>
  </w:style>
  <w:style w:type="paragraph" w:customStyle="1" w:styleId="107">
    <w:name w:val="样式 样式 宋体 小四 行距: 1.5 倍行距 + ˎ̥ 黑色"/>
    <w:basedOn w:val="51"/>
    <w:link w:val="106"/>
    <w:qFormat/>
    <w:uiPriority w:val="0"/>
  </w:style>
  <w:style w:type="character" w:customStyle="1" w:styleId="108">
    <w:name w:val="样式5 Char Char"/>
    <w:link w:val="109"/>
    <w:qFormat/>
    <w:uiPriority w:val="0"/>
    <w:rPr>
      <w:rFonts w:ascii="宋体" w:hAnsi="宋体" w:eastAsia="宋体" w:cs="Arial"/>
      <w:b/>
      <w:kern w:val="2"/>
      <w:sz w:val="24"/>
      <w:szCs w:val="24"/>
      <w:lang w:val="en-US" w:eastAsia="zh-CN" w:bidi="ar-SA"/>
    </w:rPr>
  </w:style>
  <w:style w:type="paragraph" w:customStyle="1" w:styleId="109">
    <w:name w:val="样式5"/>
    <w:basedOn w:val="1"/>
    <w:link w:val="108"/>
    <w:qFormat/>
    <w:uiPriority w:val="0"/>
    <w:pPr>
      <w:spacing w:line="400" w:lineRule="exact"/>
      <w:ind w:left="482"/>
    </w:pPr>
    <w:rPr>
      <w:rFonts w:ascii="宋体" w:hAnsi="宋体" w:cs="Arial"/>
      <w:b/>
      <w:sz w:val="24"/>
    </w:rPr>
  </w:style>
  <w:style w:type="character" w:customStyle="1" w:styleId="110">
    <w:name w:val="标题 1 Char1"/>
    <w:qFormat/>
    <w:uiPriority w:val="0"/>
    <w:rPr>
      <w:b/>
      <w:bCs/>
      <w:kern w:val="44"/>
      <w:sz w:val="44"/>
      <w:szCs w:val="44"/>
    </w:rPr>
  </w:style>
  <w:style w:type="character" w:customStyle="1" w:styleId="111">
    <w:name w:val="lineitems1"/>
    <w:qFormat/>
    <w:uiPriority w:val="0"/>
    <w:rPr>
      <w:sz w:val="17"/>
      <w:szCs w:val="17"/>
    </w:rPr>
  </w:style>
  <w:style w:type="character" w:customStyle="1" w:styleId="112">
    <w:name w:val="font31"/>
    <w:qFormat/>
    <w:uiPriority w:val="0"/>
    <w:rPr>
      <w:rFonts w:hint="eastAsia" w:ascii="宋体" w:hAnsi="宋体" w:eastAsia="宋体" w:cs="宋体"/>
      <w:color w:val="000000"/>
      <w:sz w:val="20"/>
      <w:szCs w:val="20"/>
      <w:u w:val="none"/>
    </w:rPr>
  </w:style>
  <w:style w:type="character" w:customStyle="1" w:styleId="113">
    <w:name w:val="不明显参考1"/>
    <w:qFormat/>
    <w:uiPriority w:val="0"/>
    <w:rPr>
      <w:smallCaps/>
      <w:color w:val="C0504D"/>
      <w:u w:val="single"/>
    </w:rPr>
  </w:style>
  <w:style w:type="character" w:customStyle="1" w:styleId="114">
    <w:name w:val="标题 6 Char"/>
    <w:link w:val="9"/>
    <w:qFormat/>
    <w:uiPriority w:val="0"/>
    <w:rPr>
      <w:rFonts w:ascii="Arial" w:hAnsi="Arial" w:eastAsia="黑体"/>
      <w:b/>
      <w:bCs/>
      <w:kern w:val="2"/>
      <w:sz w:val="24"/>
      <w:szCs w:val="24"/>
      <w:lang w:val="en-US" w:eastAsia="zh-CN" w:bidi="ar-SA"/>
    </w:rPr>
  </w:style>
  <w:style w:type="character" w:customStyle="1" w:styleId="115">
    <w:name w:val="style71"/>
    <w:qFormat/>
    <w:uiPriority w:val="0"/>
    <w:rPr>
      <w:sz w:val="21"/>
      <w:szCs w:val="21"/>
    </w:rPr>
  </w:style>
  <w:style w:type="character" w:customStyle="1" w:styleId="116">
    <w:name w:val="HTML 地址 Char"/>
    <w:link w:val="23"/>
    <w:qFormat/>
    <w:uiPriority w:val="0"/>
    <w:rPr>
      <w:i/>
      <w:kern w:val="2"/>
      <w:sz w:val="21"/>
      <w:szCs w:val="24"/>
    </w:rPr>
  </w:style>
  <w:style w:type="character" w:customStyle="1" w:styleId="117">
    <w:name w:val="细目1 Char Char"/>
    <w:link w:val="118"/>
    <w:qFormat/>
    <w:uiPriority w:val="0"/>
    <w:rPr>
      <w:b/>
      <w:color w:val="215868"/>
      <w:kern w:val="2"/>
      <w:sz w:val="24"/>
      <w:szCs w:val="24"/>
    </w:rPr>
  </w:style>
  <w:style w:type="paragraph" w:customStyle="1" w:styleId="118">
    <w:name w:val="细目1"/>
    <w:basedOn w:val="1"/>
    <w:link w:val="11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19">
    <w:name w:val="xl25 Char Char"/>
    <w:link w:val="120"/>
    <w:qFormat/>
    <w:uiPriority w:val="0"/>
    <w:rPr>
      <w:rFonts w:ascii="宋体" w:hAnsi="宋体"/>
      <w:sz w:val="21"/>
      <w:szCs w:val="21"/>
    </w:rPr>
  </w:style>
  <w:style w:type="paragraph" w:customStyle="1" w:styleId="120">
    <w:name w:val="xl25"/>
    <w:basedOn w:val="1"/>
    <w:link w:val="119"/>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character" w:customStyle="1" w:styleId="121">
    <w:name w:val="题注 Char"/>
    <w:link w:val="14"/>
    <w:qFormat/>
    <w:uiPriority w:val="0"/>
    <w:rPr>
      <w:rFonts w:ascii="Arial" w:hAnsi="Arial" w:eastAsia="黑体" w:cs="Arial"/>
      <w:kern w:val="2"/>
    </w:rPr>
  </w:style>
  <w:style w:type="character" w:customStyle="1" w:styleId="122">
    <w:name w:val="标题 8 Char"/>
    <w:link w:val="11"/>
    <w:qFormat/>
    <w:uiPriority w:val="0"/>
    <w:rPr>
      <w:rFonts w:ascii="Arial" w:hAnsi="Arial" w:eastAsia="黑体"/>
      <w:kern w:val="2"/>
      <w:sz w:val="24"/>
      <w:szCs w:val="24"/>
      <w:lang w:val="en-US" w:eastAsia="zh-CN" w:bidi="ar-SA"/>
    </w:rPr>
  </w:style>
  <w:style w:type="character" w:customStyle="1" w:styleId="123">
    <w:name w:val="正文文本缩进 2 Char"/>
    <w:link w:val="30"/>
    <w:qFormat/>
    <w:uiPriority w:val="0"/>
    <w:rPr>
      <w:rFonts w:eastAsia="仿宋_GB2312"/>
      <w:sz w:val="30"/>
      <w:lang w:bidi="ar-SA"/>
    </w:rPr>
  </w:style>
  <w:style w:type="character" w:customStyle="1" w:styleId="124">
    <w:name w:val="ca-11"/>
    <w:basedOn w:val="54"/>
    <w:qFormat/>
    <w:uiPriority w:val="0"/>
  </w:style>
  <w:style w:type="character" w:customStyle="1" w:styleId="125">
    <w:name w:val="正文缩进 Char"/>
    <w:link w:val="5"/>
    <w:qFormat/>
    <w:uiPriority w:val="0"/>
    <w:rPr>
      <w:rFonts w:ascii="宋体" w:eastAsia="宋体"/>
      <w:sz w:val="34"/>
      <w:lang w:val="en-US" w:eastAsia="zh-CN" w:bidi="ar-SA"/>
    </w:rPr>
  </w:style>
  <w:style w:type="character" w:customStyle="1" w:styleId="126">
    <w:name w:val="副标题 Char"/>
    <w:link w:val="38"/>
    <w:qFormat/>
    <w:uiPriority w:val="0"/>
    <w:rPr>
      <w:rFonts w:ascii="Calibri Light" w:hAnsi="Calibri Light"/>
      <w:b/>
      <w:bCs/>
      <w:kern w:val="28"/>
      <w:sz w:val="32"/>
      <w:szCs w:val="32"/>
    </w:rPr>
  </w:style>
  <w:style w:type="character" w:customStyle="1" w:styleId="127">
    <w:name w:val="页眉 Char Char"/>
    <w:qFormat/>
    <w:uiPriority w:val="0"/>
    <w:rPr>
      <w:rFonts w:eastAsia="宋体"/>
      <w:sz w:val="18"/>
      <w:szCs w:val="18"/>
      <w:lang w:bidi="ar-SA"/>
    </w:rPr>
  </w:style>
  <w:style w:type="character" w:customStyle="1" w:styleId="128">
    <w:name w:val="批注主题 Char"/>
    <w:link w:val="49"/>
    <w:qFormat/>
    <w:uiPriority w:val="0"/>
    <w:rPr>
      <w:b/>
      <w:bCs/>
      <w:kern w:val="2"/>
      <w:sz w:val="21"/>
      <w:szCs w:val="24"/>
    </w:rPr>
  </w:style>
  <w:style w:type="character" w:customStyle="1" w:styleId="129">
    <w:name w:val="p12"/>
    <w:basedOn w:val="54"/>
    <w:qFormat/>
    <w:uiPriority w:val="0"/>
  </w:style>
  <w:style w:type="character" w:customStyle="1" w:styleId="130">
    <w:name w:val="表格内容"/>
    <w:qFormat/>
    <w:uiPriority w:val="0"/>
    <w:rPr>
      <w:sz w:val="24"/>
    </w:rPr>
  </w:style>
  <w:style w:type="character" w:customStyle="1" w:styleId="131">
    <w:name w:val="正文文本缩进 Char"/>
    <w:link w:val="21"/>
    <w:qFormat/>
    <w:uiPriority w:val="0"/>
    <w:rPr>
      <w:rFonts w:ascii="仿宋_GB2312" w:eastAsia="仿宋_GB2312"/>
      <w:sz w:val="28"/>
      <w:lang w:val="en-US" w:eastAsia="zh-CN" w:bidi="ar-SA"/>
    </w:rPr>
  </w:style>
  <w:style w:type="character" w:customStyle="1" w:styleId="132">
    <w:name w:val="HTML 预设格式 Char"/>
    <w:link w:val="45"/>
    <w:qFormat/>
    <w:uiPriority w:val="0"/>
    <w:rPr>
      <w:rFonts w:ascii="黑体" w:hAnsi="Courier New" w:eastAsia="黑体" w:cs="Courier New"/>
      <w:kern w:val="2"/>
      <w:sz w:val="21"/>
      <w:szCs w:val="24"/>
      <w:lang w:val="en-US" w:eastAsia="zh-CN" w:bidi="ar-SA"/>
    </w:rPr>
  </w:style>
  <w:style w:type="character" w:customStyle="1" w:styleId="133">
    <w:name w:val="纯文本 Char1"/>
    <w:qFormat/>
    <w:uiPriority w:val="0"/>
    <w:rPr>
      <w:rFonts w:ascii="宋体" w:hAnsi="Courier New" w:eastAsia="宋体" w:cs="Times New Roman"/>
      <w:kern w:val="0"/>
      <w:sz w:val="20"/>
      <w:szCs w:val="20"/>
    </w:rPr>
  </w:style>
  <w:style w:type="character" w:customStyle="1" w:styleId="134">
    <w:name w:val="正文首行缩进 Char Char"/>
    <w:qFormat/>
    <w:uiPriority w:val="0"/>
    <w:rPr>
      <w:rFonts w:eastAsia="仿宋_GB2312"/>
      <w:kern w:val="2"/>
      <w:sz w:val="28"/>
      <w:szCs w:val="24"/>
      <w:lang w:bidi="ar-SA"/>
    </w:rPr>
  </w:style>
  <w:style w:type="character" w:customStyle="1" w:styleId="135">
    <w:name w:val="页眉 Char"/>
    <w:link w:val="33"/>
    <w:qFormat/>
    <w:uiPriority w:val="0"/>
    <w:rPr>
      <w:rFonts w:eastAsia="宋体"/>
      <w:kern w:val="2"/>
      <w:sz w:val="18"/>
      <w:lang w:val="en-US" w:eastAsia="zh-CN" w:bidi="ar-SA"/>
    </w:rPr>
  </w:style>
  <w:style w:type="character" w:customStyle="1" w:styleId="136">
    <w:name w:val="标题 1 Char Char"/>
    <w:qFormat/>
    <w:uiPriority w:val="0"/>
    <w:rPr>
      <w:rFonts w:eastAsia="宋体"/>
      <w:b/>
      <w:bCs/>
      <w:kern w:val="44"/>
      <w:sz w:val="44"/>
      <w:szCs w:val="44"/>
      <w:lang w:val="en-US" w:eastAsia="zh-CN" w:bidi="ar-SA"/>
    </w:rPr>
  </w:style>
  <w:style w:type="character" w:customStyle="1" w:styleId="137">
    <w:name w:val="Font Style17"/>
    <w:qFormat/>
    <w:uiPriority w:val="0"/>
    <w:rPr>
      <w:rFonts w:ascii="黑体" w:eastAsia="黑体" w:cs="黑体"/>
      <w:sz w:val="28"/>
      <w:szCs w:val="28"/>
    </w:rPr>
  </w:style>
  <w:style w:type="character" w:customStyle="1" w:styleId="138">
    <w:name w:val="Char Char10"/>
    <w:qFormat/>
    <w:uiPriority w:val="0"/>
    <w:rPr>
      <w:rFonts w:eastAsia="宋体"/>
      <w:kern w:val="2"/>
      <w:sz w:val="18"/>
      <w:szCs w:val="18"/>
      <w:lang w:val="en-US" w:eastAsia="zh-CN" w:bidi="ar-SA"/>
    </w:rPr>
  </w:style>
  <w:style w:type="character" w:customStyle="1" w:styleId="139">
    <w:name w:val="正文文本缩进 3 Char Char"/>
    <w:qFormat/>
    <w:uiPriority w:val="0"/>
    <w:rPr>
      <w:kern w:val="2"/>
      <w:sz w:val="16"/>
      <w:szCs w:val="16"/>
      <w:lang w:bidi="ar-SA"/>
    </w:rPr>
  </w:style>
  <w:style w:type="character" w:customStyle="1" w:styleId="140">
    <w:name w:val="标题 3 Char Char"/>
    <w:qFormat/>
    <w:uiPriority w:val="0"/>
    <w:rPr>
      <w:rFonts w:eastAsia="宋体"/>
      <w:b/>
      <w:bCs/>
      <w:kern w:val="2"/>
      <w:sz w:val="32"/>
      <w:szCs w:val="32"/>
      <w:lang w:val="en-US" w:eastAsia="zh-CN" w:bidi="ar-SA"/>
    </w:rPr>
  </w:style>
  <w:style w:type="character" w:customStyle="1" w:styleId="141">
    <w:name w:val="nine-11"/>
    <w:qFormat/>
    <w:uiPriority w:val="0"/>
    <w:rPr>
      <w:rFonts w:hint="default"/>
      <w:sz w:val="18"/>
      <w:szCs w:val="18"/>
    </w:rPr>
  </w:style>
  <w:style w:type="character" w:customStyle="1" w:styleId="142">
    <w:name w:val="标题 7 Char"/>
    <w:link w:val="10"/>
    <w:qFormat/>
    <w:uiPriority w:val="0"/>
    <w:rPr>
      <w:rFonts w:eastAsia="宋体"/>
      <w:b/>
      <w:bCs/>
      <w:kern w:val="2"/>
      <w:sz w:val="24"/>
      <w:szCs w:val="24"/>
      <w:lang w:val="en-US" w:eastAsia="zh-CN" w:bidi="ar-SA"/>
    </w:rPr>
  </w:style>
  <w:style w:type="character" w:customStyle="1" w:styleId="143">
    <w:name w:val="题注 Char1"/>
    <w:qFormat/>
    <w:uiPriority w:val="0"/>
    <w:rPr>
      <w:rFonts w:ascii="Arial" w:hAnsi="Arial" w:eastAsia="宋体" w:cs="Arial"/>
      <w:kern w:val="2"/>
      <w:lang w:val="en-US" w:eastAsia="zh-CN" w:bidi="ar-SA"/>
    </w:rPr>
  </w:style>
  <w:style w:type="character" w:customStyle="1" w:styleId="144">
    <w:name w:val="正文缩进 Char2"/>
    <w:link w:val="145"/>
    <w:qFormat/>
    <w:uiPriority w:val="0"/>
    <w:rPr>
      <w:rFonts w:ascii="宋体" w:eastAsia="宋体"/>
      <w:sz w:val="34"/>
      <w:lang w:bidi="ar-SA"/>
    </w:rPr>
  </w:style>
  <w:style w:type="paragraph" w:customStyle="1" w:styleId="145">
    <w:name w:val="Normal Indent1"/>
    <w:basedOn w:val="1"/>
    <w:link w:val="144"/>
    <w:qFormat/>
    <w:uiPriority w:val="0"/>
    <w:pPr>
      <w:autoSpaceDE w:val="0"/>
      <w:autoSpaceDN w:val="0"/>
      <w:adjustRightInd w:val="0"/>
      <w:ind w:firstLine="420"/>
      <w:jc w:val="left"/>
      <w:textAlignment w:val="baseline"/>
    </w:pPr>
    <w:rPr>
      <w:rFonts w:ascii="宋体"/>
      <w:kern w:val="0"/>
      <w:sz w:val="34"/>
      <w:szCs w:val="20"/>
    </w:rPr>
  </w:style>
  <w:style w:type="character" w:customStyle="1" w:styleId="146">
    <w:name w:val="表标题 Char Char"/>
    <w:link w:val="147"/>
    <w:qFormat/>
    <w:uiPriority w:val="0"/>
    <w:rPr>
      <w:b/>
    </w:rPr>
  </w:style>
  <w:style w:type="paragraph" w:customStyle="1" w:styleId="147">
    <w:name w:val="表标题"/>
    <w:basedOn w:val="5"/>
    <w:link w:val="146"/>
    <w:qFormat/>
    <w:uiPriority w:val="0"/>
    <w:pPr>
      <w:autoSpaceDE/>
      <w:autoSpaceDN/>
      <w:snapToGrid w:val="0"/>
      <w:spacing w:before="62" w:after="62"/>
      <w:ind w:firstLine="0"/>
      <w:jc w:val="center"/>
      <w:textAlignment w:val="auto"/>
    </w:pPr>
    <w:rPr>
      <w:rFonts w:ascii="Times New Roman"/>
      <w:b/>
      <w:sz w:val="20"/>
    </w:rPr>
  </w:style>
  <w:style w:type="character" w:customStyle="1" w:styleId="148">
    <w:name w:val="Char Char8"/>
    <w:qFormat/>
    <w:uiPriority w:val="0"/>
    <w:rPr>
      <w:rFonts w:ascii="宋体" w:hAnsi="Courier New" w:eastAsia="宋体"/>
      <w:kern w:val="2"/>
      <w:sz w:val="21"/>
      <w:lang w:val="en-US" w:eastAsia="zh-CN" w:bidi="ar-SA"/>
    </w:rPr>
  </w:style>
  <w:style w:type="character" w:customStyle="1" w:styleId="149">
    <w:name w:val="标题 5 Char"/>
    <w:link w:val="8"/>
    <w:qFormat/>
    <w:uiPriority w:val="0"/>
    <w:rPr>
      <w:rFonts w:eastAsia="宋体"/>
      <w:b/>
      <w:kern w:val="2"/>
      <w:sz w:val="28"/>
      <w:lang w:val="en-US" w:eastAsia="zh-CN" w:bidi="ar-SA"/>
    </w:rPr>
  </w:style>
  <w:style w:type="character" w:customStyle="1" w:styleId="150">
    <w:name w:val="Char Char5"/>
    <w:qFormat/>
    <w:uiPriority w:val="0"/>
    <w:rPr>
      <w:rFonts w:eastAsia="宋体"/>
      <w:kern w:val="2"/>
      <w:sz w:val="18"/>
      <w:lang w:val="en-US" w:eastAsia="zh-CN" w:bidi="ar-SA"/>
    </w:rPr>
  </w:style>
  <w:style w:type="character" w:customStyle="1" w:styleId="151">
    <w:name w:val="style18"/>
    <w:qFormat/>
    <w:uiPriority w:val="0"/>
  </w:style>
  <w:style w:type="character" w:customStyle="1" w:styleId="152">
    <w:name w:val="批注框文本 Char"/>
    <w:link w:val="31"/>
    <w:qFormat/>
    <w:uiPriority w:val="0"/>
    <w:rPr>
      <w:rFonts w:eastAsia="宋体"/>
      <w:kern w:val="2"/>
      <w:sz w:val="18"/>
      <w:szCs w:val="18"/>
      <w:lang w:val="en-US" w:eastAsia="zh-CN" w:bidi="ar-SA"/>
    </w:rPr>
  </w:style>
  <w:style w:type="character" w:customStyle="1" w:styleId="153">
    <w:name w:val="mark"/>
    <w:basedOn w:val="54"/>
    <w:qFormat/>
    <w:uiPriority w:val="0"/>
  </w:style>
  <w:style w:type="character" w:customStyle="1" w:styleId="154">
    <w:name w:val="样式2"/>
    <w:qFormat/>
    <w:uiPriority w:val="0"/>
    <w:rPr>
      <w:rFonts w:eastAsia="华文楷体"/>
      <w:b/>
      <w:sz w:val="32"/>
    </w:rPr>
  </w:style>
  <w:style w:type="character" w:customStyle="1" w:styleId="155">
    <w:name w:val="ALT+Z Char"/>
    <w:qFormat/>
    <w:uiPriority w:val="0"/>
    <w:rPr>
      <w:rFonts w:ascii="宋体"/>
      <w:sz w:val="34"/>
    </w:rPr>
  </w:style>
  <w:style w:type="character" w:customStyle="1" w:styleId="156">
    <w:name w:val="标题 1 Char"/>
    <w:link w:val="3"/>
    <w:qFormat/>
    <w:uiPriority w:val="0"/>
    <w:rPr>
      <w:rFonts w:ascii="黑体" w:eastAsia="黑体"/>
      <w:bCs/>
      <w:kern w:val="44"/>
      <w:sz w:val="24"/>
      <w:szCs w:val="24"/>
    </w:rPr>
  </w:style>
  <w:style w:type="character" w:customStyle="1" w:styleId="157">
    <w:name w:val="正文 A Char Char"/>
    <w:link w:val="158"/>
    <w:qFormat/>
    <w:uiPriority w:val="0"/>
    <w:rPr>
      <w:rFonts w:ascii="仿宋_GB2312" w:hAnsi="Heiti SC Light" w:eastAsia="仿宋_GB2312"/>
      <w:kern w:val="2"/>
      <w:sz w:val="24"/>
      <w:lang w:val="en-US" w:eastAsia="zh-CN" w:bidi="ar-SA"/>
    </w:rPr>
  </w:style>
  <w:style w:type="paragraph" w:customStyle="1" w:styleId="158">
    <w:name w:val="正文 A"/>
    <w:link w:val="157"/>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525"/>
      </w:tabs>
      <w:spacing w:line="360" w:lineRule="auto"/>
      <w:ind w:firstLine="480"/>
    </w:pPr>
    <w:rPr>
      <w:rFonts w:ascii="仿宋_GB2312" w:hAnsi="Heiti SC Light" w:eastAsia="仿宋_GB2312" w:cs="Times New Roman"/>
      <w:kern w:val="2"/>
      <w:sz w:val="24"/>
      <w:lang w:val="en-US" w:eastAsia="zh-CN" w:bidi="ar-SA"/>
    </w:rPr>
  </w:style>
  <w:style w:type="character" w:customStyle="1" w:styleId="159">
    <w:name w:val="正文首行缩进 Char"/>
    <w:link w:val="50"/>
    <w:qFormat/>
    <w:uiPriority w:val="0"/>
    <w:rPr>
      <w:rFonts w:ascii="Calibri" w:hAnsi="Calibri" w:eastAsia="宋体"/>
      <w:kern w:val="2"/>
      <w:sz w:val="21"/>
      <w:szCs w:val="22"/>
      <w:lang w:val="en-US" w:eastAsia="zh-CN" w:bidi="ar-SA"/>
    </w:rPr>
  </w:style>
  <w:style w:type="character" w:customStyle="1" w:styleId="160">
    <w:name w:val="ca-9"/>
    <w:basedOn w:val="54"/>
    <w:qFormat/>
    <w:uiPriority w:val="0"/>
  </w:style>
  <w:style w:type="character" w:customStyle="1" w:styleId="161">
    <w:name w:val="正文（缩进） Char Char"/>
    <w:link w:val="162"/>
    <w:qFormat/>
    <w:uiPriority w:val="0"/>
    <w:rPr>
      <w:rFonts w:eastAsia="宋体"/>
      <w:kern w:val="2"/>
      <w:sz w:val="24"/>
      <w:szCs w:val="24"/>
      <w:lang w:val="en-US" w:eastAsia="zh-CN" w:bidi="ar-SA"/>
    </w:rPr>
  </w:style>
  <w:style w:type="paragraph" w:customStyle="1" w:styleId="162">
    <w:name w:val="正文（缩进）"/>
    <w:basedOn w:val="1"/>
    <w:link w:val="161"/>
    <w:qFormat/>
    <w:uiPriority w:val="0"/>
    <w:pPr>
      <w:spacing w:beforeLines="50" w:afterLines="50" w:line="360" w:lineRule="auto"/>
      <w:ind w:firstLine="480" w:firstLineChars="200"/>
    </w:pPr>
    <w:rPr>
      <w:sz w:val="24"/>
    </w:rPr>
  </w:style>
  <w:style w:type="paragraph" w:customStyle="1" w:styleId="163">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64">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65">
    <w:name w:val="字元 字元"/>
    <w:basedOn w:val="1"/>
    <w:qFormat/>
    <w:uiPriority w:val="0"/>
    <w:pPr>
      <w:spacing w:line="360" w:lineRule="auto"/>
      <w:ind w:firstLine="200" w:firstLineChars="200"/>
    </w:pPr>
    <w:rPr>
      <w:rFonts w:ascii="宋体" w:hAnsi="宋体" w:cs="宋体"/>
      <w:sz w:val="24"/>
    </w:rPr>
  </w:style>
  <w:style w:type="paragraph" w:customStyle="1" w:styleId="166">
    <w:name w:val="列举"/>
    <w:basedOn w:val="1"/>
    <w:qFormat/>
    <w:uiPriority w:val="0"/>
    <w:pPr>
      <w:numPr>
        <w:ilvl w:val="0"/>
        <w:numId w:val="7"/>
      </w:numPr>
      <w:spacing w:line="360" w:lineRule="auto"/>
    </w:pPr>
    <w:rPr>
      <w:rFonts w:ascii="宋体"/>
    </w:rPr>
  </w:style>
  <w:style w:type="paragraph" w:customStyle="1" w:styleId="16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68">
    <w:name w:val="正文段落"/>
    <w:basedOn w:val="1"/>
    <w:qFormat/>
    <w:uiPriority w:val="0"/>
    <w:pPr>
      <w:widowControl/>
      <w:spacing w:after="40" w:line="360" w:lineRule="auto"/>
      <w:ind w:firstLine="200" w:firstLineChars="200"/>
    </w:pPr>
    <w:rPr>
      <w:kern w:val="0"/>
      <w:sz w:val="24"/>
    </w:rPr>
  </w:style>
  <w:style w:type="paragraph" w:customStyle="1" w:styleId="169">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0">
    <w:name w:val="MM Topic 4"/>
    <w:basedOn w:val="7"/>
    <w:qFormat/>
    <w:uiPriority w:val="0"/>
    <w:pPr>
      <w:numPr>
        <w:ilvl w:val="3"/>
        <w:numId w:val="8"/>
      </w:numPr>
      <w:tabs>
        <w:tab w:val="left" w:pos="425"/>
        <w:tab w:val="clear" w:pos="1984"/>
      </w:tabs>
    </w:pPr>
    <w:rPr>
      <w:bCs w:val="0"/>
    </w:rPr>
  </w:style>
  <w:style w:type="paragraph" w:customStyle="1" w:styleId="171">
    <w:name w:val="p0"/>
    <w:basedOn w:val="1"/>
    <w:qFormat/>
    <w:uiPriority w:val="0"/>
    <w:pPr>
      <w:widowControl/>
    </w:pPr>
    <w:rPr>
      <w:kern w:val="0"/>
      <w:szCs w:val="21"/>
    </w:rPr>
  </w:style>
  <w:style w:type="paragraph" w:customStyle="1" w:styleId="172">
    <w:name w:val="正文序号 1"/>
    <w:basedOn w:val="1"/>
    <w:qFormat/>
    <w:uiPriority w:val="0"/>
    <w:pPr>
      <w:numPr>
        <w:ilvl w:val="0"/>
        <w:numId w:val="9"/>
      </w:numPr>
      <w:spacing w:before="60"/>
    </w:pPr>
  </w:style>
  <w:style w:type="paragraph" w:customStyle="1" w:styleId="17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7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5">
    <w:name w:val="样式 书籍标题3 + Arial 段前: 1 行 段后: 1 行"/>
    <w:basedOn w:val="100"/>
    <w:qFormat/>
    <w:uiPriority w:val="0"/>
    <w:pPr>
      <w:numPr>
        <w:ilvl w:val="1"/>
        <w:numId w:val="10"/>
      </w:numPr>
    </w:pPr>
    <w:rPr>
      <w:rFonts w:ascii="Arial" w:hAnsi="Arial" w:cs="宋体"/>
      <w:b w:val="0"/>
      <w:bCs w:val="0"/>
    </w:rPr>
  </w:style>
  <w:style w:type="paragraph" w:customStyle="1" w:styleId="176">
    <w:name w:val="样式 标题 4Alt+41.1.1.1 Heading 4bulletblbbH44h4H41h41H42... Char"/>
    <w:basedOn w:val="7"/>
    <w:qFormat/>
    <w:uiPriority w:val="0"/>
    <w:pPr>
      <w:tabs>
        <w:tab w:val="left" w:pos="1914"/>
      </w:tabs>
      <w:spacing w:before="120" w:after="120"/>
      <w:ind w:left="1914" w:hanging="864"/>
    </w:pPr>
    <w:rPr>
      <w:rFonts w:ascii="宋体" w:hAnsi="宋体"/>
      <w:bCs w:val="0"/>
      <w:color w:val="000000"/>
    </w:rPr>
  </w:style>
  <w:style w:type="paragraph" w:customStyle="1" w:styleId="177">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8">
    <w:name w:val="题注4"/>
    <w:basedOn w:val="1"/>
    <w:next w:val="14"/>
    <w:qFormat/>
    <w:uiPriority w:val="0"/>
    <w:pPr>
      <w:ind w:left="-132" w:leftChars="-64" w:right="-105" w:rightChars="-50" w:hanging="2"/>
      <w:jc w:val="center"/>
    </w:pPr>
    <w:rPr>
      <w:b/>
      <w:color w:val="FF0000"/>
      <w:szCs w:val="21"/>
      <w:lang w:val="en-GB"/>
    </w:rPr>
  </w:style>
  <w:style w:type="paragraph" w:customStyle="1" w:styleId="179">
    <w:name w:val="font6"/>
    <w:basedOn w:val="1"/>
    <w:qFormat/>
    <w:uiPriority w:val="0"/>
    <w:pPr>
      <w:widowControl/>
      <w:spacing w:before="100" w:beforeAutospacing="1" w:after="100" w:afterAutospacing="1"/>
      <w:jc w:val="left"/>
    </w:pPr>
    <w:rPr>
      <w:kern w:val="0"/>
      <w:sz w:val="24"/>
    </w:rPr>
  </w:style>
  <w:style w:type="paragraph" w:customStyle="1" w:styleId="18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81">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8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18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185">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
    <w:name w:val="正文序号 2"/>
    <w:basedOn w:val="1"/>
    <w:qFormat/>
    <w:uiPriority w:val="0"/>
    <w:pPr>
      <w:numPr>
        <w:ilvl w:val="1"/>
        <w:numId w:val="9"/>
      </w:numPr>
      <w:spacing w:before="60"/>
    </w:pPr>
  </w:style>
  <w:style w:type="paragraph" w:customStyle="1" w:styleId="18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8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89">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90">
    <w:name w:val="Char1 Char Char Char"/>
    <w:basedOn w:val="1"/>
    <w:qFormat/>
    <w:uiPriority w:val="0"/>
    <w:pPr>
      <w:tabs>
        <w:tab w:val="left" w:pos="425"/>
      </w:tabs>
      <w:ind w:left="425" w:hanging="425"/>
    </w:pPr>
    <w:rPr>
      <w:sz w:val="24"/>
    </w:rPr>
  </w:style>
  <w:style w:type="paragraph" w:customStyle="1" w:styleId="1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92">
    <w:name w:val="加点标题"/>
    <w:basedOn w:val="1"/>
    <w:qFormat/>
    <w:uiPriority w:val="0"/>
    <w:pPr>
      <w:numPr>
        <w:ilvl w:val="0"/>
        <w:numId w:val="11"/>
      </w:numPr>
      <w:spacing w:line="360" w:lineRule="auto"/>
    </w:pPr>
    <w:rPr>
      <w:sz w:val="24"/>
    </w:rPr>
  </w:style>
  <w:style w:type="paragraph" w:customStyle="1" w:styleId="193">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194">
    <w:name w:val="默认段落字体 Para Char Char Char Char Char Char Char Char Char Char"/>
    <w:basedOn w:val="1"/>
    <w:qFormat/>
    <w:uiPriority w:val="0"/>
    <w:rPr>
      <w:rFonts w:ascii="Tahoma" w:hAnsi="Tahoma"/>
      <w:sz w:val="24"/>
      <w:szCs w:val="20"/>
    </w:rPr>
  </w:style>
  <w:style w:type="paragraph" w:customStyle="1" w:styleId="195">
    <w:name w:val="段"/>
    <w:qFormat/>
    <w:uiPriority w:val="0"/>
    <w:pPr>
      <w:numPr>
        <w:ilvl w:val="0"/>
        <w:numId w:val="12"/>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98">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199">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000000"/>
      <w:kern w:val="0"/>
      <w:sz w:val="24"/>
    </w:rPr>
  </w:style>
  <w:style w:type="paragraph" w:customStyle="1" w:styleId="20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02">
    <w:name w:val="Char Char3 Char Char"/>
    <w:basedOn w:val="1"/>
    <w:qFormat/>
    <w:uiPriority w:val="0"/>
    <w:pPr>
      <w:spacing w:line="360" w:lineRule="auto"/>
      <w:ind w:firstLine="200" w:firstLineChars="200"/>
    </w:pPr>
    <w:rPr>
      <w:rFonts w:ascii="宋体" w:hAnsi="宋体" w:cs="宋体"/>
      <w:sz w:val="24"/>
    </w:rPr>
  </w:style>
  <w:style w:type="paragraph" w:customStyle="1" w:styleId="20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0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24"/>
    </w:rPr>
  </w:style>
  <w:style w:type="paragraph" w:customStyle="1" w:styleId="205">
    <w:name w:val="pa-14"/>
    <w:basedOn w:val="1"/>
    <w:qFormat/>
    <w:uiPriority w:val="0"/>
    <w:pPr>
      <w:widowControl/>
      <w:spacing w:before="150" w:after="150"/>
      <w:jc w:val="left"/>
    </w:pPr>
    <w:rPr>
      <w:rFonts w:ascii="宋体" w:hAnsi="宋体" w:cs="宋体"/>
      <w:kern w:val="0"/>
      <w:sz w:val="24"/>
    </w:rPr>
  </w:style>
  <w:style w:type="paragraph" w:customStyle="1" w:styleId="206">
    <w:name w:val="MM Topic 5"/>
    <w:basedOn w:val="8"/>
    <w:qFormat/>
    <w:uiPriority w:val="0"/>
    <w:pPr>
      <w:numPr>
        <w:ilvl w:val="4"/>
        <w:numId w:val="8"/>
      </w:numPr>
      <w:tabs>
        <w:tab w:val="left" w:pos="425"/>
        <w:tab w:val="clear" w:pos="2551"/>
      </w:tabs>
    </w:pPr>
    <w:rPr>
      <w:bCs/>
      <w:szCs w:val="28"/>
    </w:rPr>
  </w:style>
  <w:style w:type="paragraph" w:customStyle="1" w:styleId="207">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08">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09">
    <w:name w:val="font12"/>
    <w:basedOn w:val="1"/>
    <w:qFormat/>
    <w:uiPriority w:val="0"/>
    <w:pPr>
      <w:widowControl/>
      <w:spacing w:before="100" w:beforeAutospacing="1" w:after="100" w:afterAutospacing="1"/>
      <w:jc w:val="left"/>
    </w:pPr>
    <w:rPr>
      <w:kern w:val="0"/>
      <w:sz w:val="22"/>
      <w:szCs w:val="22"/>
    </w:rPr>
  </w:style>
  <w:style w:type="paragraph" w:customStyle="1" w:styleId="21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1">
    <w:name w:val="题注5"/>
    <w:basedOn w:val="1"/>
    <w:next w:val="14"/>
    <w:qFormat/>
    <w:uiPriority w:val="0"/>
    <w:pPr>
      <w:jc w:val="center"/>
    </w:pPr>
    <w:rPr>
      <w:b/>
      <w:color w:val="000000"/>
      <w:sz w:val="24"/>
      <w:szCs w:val="21"/>
    </w:rPr>
  </w:style>
  <w:style w:type="paragraph" w:customStyle="1" w:styleId="21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13">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5">
    <w:name w:val="Char Char Char Char Char Char Char"/>
    <w:basedOn w:val="1"/>
    <w:qFormat/>
    <w:uiPriority w:val="0"/>
    <w:pPr>
      <w:tabs>
        <w:tab w:val="left" w:pos="425"/>
      </w:tabs>
      <w:ind w:left="425" w:hanging="425"/>
    </w:pPr>
    <w:rPr>
      <w:rFonts w:eastAsia="仿宋_GB2312"/>
      <w:kern w:val="24"/>
      <w:sz w:val="24"/>
    </w:rPr>
  </w:style>
  <w:style w:type="paragraph" w:customStyle="1" w:styleId="216">
    <w:name w:val="Char"/>
    <w:basedOn w:val="1"/>
    <w:qFormat/>
    <w:uiPriority w:val="0"/>
    <w:pPr>
      <w:tabs>
        <w:tab w:val="left" w:pos="1365"/>
      </w:tabs>
      <w:ind w:left="1365" w:hanging="360"/>
    </w:pPr>
    <w:rPr>
      <w:sz w:val="24"/>
    </w:rPr>
  </w:style>
  <w:style w:type="paragraph" w:customStyle="1" w:styleId="217">
    <w:name w:val="font15"/>
    <w:basedOn w:val="1"/>
    <w:qFormat/>
    <w:uiPriority w:val="0"/>
    <w:pPr>
      <w:widowControl/>
      <w:spacing w:before="100" w:beforeAutospacing="1" w:after="100" w:afterAutospacing="1"/>
      <w:jc w:val="left"/>
    </w:pPr>
    <w:rPr>
      <w:kern w:val="0"/>
      <w:sz w:val="20"/>
      <w:szCs w:val="20"/>
    </w:rPr>
  </w:style>
  <w:style w:type="paragraph" w:customStyle="1" w:styleId="218">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21">
    <w:name w:val="font8"/>
    <w:basedOn w:val="1"/>
    <w:qFormat/>
    <w:uiPriority w:val="0"/>
    <w:pPr>
      <w:widowControl/>
      <w:spacing w:before="100" w:beforeAutospacing="1" w:after="100" w:afterAutospacing="1"/>
      <w:jc w:val="left"/>
    </w:pPr>
    <w:rPr>
      <w:kern w:val="0"/>
      <w:sz w:val="20"/>
      <w:szCs w:val="20"/>
    </w:rPr>
  </w:style>
  <w:style w:type="paragraph" w:customStyle="1" w:styleId="222">
    <w:name w:val="Char2"/>
    <w:basedOn w:val="1"/>
    <w:qFormat/>
    <w:uiPriority w:val="0"/>
    <w:pPr>
      <w:tabs>
        <w:tab w:val="left" w:pos="425"/>
      </w:tabs>
      <w:ind w:left="425" w:hanging="425"/>
    </w:pPr>
    <w:rPr>
      <w:sz w:val="24"/>
    </w:rPr>
  </w:style>
  <w:style w:type="paragraph" w:customStyle="1" w:styleId="223">
    <w:name w:val="书籍标题4"/>
    <w:basedOn w:val="100"/>
    <w:next w:val="1"/>
    <w:qFormat/>
    <w:uiPriority w:val="0"/>
    <w:pPr>
      <w:numPr>
        <w:ilvl w:val="3"/>
      </w:numPr>
      <w:tabs>
        <w:tab w:val="left" w:pos="2160"/>
      </w:tabs>
      <w:ind w:left="2160"/>
      <w:outlineLvl w:val="3"/>
    </w:pPr>
    <w:rPr>
      <w:sz w:val="24"/>
      <w:szCs w:val="24"/>
      <w:lang w:val="zh-CN"/>
    </w:rPr>
  </w:style>
  <w:style w:type="paragraph" w:customStyle="1" w:styleId="224">
    <w:name w:val="样式 样式 标题 4Alt+41.1.1.1 Heading 4bulletblbbH44h4H41h41H42... + 自动..."/>
    <w:basedOn w:val="176"/>
    <w:qFormat/>
    <w:uiPriority w:val="0"/>
    <w:pPr>
      <w:numPr>
        <w:ilvl w:val="3"/>
        <w:numId w:val="13"/>
      </w:numPr>
      <w:tabs>
        <w:tab w:val="clear" w:pos="1914"/>
      </w:tabs>
    </w:pPr>
    <w:rPr>
      <w:color w:val="auto"/>
    </w:rPr>
  </w:style>
  <w:style w:type="paragraph" w:customStyle="1" w:styleId="225">
    <w:name w:val="表格"/>
    <w:basedOn w:val="1"/>
    <w:qFormat/>
    <w:uiPriority w:val="0"/>
    <w:pPr>
      <w:jc w:val="center"/>
    </w:pPr>
    <w:rPr>
      <w:rFonts w:ascii="宋体"/>
      <w:b/>
      <w:szCs w:val="20"/>
    </w:rPr>
  </w:style>
  <w:style w:type="paragraph" w:customStyle="1" w:styleId="226">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8">
    <w:name w:val="样式 首行缩进:  0.85 厘米"/>
    <w:basedOn w:val="1"/>
    <w:qFormat/>
    <w:uiPriority w:val="0"/>
    <w:pPr>
      <w:spacing w:line="360" w:lineRule="auto"/>
      <w:ind w:firstLine="200" w:firstLineChars="200"/>
    </w:pPr>
    <w:rPr>
      <w:rFonts w:cs="宋体"/>
      <w:sz w:val="24"/>
      <w:szCs w:val="20"/>
    </w:rPr>
  </w:style>
  <w:style w:type="paragraph" w:customStyle="1" w:styleId="229">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3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31">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34">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5">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3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9">
    <w:name w:val="MM Topic 1"/>
    <w:basedOn w:val="3"/>
    <w:qFormat/>
    <w:uiPriority w:val="0"/>
    <w:pPr>
      <w:numPr>
        <w:numId w:val="14"/>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40">
    <w:name w:val="列出段落11"/>
    <w:basedOn w:val="1"/>
    <w:qFormat/>
    <w:uiPriority w:val="34"/>
    <w:pPr>
      <w:ind w:firstLine="200" w:firstLineChars="200"/>
    </w:pPr>
    <w:rPr>
      <w:rFonts w:ascii="Calibri" w:hAnsi="Calibri"/>
      <w:szCs w:val="22"/>
    </w:rPr>
  </w:style>
  <w:style w:type="paragraph" w:customStyle="1" w:styleId="241">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4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43">
    <w:name w:val="没有缩进（为图形使用）"/>
    <w:basedOn w:val="1"/>
    <w:qFormat/>
    <w:uiPriority w:val="0"/>
    <w:pPr>
      <w:numPr>
        <w:ilvl w:val="0"/>
        <w:numId w:val="15"/>
      </w:numPr>
      <w:tabs>
        <w:tab w:val="clear" w:pos="2040"/>
      </w:tabs>
      <w:spacing w:before="120" w:after="120" w:line="360" w:lineRule="auto"/>
      <w:ind w:left="0" w:firstLine="0"/>
    </w:pPr>
    <w:rPr>
      <w:rFonts w:cs="宋体"/>
      <w:sz w:val="24"/>
      <w:szCs w:val="20"/>
    </w:rPr>
  </w:style>
  <w:style w:type="paragraph" w:customStyle="1" w:styleId="244">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5">
    <w:name w:val="正文序号 3"/>
    <w:basedOn w:val="1"/>
    <w:qFormat/>
    <w:uiPriority w:val="0"/>
    <w:pPr>
      <w:numPr>
        <w:ilvl w:val="2"/>
        <w:numId w:val="9"/>
      </w:numPr>
      <w:spacing w:before="60"/>
    </w:pPr>
  </w:style>
  <w:style w:type="paragraph" w:customStyle="1" w:styleId="246">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48">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249">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250">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1">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252">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53">
    <w:name w:val="Char1 Char Char Char1"/>
    <w:basedOn w:val="1"/>
    <w:qFormat/>
    <w:uiPriority w:val="0"/>
    <w:pPr>
      <w:ind w:left="1365" w:hanging="360"/>
    </w:pPr>
    <w:rPr>
      <w:sz w:val="24"/>
    </w:rPr>
  </w:style>
  <w:style w:type="paragraph" w:customStyle="1" w:styleId="254">
    <w:name w:val="MM Topic 2"/>
    <w:basedOn w:val="4"/>
    <w:qFormat/>
    <w:uiPriority w:val="0"/>
    <w:pPr>
      <w:widowControl w:val="0"/>
      <w:numPr>
        <w:ilvl w:val="0"/>
        <w:numId w:val="16"/>
      </w:numPr>
      <w:tabs>
        <w:tab w:val="left" w:pos="425"/>
        <w:tab w:val="clear" w:pos="2040"/>
      </w:tabs>
      <w:autoSpaceDE/>
      <w:autoSpaceDN/>
      <w:adjustRightInd/>
      <w:snapToGrid/>
      <w:spacing w:line="415" w:lineRule="auto"/>
      <w:ind w:left="0" w:firstLine="0"/>
      <w:jc w:val="both"/>
      <w:textAlignment w:val="auto"/>
    </w:pPr>
    <w:rPr>
      <w:rFonts w:ascii="Arial" w:hAnsi="Arial"/>
      <w:b w:val="0"/>
    </w:rPr>
  </w:style>
  <w:style w:type="paragraph" w:customStyle="1" w:styleId="255">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6">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5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8">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59">
    <w:name w:val="MM Topic 6"/>
    <w:basedOn w:val="9"/>
    <w:qFormat/>
    <w:uiPriority w:val="0"/>
    <w:pPr>
      <w:numPr>
        <w:ilvl w:val="5"/>
        <w:numId w:val="8"/>
      </w:numPr>
      <w:tabs>
        <w:tab w:val="left" w:pos="425"/>
        <w:tab w:val="clear" w:pos="3260"/>
      </w:tabs>
      <w:spacing w:line="319" w:lineRule="auto"/>
    </w:pPr>
    <w:rPr>
      <w:bCs w:val="0"/>
    </w:rPr>
  </w:style>
  <w:style w:type="paragraph" w:customStyle="1" w:styleId="260">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6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62">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263">
    <w:name w:val="办公自动化专用标题"/>
    <w:basedOn w:val="48"/>
    <w:qFormat/>
    <w:uiPriority w:val="0"/>
    <w:pPr>
      <w:spacing w:line="560" w:lineRule="atLeast"/>
    </w:pPr>
    <w:rPr>
      <w:rFonts w:ascii="宋体" w:hAnsi="Arial"/>
      <w:bCs w:val="0"/>
      <w:sz w:val="44"/>
      <w:szCs w:val="20"/>
    </w:rPr>
  </w:style>
  <w:style w:type="paragraph" w:customStyle="1" w:styleId="264">
    <w:name w:val="List Paragraph1"/>
    <w:basedOn w:val="1"/>
    <w:qFormat/>
    <w:uiPriority w:val="0"/>
    <w:pPr>
      <w:ind w:firstLine="420" w:firstLineChars="200"/>
    </w:pPr>
    <w:rPr>
      <w:rFonts w:ascii="Calibri" w:hAnsi="Calibri" w:cs="黑体"/>
      <w:szCs w:val="22"/>
    </w:rPr>
  </w:style>
  <w:style w:type="paragraph" w:customStyle="1" w:styleId="26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266">
    <w:name w:val="缺省文本"/>
    <w:basedOn w:val="1"/>
    <w:qFormat/>
    <w:uiPriority w:val="0"/>
    <w:pPr>
      <w:autoSpaceDE w:val="0"/>
      <w:autoSpaceDN w:val="0"/>
      <w:adjustRightInd w:val="0"/>
      <w:jc w:val="left"/>
    </w:pPr>
    <w:rPr>
      <w:kern w:val="0"/>
      <w:sz w:val="24"/>
    </w:rPr>
  </w:style>
  <w:style w:type="paragraph" w:customStyle="1" w:styleId="267">
    <w:name w:val="正文 + 宋体"/>
    <w:basedOn w:val="1"/>
    <w:qFormat/>
    <w:uiPriority w:val="0"/>
    <w:pPr>
      <w:tabs>
        <w:tab w:val="left" w:pos="420"/>
      </w:tabs>
      <w:autoSpaceDE w:val="0"/>
      <w:autoSpaceDN w:val="0"/>
      <w:spacing w:line="360" w:lineRule="auto"/>
      <w:ind w:left="780" w:hanging="360"/>
    </w:pPr>
    <w:rPr>
      <w:rFonts w:ascii="宋体" w:hAnsi="宋体"/>
      <w:szCs w:val="21"/>
    </w:rPr>
  </w:style>
  <w:style w:type="paragraph" w:customStyle="1" w:styleId="268">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269">
    <w:name w:val="默认段落字体 Para Char"/>
    <w:basedOn w:val="1"/>
    <w:qFormat/>
    <w:uiPriority w:val="0"/>
    <w:rPr>
      <w:rFonts w:ascii="Tahoma" w:hAnsi="Tahoma"/>
      <w:sz w:val="24"/>
      <w:szCs w:val="20"/>
    </w:rPr>
  </w:style>
  <w:style w:type="paragraph" w:customStyle="1" w:styleId="270">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1">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7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73">
    <w:name w:val="Char1"/>
    <w:basedOn w:val="1"/>
    <w:qFormat/>
    <w:uiPriority w:val="0"/>
    <w:pPr>
      <w:widowControl/>
      <w:spacing w:line="400" w:lineRule="exact"/>
      <w:jc w:val="center"/>
    </w:pPr>
    <w:rPr>
      <w:rFonts w:ascii="Verdana" w:hAnsi="Verdana"/>
      <w:kern w:val="0"/>
      <w:szCs w:val="20"/>
      <w:lang w:eastAsia="en-US"/>
    </w:rPr>
  </w:style>
  <w:style w:type="paragraph" w:customStyle="1" w:styleId="274">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_Style 4"/>
    <w:basedOn w:val="1"/>
    <w:qFormat/>
    <w:uiPriority w:val="0"/>
    <w:pPr>
      <w:spacing w:beforeLines="50" w:afterLines="50"/>
    </w:pPr>
  </w:style>
  <w:style w:type="paragraph" w:customStyle="1" w:styleId="277">
    <w:name w:val="Char28"/>
    <w:basedOn w:val="1"/>
    <w:qFormat/>
    <w:uiPriority w:val="0"/>
    <w:pPr>
      <w:adjustRightInd w:val="0"/>
      <w:spacing w:line="360" w:lineRule="auto"/>
    </w:pPr>
  </w:style>
  <w:style w:type="paragraph" w:customStyle="1" w:styleId="278">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9">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80">
    <w:name w:val="默认段落字体 Para Char Char Char1 Char"/>
    <w:basedOn w:val="51"/>
    <w:qFormat/>
    <w:uiPriority w:val="0"/>
  </w:style>
  <w:style w:type="paragraph" w:customStyle="1" w:styleId="28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8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83">
    <w:name w:val="图框内的文字"/>
    <w:basedOn w:val="1"/>
    <w:qFormat/>
    <w:uiPriority w:val="0"/>
    <w:pPr>
      <w:jc w:val="center"/>
    </w:pPr>
    <w:rPr>
      <w:position w:val="6"/>
      <w:szCs w:val="20"/>
    </w:rPr>
  </w:style>
  <w:style w:type="paragraph" w:customStyle="1" w:styleId="284">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5">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6">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87">
    <w:name w:val="Char Char1 Char Char Char Char Char Char"/>
    <w:basedOn w:val="1"/>
    <w:qFormat/>
    <w:uiPriority w:val="0"/>
    <w:pPr>
      <w:widowControl/>
      <w:numPr>
        <w:ilvl w:val="0"/>
        <w:numId w:val="17"/>
      </w:numPr>
      <w:tabs>
        <w:tab w:val="clear" w:pos="360"/>
      </w:tabs>
      <w:spacing w:after="160" w:line="240" w:lineRule="exact"/>
      <w:ind w:left="0" w:firstLine="0"/>
      <w:jc w:val="center"/>
    </w:pPr>
    <w:rPr>
      <w:rFonts w:ascii="黑体" w:hAnsi="Calibri" w:eastAsia="黑体"/>
      <w:kern w:val="0"/>
      <w:sz w:val="36"/>
      <w:szCs w:val="36"/>
    </w:rPr>
  </w:style>
  <w:style w:type="paragraph" w:customStyle="1" w:styleId="288">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9">
    <w:name w:val="Char Char Char1 Char Char Char Char Char Char Char"/>
    <w:basedOn w:val="1"/>
    <w:qFormat/>
    <w:uiPriority w:val="0"/>
    <w:rPr>
      <w:rFonts w:ascii="Arial" w:hAnsi="Arial" w:cs="Arial"/>
      <w:sz w:val="20"/>
      <w:szCs w:val="20"/>
    </w:rPr>
  </w:style>
  <w:style w:type="paragraph" w:customStyle="1" w:styleId="29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91">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92">
    <w:name w:val="MM Topic 3"/>
    <w:basedOn w:val="6"/>
    <w:qFormat/>
    <w:uiPriority w:val="0"/>
    <w:pPr>
      <w:widowControl w:val="0"/>
      <w:numPr>
        <w:numId w:val="8"/>
      </w:numPr>
      <w:tabs>
        <w:tab w:val="left" w:pos="425"/>
        <w:tab w:val="left" w:pos="1418"/>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9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29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295">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96">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97">
    <w:name w:val="字元 字元1"/>
    <w:basedOn w:val="1"/>
    <w:qFormat/>
    <w:uiPriority w:val="0"/>
    <w:pPr>
      <w:spacing w:line="360" w:lineRule="auto"/>
      <w:ind w:firstLine="200" w:firstLineChars="200"/>
    </w:pPr>
    <w:rPr>
      <w:rFonts w:ascii="宋体" w:hAnsi="宋体" w:cs="宋体"/>
      <w:sz w:val="24"/>
    </w:rPr>
  </w:style>
  <w:style w:type="paragraph" w:customStyle="1" w:styleId="29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99">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00">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01">
    <w:name w:val="Char Char Char Char Char Char Char Char Char"/>
    <w:basedOn w:val="1"/>
    <w:qFormat/>
    <w:uiPriority w:val="0"/>
    <w:pPr>
      <w:widowControl/>
      <w:spacing w:after="160" w:line="240" w:lineRule="exact"/>
      <w:jc w:val="left"/>
    </w:pPr>
  </w:style>
  <w:style w:type="paragraph" w:customStyle="1" w:styleId="302">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303">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4">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05">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06">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307">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8">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309">
    <w:name w:val="Char Char Char Char Char Char"/>
    <w:basedOn w:val="1"/>
    <w:qFormat/>
    <w:uiPriority w:val="0"/>
    <w:pPr>
      <w:widowControl/>
      <w:spacing w:after="160" w:line="240" w:lineRule="exact"/>
      <w:jc w:val="left"/>
    </w:pPr>
    <w:rPr>
      <w:sz w:val="32"/>
      <w:szCs w:val="20"/>
    </w:rPr>
  </w:style>
  <w:style w:type="paragraph" w:customStyle="1" w:styleId="310">
    <w:name w:val="pa-3"/>
    <w:basedOn w:val="1"/>
    <w:qFormat/>
    <w:uiPriority w:val="0"/>
    <w:pPr>
      <w:widowControl/>
      <w:spacing w:before="150" w:after="150"/>
      <w:jc w:val="left"/>
    </w:pPr>
    <w:rPr>
      <w:rFonts w:ascii="宋体" w:hAnsi="宋体" w:cs="宋体"/>
      <w:kern w:val="0"/>
      <w:sz w:val="24"/>
    </w:rPr>
  </w:style>
  <w:style w:type="paragraph" w:customStyle="1" w:styleId="311">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2">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313">
    <w:name w:val="Char Char2 Char"/>
    <w:basedOn w:val="1"/>
    <w:qFormat/>
    <w:uiPriority w:val="0"/>
    <w:rPr>
      <w:rFonts w:ascii="宋体" w:hAnsi="宋体"/>
      <w:b/>
      <w:sz w:val="28"/>
      <w:szCs w:val="28"/>
    </w:rPr>
  </w:style>
  <w:style w:type="paragraph" w:customStyle="1" w:styleId="314">
    <w:name w:val="_Style 2"/>
    <w:basedOn w:val="1"/>
    <w:qFormat/>
    <w:uiPriority w:val="0"/>
    <w:pPr>
      <w:ind w:firstLine="420" w:firstLineChars="200"/>
    </w:pPr>
  </w:style>
  <w:style w:type="paragraph" w:customStyle="1" w:styleId="315">
    <w:name w:val="Normal_2"/>
    <w:qFormat/>
    <w:uiPriority w:val="0"/>
    <w:pPr>
      <w:spacing w:before="120" w:after="240"/>
      <w:jc w:val="both"/>
    </w:pPr>
    <w:rPr>
      <w:rFonts w:ascii="Calibri" w:hAnsi="Calibri" w:eastAsia="Calibri" w:cs="Times New Roman"/>
      <w:sz w:val="22"/>
      <w:szCs w:val="22"/>
      <w:lang w:val="ru-RU" w:eastAsia="en-US" w:bidi="ar-SA"/>
    </w:rPr>
  </w:style>
  <w:style w:type="paragraph" w:customStyle="1" w:styleId="316">
    <w:name w:val="Char3"/>
    <w:basedOn w:val="1"/>
    <w:qFormat/>
    <w:uiPriority w:val="0"/>
  </w:style>
  <w:style w:type="paragraph" w:customStyle="1" w:styleId="317">
    <w:name w:val="Char Char Char Char Char Char Char Char Char1"/>
    <w:basedOn w:val="1"/>
    <w:qFormat/>
    <w:uiPriority w:val="0"/>
    <w:rPr>
      <w:sz w:val="28"/>
    </w:rPr>
  </w:style>
  <w:style w:type="paragraph" w:customStyle="1" w:styleId="318">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19">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32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322">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323">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324">
    <w:name w:val="正文序号 4"/>
    <w:basedOn w:val="1"/>
    <w:qFormat/>
    <w:uiPriority w:val="0"/>
    <w:pPr>
      <w:numPr>
        <w:ilvl w:val="3"/>
        <w:numId w:val="9"/>
      </w:numPr>
      <w:spacing w:before="60"/>
    </w:pPr>
  </w:style>
  <w:style w:type="paragraph" w:customStyle="1" w:styleId="325">
    <w:name w:val="特点标题"/>
    <w:basedOn w:val="1"/>
    <w:next w:val="41"/>
    <w:qFormat/>
    <w:uiPriority w:val="0"/>
    <w:pPr>
      <w:adjustRightInd w:val="0"/>
      <w:spacing w:line="360" w:lineRule="auto"/>
      <w:ind w:firstLine="482"/>
      <w:textAlignment w:val="baseline"/>
    </w:pPr>
    <w:rPr>
      <w:rFonts w:ascii="宋体" w:hAnsi="宋体"/>
      <w:kern w:val="0"/>
      <w:sz w:val="24"/>
    </w:rPr>
  </w:style>
  <w:style w:type="paragraph" w:customStyle="1" w:styleId="32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2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28">
    <w:name w:val="表格文字"/>
    <w:basedOn w:val="1"/>
    <w:qFormat/>
    <w:uiPriority w:val="0"/>
    <w:pPr>
      <w:numPr>
        <w:ilvl w:val="0"/>
        <w:numId w:val="18"/>
      </w:numPr>
      <w:tabs>
        <w:tab w:val="clear" w:pos="360"/>
      </w:tabs>
      <w:ind w:left="0" w:firstLine="0"/>
      <w:jc w:val="left"/>
    </w:pPr>
    <w:rPr>
      <w:rFonts w:ascii="Arial" w:hAnsi="Arial" w:eastAsia="仿宋_GB2312" w:cs="Arial"/>
      <w:sz w:val="18"/>
      <w:szCs w:val="18"/>
    </w:rPr>
  </w:style>
  <w:style w:type="paragraph" w:customStyle="1" w:styleId="329">
    <w:name w:val="正文文本样式"/>
    <w:basedOn w:val="1"/>
    <w:qFormat/>
    <w:uiPriority w:val="0"/>
    <w:pPr>
      <w:spacing w:line="360" w:lineRule="auto"/>
      <w:ind w:firstLine="482"/>
    </w:pPr>
    <w:rPr>
      <w:rFonts w:cs="宋体"/>
      <w:sz w:val="24"/>
      <w:szCs w:val="20"/>
    </w:rPr>
  </w:style>
  <w:style w:type="paragraph" w:customStyle="1" w:styleId="33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331">
    <w:name w:val="xl33"/>
    <w:basedOn w:val="1"/>
    <w:qFormat/>
    <w:uiPriority w:val="0"/>
    <w:pPr>
      <w:widowControl/>
      <w:spacing w:before="100" w:beforeAutospacing="1" w:after="100" w:afterAutospacing="1"/>
      <w:jc w:val="center"/>
      <w:textAlignment w:val="center"/>
    </w:pPr>
    <w:rPr>
      <w:rFonts w:hint="eastAsia" w:ascii="黑体" w:hAnsi="Arial Unicode MS" w:eastAsia="黑体" w:cs="Arial Unicode MS"/>
      <w:kern w:val="0"/>
      <w:sz w:val="24"/>
    </w:rPr>
  </w:style>
  <w:style w:type="paragraph" w:customStyle="1" w:styleId="332">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3">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334">
    <w:name w:val="正文1"/>
    <w:basedOn w:val="1"/>
    <w:qFormat/>
    <w:uiPriority w:val="0"/>
    <w:pPr>
      <w:spacing w:line="360" w:lineRule="auto"/>
    </w:pPr>
    <w:rPr>
      <w:rFonts w:ascii="宋体" w:hAnsi="宋体"/>
      <w:sz w:val="24"/>
    </w:rPr>
  </w:style>
  <w:style w:type="paragraph" w:customStyle="1" w:styleId="335">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Arial Unicode MS"/>
      <w:color w:val="000000"/>
      <w:kern w:val="0"/>
      <w:sz w:val="24"/>
    </w:rPr>
  </w:style>
  <w:style w:type="paragraph" w:customStyle="1" w:styleId="337">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338">
    <w:name w:val="pa-15"/>
    <w:basedOn w:val="1"/>
    <w:qFormat/>
    <w:uiPriority w:val="0"/>
    <w:pPr>
      <w:widowControl/>
      <w:spacing w:before="150" w:after="150"/>
      <w:jc w:val="left"/>
    </w:pPr>
    <w:rPr>
      <w:rFonts w:ascii="宋体" w:hAnsi="宋体" w:cs="宋体"/>
      <w:kern w:val="0"/>
      <w:sz w:val="24"/>
    </w:rPr>
  </w:style>
  <w:style w:type="paragraph" w:customStyle="1" w:styleId="339">
    <w:name w:val="font9"/>
    <w:basedOn w:val="1"/>
    <w:qFormat/>
    <w:uiPriority w:val="0"/>
    <w:pPr>
      <w:widowControl/>
      <w:spacing w:before="100" w:beforeAutospacing="1" w:after="100" w:afterAutospacing="1"/>
      <w:jc w:val="left"/>
    </w:pPr>
    <w:rPr>
      <w:color w:val="000000"/>
      <w:kern w:val="0"/>
      <w:sz w:val="20"/>
      <w:szCs w:val="20"/>
    </w:rPr>
  </w:style>
  <w:style w:type="paragraph" w:customStyle="1" w:styleId="340">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341">
    <w:name w:val="pa-13"/>
    <w:basedOn w:val="1"/>
    <w:qFormat/>
    <w:uiPriority w:val="0"/>
    <w:pPr>
      <w:widowControl/>
      <w:spacing w:before="150" w:after="150"/>
      <w:jc w:val="left"/>
    </w:pPr>
    <w:rPr>
      <w:rFonts w:ascii="宋体" w:hAnsi="宋体" w:cs="宋体"/>
      <w:kern w:val="0"/>
      <w:sz w:val="24"/>
    </w:rPr>
  </w:style>
  <w:style w:type="paragraph" w:customStyle="1" w:styleId="342">
    <w:name w:val="列表数字1"/>
    <w:next w:val="50"/>
    <w:qFormat/>
    <w:uiPriority w:val="0"/>
    <w:pPr>
      <w:numPr>
        <w:ilvl w:val="0"/>
        <w:numId w:val="19"/>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34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eastAsia="Arial Unicode MS"/>
      <w:color w:val="000000"/>
      <w:kern w:val="0"/>
      <w:sz w:val="24"/>
    </w:rPr>
  </w:style>
  <w:style w:type="paragraph" w:customStyle="1" w:styleId="344">
    <w:name w:val="Item List in Table"/>
    <w:basedOn w:val="1"/>
    <w:qFormat/>
    <w:uiPriority w:val="0"/>
    <w:pPr>
      <w:numPr>
        <w:ilvl w:val="0"/>
        <w:numId w:val="20"/>
      </w:numPr>
      <w:jc w:val="left"/>
    </w:pPr>
  </w:style>
  <w:style w:type="paragraph" w:customStyle="1" w:styleId="345">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346">
    <w:name w:val="正文缩进2字符"/>
    <w:basedOn w:val="50"/>
    <w:qFormat/>
    <w:uiPriority w:val="0"/>
    <w:pPr>
      <w:spacing w:after="0" w:line="360" w:lineRule="auto"/>
      <w:ind w:firstLine="200" w:firstLineChars="200"/>
    </w:pPr>
    <w:rPr>
      <w:sz w:val="24"/>
      <w:szCs w:val="24"/>
    </w:rPr>
  </w:style>
  <w:style w:type="paragraph" w:customStyle="1" w:styleId="347">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348">
    <w:name w:val="xl105"/>
    <w:basedOn w:val="1"/>
    <w:qFormat/>
    <w:uiPriority w:val="0"/>
    <w:pPr>
      <w:widowControl/>
      <w:spacing w:before="100" w:beforeAutospacing="1" w:after="100" w:afterAutospacing="1"/>
      <w:jc w:val="left"/>
    </w:pPr>
    <w:rPr>
      <w:rFonts w:ascii="宋体" w:hAnsi="宋体" w:cs="宋体"/>
      <w:kern w:val="0"/>
      <w:sz w:val="20"/>
      <w:szCs w:val="20"/>
    </w:rPr>
  </w:style>
  <w:style w:type="character" w:customStyle="1" w:styleId="349">
    <w:name w:val="Placeholder Text"/>
    <w:basedOn w:val="54"/>
    <w:semiHidden/>
    <w:qFormat/>
    <w:uiPriority w:val="99"/>
    <w:rPr>
      <w:color w:val="808080"/>
    </w:rPr>
  </w:style>
  <w:style w:type="paragraph" w:customStyle="1" w:styleId="350">
    <w:name w:val="列出段落2"/>
    <w:basedOn w:val="1"/>
    <w:next w:val="104"/>
    <w:qFormat/>
    <w:uiPriority w:val="0"/>
    <w:pPr>
      <w:ind w:firstLine="420" w:firstLineChars="200"/>
    </w:pPr>
    <w:rPr>
      <w:rFonts w:ascii="Calibri" w:hAnsi="Calibri" w:eastAsia="黑体" w:cs="Times New Roman"/>
      <w:bCs/>
      <w:sz w:val="30"/>
      <w:szCs w:val="30"/>
    </w:rPr>
  </w:style>
  <w:style w:type="character" w:customStyle="1" w:styleId="351">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48</Pages>
  <Words>23825</Words>
  <Characters>25077</Characters>
  <Lines>241</Lines>
  <Paragraphs>68</Paragraphs>
  <TotalTime>8</TotalTime>
  <ScaleCrop>false</ScaleCrop>
  <LinksUpToDate>false</LinksUpToDate>
  <CharactersWithSpaces>29314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2017-11-25T01:31:00Z</dcterms:created>
  <dc:creator>杨佳佳</dc:creator>
  <cp:lastModifiedBy>冯国辉</cp:lastModifiedBy>
  <cp:lastPrinted>2017-03-07T01:32:00Z</cp:lastPrinted>
  <dcterms:modified xsi:type="dcterms:W3CDTF">2022-07-04T09:38:35Z</dcterms:modified>
  <dc:title>货物公开招标</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8621BEC6DC904304A2AC558CC7245B25</vt:lpwstr>
  </property>
</Properties>
</file>