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widowControl/>
        <w:adjustRightInd w:val="0"/>
        <w:snapToGrid w:val="0"/>
        <w:spacing w:line="360" w:lineRule="auto"/>
        <w:jc w:val="left"/>
        <w:rPr>
          <w:rFonts w:hAnsi="宋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1"/>
                    <a:stretch>
                      <a:fillRect/>
                    </a:stretch>
                  </pic:blipFill>
                  <pic:spPr>
                    <a:xfrm>
                      <a:off x="0" y="0"/>
                      <a:ext cx="2265680" cy="400685"/>
                    </a:xfrm>
                    <a:prstGeom prst="rect">
                      <a:avLst/>
                    </a:prstGeom>
                  </pic:spPr>
                </pic:pic>
              </a:graphicData>
            </a:graphic>
          </wp:inline>
        </w:drawing>
      </w:r>
    </w:p>
    <w:p>
      <w:pPr>
        <w:pStyle w:val="22"/>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2"/>
        <w:widowControl/>
        <w:adjustRightInd w:val="0"/>
        <w:snapToGrid w:val="0"/>
        <w:spacing w:line="360" w:lineRule="auto"/>
        <w:jc w:val="center"/>
        <w:rPr>
          <w:rFonts w:hAnsi="宋体"/>
          <w:b/>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竞争性谈判</w:t>
      </w:r>
    </w:p>
    <w:p>
      <w:pPr>
        <w:pStyle w:val="22"/>
        <w:widowControl/>
        <w:adjustRightInd w:val="0"/>
        <w:snapToGrid w:val="0"/>
        <w:spacing w:line="360" w:lineRule="auto"/>
        <w:jc w:val="center"/>
        <w:rPr>
          <w:rFonts w:hAnsi="宋体"/>
          <w:bCs/>
          <w:color w:val="000000" w:themeColor="text1"/>
          <w:sz w:val="72"/>
          <w:szCs w:val="72"/>
          <w:highlight w:val="none"/>
          <w14:textFill>
            <w14:solidFill>
              <w14:schemeClr w14:val="tx1"/>
            </w14:solidFill>
          </w14:textFill>
        </w:rPr>
      </w:pPr>
    </w:p>
    <w:p>
      <w:pPr>
        <w:pStyle w:val="22"/>
        <w:widowControl/>
        <w:adjustRightInd w:val="0"/>
        <w:snapToGrid w:val="0"/>
        <w:spacing w:line="360" w:lineRule="auto"/>
        <w:jc w:val="center"/>
        <w:rPr>
          <w:rFonts w:ascii="黑体" w:hAnsi="黑体" w:eastAsia="黑体"/>
          <w:b/>
          <w:bCs/>
          <w:color w:val="000000" w:themeColor="text1"/>
          <w:sz w:val="36"/>
          <w:highlight w:val="none"/>
          <w14:textFill>
            <w14:solidFill>
              <w14:schemeClr w14:val="tx1"/>
            </w14:solidFill>
          </w14:textFill>
        </w:rPr>
      </w:pPr>
      <w:r>
        <w:rPr>
          <w:rFonts w:hint="eastAsia" w:ascii="黑体" w:hAnsi="黑体" w:eastAsia="黑体"/>
          <w:b/>
          <w:bCs/>
          <w:color w:val="000000" w:themeColor="text1"/>
          <w:sz w:val="72"/>
          <w:highlight w:val="none"/>
          <w14:textFill>
            <w14:solidFill>
              <w14:schemeClr w14:val="tx1"/>
            </w14:solidFill>
          </w14:textFill>
        </w:rPr>
        <w:t>谈  判  文  件</w:t>
      </w:r>
    </w:p>
    <w:p>
      <w:pPr>
        <w:pStyle w:val="22"/>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2"/>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r>
        <w:rPr>
          <w:rFonts w:hint="eastAsia" w:ascii="黑体" w:eastAsia="黑体"/>
          <w:bCs/>
          <w:color w:val="000000" w:themeColor="text1"/>
          <w:sz w:val="48"/>
          <w:szCs w:val="48"/>
          <w:lang w:eastAsia="zh-CN"/>
          <w14:textFill>
            <w14:solidFill>
              <w14:schemeClr w14:val="tx1"/>
            </w14:solidFill>
          </w14:textFill>
        </w:rPr>
        <w:t>（</w:t>
      </w:r>
      <w:r>
        <w:rPr>
          <w:rFonts w:hint="eastAsia" w:ascii="黑体" w:eastAsia="黑体"/>
          <w:bCs/>
          <w:color w:val="000000" w:themeColor="text1"/>
          <w:sz w:val="48"/>
          <w:szCs w:val="48"/>
          <w:lang w:val="en-US" w:eastAsia="zh-CN"/>
          <w14:textFill>
            <w14:solidFill>
              <w14:schemeClr w14:val="tx1"/>
            </w14:solidFill>
          </w14:textFill>
        </w:rPr>
        <w:t>论证版</w:t>
      </w:r>
      <w:r>
        <w:rPr>
          <w:rFonts w:hint="eastAsia" w:ascii="黑体" w:eastAsia="黑体"/>
          <w:bCs/>
          <w:color w:val="000000" w:themeColor="text1"/>
          <w:sz w:val="48"/>
          <w:szCs w:val="48"/>
          <w:lang w:eastAsia="zh-CN"/>
          <w14:textFill>
            <w14:solidFill>
              <w14:schemeClr w14:val="tx1"/>
            </w14:solidFill>
          </w14:textFill>
        </w:rPr>
        <w:t>）</w:t>
      </w:r>
    </w:p>
    <w:p>
      <w:pPr>
        <w:pStyle w:val="22"/>
        <w:widowControl/>
        <w:adjustRightInd w:val="0"/>
        <w:snapToGrid w:val="0"/>
        <w:spacing w:line="360" w:lineRule="auto"/>
        <w:jc w:val="center"/>
        <w:rPr>
          <w:rFonts w:hAnsi="宋体"/>
          <w:bCs/>
          <w:color w:val="000000" w:themeColor="text1"/>
          <w:sz w:val="52"/>
          <w:szCs w:val="52"/>
          <w:highlight w:val="none"/>
          <w14:textFill>
            <w14:solidFill>
              <w14:schemeClr w14:val="tx1"/>
            </w14:solidFill>
          </w14:textFill>
        </w:rPr>
      </w:pPr>
    </w:p>
    <w:p>
      <w:pPr>
        <w:pStyle w:val="22"/>
        <w:widowControl/>
        <w:adjustRightInd w:val="0"/>
        <w:snapToGrid w:val="0"/>
        <w:spacing w:line="360" w:lineRule="auto"/>
        <w:rPr>
          <w:rFonts w:hAnsi="宋体"/>
          <w:bCs/>
          <w:color w:val="000000" w:themeColor="text1"/>
          <w:sz w:val="52"/>
          <w:szCs w:val="52"/>
          <w:highlight w:val="none"/>
          <w14:textFill>
            <w14:solidFill>
              <w14:schemeClr w14:val="tx1"/>
            </w14:solidFill>
          </w14:textFill>
        </w:rPr>
      </w:pPr>
    </w:p>
    <w:tbl>
      <w:tblPr>
        <w:tblStyle w:val="42"/>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2"/>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2"/>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2"/>
              <w:widowControl/>
              <w:adjustRightInd w:val="0"/>
              <w:snapToGrid w:val="0"/>
              <w:spacing w:line="360" w:lineRule="auto"/>
              <w:jc w:val="left"/>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YXZB-20220610</w:t>
            </w:r>
          </w:p>
        </w:tc>
      </w:tr>
      <w:tr>
        <w:tblPrEx>
          <w:tblCellMar>
            <w:top w:w="0" w:type="dxa"/>
            <w:left w:w="108" w:type="dxa"/>
            <w:bottom w:w="0" w:type="dxa"/>
            <w:right w:w="108" w:type="dxa"/>
          </w:tblCellMar>
        </w:tblPrEx>
        <w:trPr>
          <w:trHeight w:val="77" w:hRule="atLeast"/>
        </w:trPr>
        <w:tc>
          <w:tcPr>
            <w:tcW w:w="1951" w:type="dxa"/>
          </w:tcPr>
          <w:p>
            <w:pPr>
              <w:pStyle w:val="22"/>
              <w:widowControl/>
              <w:adjustRightInd w:val="0"/>
              <w:snapToGrid w:val="0"/>
              <w:spacing w:line="360" w:lineRule="auto"/>
              <w:jc w:val="center"/>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 目 名 称</w:t>
            </w:r>
          </w:p>
        </w:tc>
        <w:tc>
          <w:tcPr>
            <w:tcW w:w="284" w:type="dxa"/>
          </w:tcPr>
          <w:p>
            <w:pPr>
              <w:pStyle w:val="22"/>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2"/>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阳江市阳春市夏威夷果产业园信息化服务项目</w:t>
            </w:r>
          </w:p>
        </w:tc>
      </w:tr>
      <w:tr>
        <w:tblPrEx>
          <w:tblCellMar>
            <w:top w:w="0" w:type="dxa"/>
            <w:left w:w="108" w:type="dxa"/>
            <w:bottom w:w="0" w:type="dxa"/>
            <w:right w:w="108" w:type="dxa"/>
          </w:tblCellMar>
        </w:tblPrEx>
        <w:trPr>
          <w:trHeight w:val="77" w:hRule="atLeast"/>
        </w:trPr>
        <w:tc>
          <w:tcPr>
            <w:tcW w:w="1951" w:type="dxa"/>
            <w:vAlign w:val="center"/>
          </w:tcPr>
          <w:p>
            <w:pPr>
              <w:pStyle w:val="22"/>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2"/>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2"/>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广东澳盛农业科技发展有限公司</w:t>
            </w:r>
          </w:p>
        </w:tc>
      </w:tr>
      <w:tr>
        <w:tblPrEx>
          <w:tblCellMar>
            <w:top w:w="0" w:type="dxa"/>
            <w:left w:w="108" w:type="dxa"/>
            <w:bottom w:w="0" w:type="dxa"/>
            <w:right w:w="108" w:type="dxa"/>
          </w:tblCellMar>
        </w:tblPrEx>
        <w:trPr>
          <w:trHeight w:val="77" w:hRule="atLeast"/>
        </w:trPr>
        <w:tc>
          <w:tcPr>
            <w:tcW w:w="1951" w:type="dxa"/>
            <w:vAlign w:val="center"/>
          </w:tcPr>
          <w:p>
            <w:pPr>
              <w:pStyle w:val="22"/>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2"/>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662" w:type="dxa"/>
            <w:vAlign w:val="center"/>
          </w:tcPr>
          <w:p>
            <w:pPr>
              <w:pStyle w:val="22"/>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pPr>
        <w:pStyle w:val="22"/>
        <w:widowControl/>
        <w:adjustRightInd w:val="0"/>
        <w:snapToGrid w:val="0"/>
        <w:spacing w:line="360" w:lineRule="auto"/>
        <w:jc w:val="center"/>
        <w:rPr>
          <w:rFonts w:hAnsi="宋体"/>
          <w:bCs/>
          <w:color w:val="000000" w:themeColor="text1"/>
          <w:sz w:val="24"/>
          <w:szCs w:val="24"/>
          <w:highlight w:val="none"/>
          <w14:textFill>
            <w14:solidFill>
              <w14:schemeClr w14:val="tx1"/>
            </w14:solidFill>
          </w14:textFill>
        </w:rPr>
      </w:pPr>
    </w:p>
    <w:p>
      <w:pPr>
        <w:pStyle w:val="22"/>
        <w:widowControl/>
        <w:adjustRightInd w:val="0"/>
        <w:snapToGrid w:val="0"/>
        <w:spacing w:line="360" w:lineRule="auto"/>
        <w:jc w:val="center"/>
        <w:rPr>
          <w:rFonts w:hAnsi="宋体"/>
          <w:bCs/>
          <w:color w:val="000000" w:themeColor="text1"/>
          <w:sz w:val="24"/>
          <w:szCs w:val="24"/>
          <w:highlight w:val="none"/>
          <w14:textFill>
            <w14:solidFill>
              <w14:schemeClr w14:val="tx1"/>
            </w14:solidFill>
          </w14:textFill>
        </w:rPr>
      </w:pPr>
    </w:p>
    <w:p>
      <w:pPr>
        <w:pStyle w:val="22"/>
        <w:widowControl/>
        <w:adjustRightInd w:val="0"/>
        <w:snapToGrid w:val="0"/>
        <w:spacing w:line="360" w:lineRule="auto"/>
        <w:jc w:val="center"/>
        <w:rPr>
          <w:rFonts w:hAnsi="宋体"/>
          <w:b/>
          <w:bCs/>
          <w:color w:val="000000" w:themeColor="text1"/>
          <w:sz w:val="24"/>
          <w:szCs w:val="24"/>
          <w:highlight w:val="none"/>
          <w14:textFill>
            <w14:solidFill>
              <w14:schemeClr w14:val="tx1"/>
            </w14:solidFill>
          </w14:textFill>
        </w:rPr>
      </w:pPr>
      <w:r>
        <w:rPr>
          <w:rFonts w:hint="eastAsia" w:hAnsi="宋体"/>
          <w:b/>
          <w:bCs/>
          <w:color w:val="000000" w:themeColor="text1"/>
          <w:sz w:val="24"/>
          <w:szCs w:val="24"/>
          <w:highlight w:val="none"/>
          <w14:textFill>
            <w14:solidFill>
              <w14:schemeClr w14:val="tx1"/>
            </w14:solidFill>
          </w14:textFill>
        </w:rPr>
        <w:t>二○</w:t>
      </w:r>
      <w:r>
        <w:rPr>
          <w:rFonts w:hint="eastAsia" w:hAnsi="宋体"/>
          <w:b/>
          <w:bCs/>
          <w:color w:val="000000" w:themeColor="text1"/>
          <w:sz w:val="24"/>
          <w:szCs w:val="24"/>
          <w:highlight w:val="none"/>
          <w:lang w:val="en-US" w:eastAsia="zh-CN"/>
          <w14:textFill>
            <w14:solidFill>
              <w14:schemeClr w14:val="tx1"/>
            </w14:solidFill>
          </w14:textFill>
        </w:rPr>
        <w:t>二二</w:t>
      </w:r>
      <w:r>
        <w:rPr>
          <w:rFonts w:hint="eastAsia" w:hAnsi="宋体"/>
          <w:b/>
          <w:bCs/>
          <w:color w:val="000000" w:themeColor="text1"/>
          <w:sz w:val="24"/>
          <w:szCs w:val="24"/>
          <w:highlight w:val="none"/>
          <w14:textFill>
            <w14:solidFill>
              <w14:schemeClr w14:val="tx1"/>
            </w14:solidFill>
          </w14:textFill>
        </w:rPr>
        <w:t>年</w:t>
      </w:r>
      <w:r>
        <w:rPr>
          <w:rFonts w:hint="eastAsia" w:hAnsi="宋体"/>
          <w:b/>
          <w:bCs/>
          <w:color w:val="000000" w:themeColor="text1"/>
          <w:sz w:val="24"/>
          <w:szCs w:val="24"/>
          <w:highlight w:val="none"/>
          <w:lang w:val="en-US" w:eastAsia="zh-CN"/>
          <w14:textFill>
            <w14:solidFill>
              <w14:schemeClr w14:val="tx1"/>
            </w14:solidFill>
          </w14:textFill>
        </w:rPr>
        <w:t>六</w:t>
      </w:r>
      <w:r>
        <w:rPr>
          <w:rFonts w:hint="eastAsia" w:hAnsi="宋体"/>
          <w:b/>
          <w:bCs/>
          <w:color w:val="000000" w:themeColor="text1"/>
          <w:sz w:val="24"/>
          <w:szCs w:val="24"/>
          <w:highlight w:val="none"/>
          <w14:textFill>
            <w14:solidFill>
              <w14:schemeClr w14:val="tx1"/>
            </w14:solidFill>
          </w14:textFill>
        </w:rPr>
        <w:t>月</w:t>
      </w:r>
    </w:p>
    <w:p>
      <w:pPr>
        <w:spacing w:beforeLines="50" w:afterLines="50" w:line="360" w:lineRule="auto"/>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6"/>
        </w:numPr>
        <w:spacing w:line="48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请供应商特别留意谈判文件上注明的投标截止和开标时间，逾期送达或邮寄送达的谈判文件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hint="eastAsia" w:ascii="宋体" w:hAnsi="宋体"/>
          <w:color w:val="000000" w:themeColor="text1"/>
          <w:szCs w:val="21"/>
          <w:highlight w:val="none"/>
          <w:lang w:val="en-US" w:eastAsia="zh-CN"/>
          <w14:textFill>
            <w14:solidFill>
              <w14:schemeClr w14:val="tx1"/>
            </w14:solidFill>
          </w14:textFill>
        </w:rPr>
        <w:t>现场</w:t>
      </w:r>
      <w:r>
        <w:rPr>
          <w:rFonts w:ascii="宋体" w:hAnsi="宋体"/>
          <w:color w:val="000000" w:themeColor="text1"/>
          <w:szCs w:val="21"/>
          <w:highlight w:val="none"/>
          <w14:textFill>
            <w14:solidFill>
              <w14:schemeClr w14:val="tx1"/>
            </w14:solidFill>
          </w14:textFill>
        </w:rPr>
        <w:t>。</w:t>
      </w:r>
    </w:p>
    <w:p>
      <w:pPr>
        <w:numPr>
          <w:ilvl w:val="0"/>
          <w:numId w:val="6"/>
        </w:numPr>
        <w:spacing w:line="480" w:lineRule="exact"/>
        <w:ind w:left="709" w:hanging="709"/>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谈判文件中标有“★”的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6"/>
        </w:numPr>
        <w:spacing w:line="48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Cs/>
          <w:color w:val="000000" w:themeColor="text1"/>
          <w:szCs w:val="21"/>
          <w:highlight w:val="none"/>
          <w14:textFill>
            <w14:solidFill>
              <w14:schemeClr w14:val="tx1"/>
            </w14:solidFill>
          </w14:textFill>
        </w:rPr>
        <w:t>。</w:t>
      </w:r>
    </w:p>
    <w:p>
      <w:pPr>
        <w:numPr>
          <w:ilvl w:val="0"/>
          <w:numId w:val="6"/>
        </w:numPr>
        <w:spacing w:line="48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6"/>
        </w:numPr>
        <w:spacing w:line="48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建议将谈判文件按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6"/>
        </w:numPr>
        <w:spacing w:line="48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6"/>
        </w:numPr>
        <w:spacing w:line="480" w:lineRule="exact"/>
        <w:ind w:left="709" w:hanging="709"/>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，务必将保证金按谈判文件的要求缴纳，招标代理服务费存入谈判文件指定的服务费账户。切勿将款项转错账户，以免影响采购活动。</w:t>
      </w:r>
    </w:p>
    <w:p>
      <w:pPr>
        <w:numPr>
          <w:ilvl w:val="0"/>
          <w:numId w:val="6"/>
        </w:numPr>
        <w:spacing w:line="480" w:lineRule="exact"/>
        <w:ind w:left="709" w:hanging="709"/>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为采购代理机构，不对供应商购买谈判文件时提交的相关资料的真伪做出判断，如供应商发现相关资料被盗用或复制，建议遵循法律途径解决，追究侵权者责任。对一家供应商递交两份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谈判小组</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2"/>
        <w:widowControl/>
        <w:adjustRightInd w:val="0"/>
        <w:snapToGrid w:val="0"/>
        <w:spacing w:line="480" w:lineRule="exact"/>
        <w:jc w:val="center"/>
        <w:rPr>
          <w:rFonts w:hAnsi="宋体"/>
          <w:bCs/>
          <w:color w:val="000000" w:themeColor="text1"/>
          <w:sz w:val="24"/>
          <w:szCs w:val="24"/>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（本提示内容非谈判文件的组成部分，仅为善意提醒。如有不一致，以谈判文件为准。）</w:t>
      </w:r>
    </w:p>
    <w:p>
      <w:pPr>
        <w:pStyle w:val="22"/>
        <w:widowControl/>
        <w:adjustRightInd w:val="0"/>
        <w:snapToGrid w:val="0"/>
        <w:spacing w:line="360" w:lineRule="auto"/>
        <w:rPr>
          <w:rFonts w:hAnsi="宋体"/>
          <w:bCs/>
          <w:color w:val="000000" w:themeColor="text1"/>
          <w:sz w:val="24"/>
          <w:szCs w:val="24"/>
          <w:highlight w:val="none"/>
          <w14:textFill>
            <w14:solidFill>
              <w14:schemeClr w14:val="tx1"/>
            </w14:solidFill>
          </w14:textFill>
        </w:rPr>
        <w:sectPr>
          <w:footerReference r:id="rId6" w:type="first"/>
          <w:headerReference r:id="rId3" w:type="default"/>
          <w:footerReference r:id="rId4" w:type="default"/>
          <w:footerReference r:id="rId5" w:type="even"/>
          <w:pgSz w:w="11907" w:h="16840"/>
          <w:pgMar w:top="1985" w:right="1474" w:bottom="1418" w:left="1474" w:header="851" w:footer="851" w:gutter="0"/>
          <w:cols w:space="720" w:num="1"/>
          <w:docGrid w:linePitch="380" w:charSpace="-5735"/>
        </w:sectPr>
      </w:pPr>
    </w:p>
    <w:p>
      <w:pPr>
        <w:pStyle w:val="36"/>
        <w:jc w:val="center"/>
        <w:rPr>
          <w:rFonts w:ascii="宋体"/>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目     录</w:t>
      </w:r>
    </w:p>
    <w:p>
      <w:pPr>
        <w:pStyle w:val="36"/>
        <w:bidi w:val="0"/>
        <w:rPr>
          <w:color w:val="000000" w:themeColor="text1"/>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TOC \o "1-3" \h \z \u </w:instrText>
      </w:r>
      <w:r>
        <w:rPr>
          <w:color w:val="000000" w:themeColor="text1"/>
          <w:highlight w:val="none"/>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_Toc14852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第一部分  竞争性谈判邀请书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_Toc14852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_Toc24847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第二部分  采购项目内容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_Toc24847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_Toc19898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项目编号：</w:t>
      </w:r>
      <w:r>
        <w:rPr>
          <w:rFonts w:hint="eastAsia"/>
          <w:color w:val="000000" w:themeColor="text1"/>
          <w:lang w:eastAsia="zh-CN"/>
          <w14:textFill>
            <w14:solidFill>
              <w14:schemeClr w14:val="tx1"/>
            </w14:solidFill>
          </w14:textFill>
        </w:rPr>
        <w:t>YXZB-20220610</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_Toc19898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_Toc4037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项目名称：</w:t>
      </w:r>
      <w:r>
        <w:rPr>
          <w:rFonts w:hint="eastAsia"/>
          <w:color w:val="000000" w:themeColor="text1"/>
          <w:lang w:eastAsia="zh-CN"/>
          <w14:textFill>
            <w14:solidFill>
              <w14:schemeClr w14:val="tx1"/>
            </w14:solidFill>
          </w14:textFill>
        </w:rPr>
        <w:t>阳江市阳春市夏威夷果产业园信息化服务项目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_Toc4037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_Toc26932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xml:space="preserve">A  </w:t>
      </w:r>
      <w:r>
        <w:rPr>
          <w:rFonts w:hint="eastAsia"/>
          <w:color w:val="000000" w:themeColor="text1"/>
          <w14:textFill>
            <w14:solidFill>
              <w14:schemeClr w14:val="tx1"/>
            </w14:solidFill>
          </w14:textFill>
        </w:rPr>
        <w:t>商务要求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_Toc26932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_Toc5922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B  技术要求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_Toc5922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_Toc21463 </w:instrText>
      </w:r>
      <w:r>
        <w:rPr>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一、</w:t>
      </w:r>
      <w:r>
        <w:rPr>
          <w:rFonts w:hint="eastAsia"/>
          <w:color w:val="000000" w:themeColor="text1"/>
          <w14:textFill>
            <w14:solidFill>
              <w14:schemeClr w14:val="tx1"/>
            </w14:solidFill>
          </w14:textFill>
        </w:rPr>
        <w:t>项目背景</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_Toc21463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_Toc10927 </w:instrText>
      </w:r>
      <w:r>
        <w:rPr>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政策依据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_Toc10927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_Toc7662 </w:instrText>
      </w:r>
      <w:r>
        <w:rPr>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三、</w:t>
      </w:r>
      <w:r>
        <w:rPr>
          <w:rFonts w:hint="eastAsia"/>
          <w:color w:val="000000" w:themeColor="text1"/>
          <w14:textFill>
            <w14:solidFill>
              <w14:schemeClr w14:val="tx1"/>
            </w14:solidFill>
          </w14:textFill>
        </w:rPr>
        <w:t>建设目标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_Toc7662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_Toc16585 </w:instrText>
      </w:r>
      <w:r>
        <w:rPr>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四、</w:t>
      </w:r>
      <w:r>
        <w:rPr>
          <w:rFonts w:hint="eastAsia"/>
          <w:color w:val="000000" w:themeColor="text1"/>
          <w14:textFill>
            <w14:solidFill>
              <w14:schemeClr w14:val="tx1"/>
            </w14:solidFill>
          </w14:textFill>
        </w:rPr>
        <w:t>设计原则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_Toc16585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_Toc30370 </w:instrText>
      </w:r>
      <w:r>
        <w:rPr>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五、</w:t>
      </w:r>
      <w:r>
        <w:rPr>
          <w:rFonts w:hint="eastAsia"/>
          <w:color w:val="000000" w:themeColor="text1"/>
          <w14:textFill>
            <w14:solidFill>
              <w14:schemeClr w14:val="tx1"/>
            </w14:solidFill>
          </w14:textFill>
        </w:rPr>
        <w:t>总体架构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_Toc30370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_Toc32072 </w:instrText>
      </w:r>
      <w:r>
        <w:rPr>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六、</w:t>
      </w:r>
      <w:r>
        <w:rPr>
          <w:rFonts w:hint="eastAsia"/>
          <w:color w:val="000000" w:themeColor="text1"/>
          <w14:textFill>
            <w14:solidFill>
              <w14:schemeClr w14:val="tx1"/>
            </w14:solidFill>
          </w14:textFill>
        </w:rPr>
        <w:t>建设内容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_Toc32072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_Toc9841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第三部分 报价须知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_Toc9841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_Toc4759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投标人须知前附表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_Toc4759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_Toc31352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适用范围和资金来源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_Toc31352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_Toc21580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定义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_Toc21580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_Toc3866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合格的供应商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_Toc3866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_Toc20417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谈判费用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_Toc20417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_Toc7364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Ｂ谈判文件说明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_Toc7364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_Toc8772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谈判文件的构成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_Toc8772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_Toc16347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谈判文件的澄清</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_Toc16347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_Toc16840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谈判文件的修改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_Toc16840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_Toc15640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Ｃ谈判文件的编制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_Toc15640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_Toc21582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8</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_Toc21582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_Toc3560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投标语言及计量单位</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_Toc3560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_Toc21336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谈判文件的构成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_Toc21336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_Toc7293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谈判响应文件格式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_Toc7293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_Toc25632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12</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资格证明文件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_Toc25632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_Toc5555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13</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货物和服务的证明文件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_Toc5555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_Toc21105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投报价格与报价货币</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_Toc21105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_Toc9991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谈判保证金</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_Toc9991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_Toc19275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谈判有效期</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_Toc19275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_Toc28955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谈判响应文件的签署及规定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_Toc28955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_Toc7620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Ｄ谈判响应文件的递交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_Toc7620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_Toc31660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谈判响应文件的密封和标记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_Toc31660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_Toc15293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19</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递交谈判响应文件的时间、地点及截止时间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_Toc15293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_Toc7648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迟交的谈判响应文件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_Toc7648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_Toc16736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谈判响应文件的修改和撤回</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_Toc16736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_Toc9813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Ｅ竞争性谈判采购程序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_Toc9813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_Toc16778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接收谈判响应文件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_Toc16778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_Toc10331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谈判小组</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_Toc10331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_Toc18061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rFonts w:hint="eastAsia"/>
          <w:color w:val="000000" w:themeColor="text1"/>
          <w14:textFill>
            <w14:solidFill>
              <w14:schemeClr w14:val="tx1"/>
            </w14:solidFill>
          </w14:textFill>
        </w:rPr>
        <w:t>4</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对谈判响应文件的初审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_Toc18061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_Toc16438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25</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谈判报价的审核</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_Toc16438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_Toc12780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rFonts w:hint="eastAsia"/>
          <w:color w:val="000000" w:themeColor="text1"/>
          <w14:textFill>
            <w14:solidFill>
              <w14:schemeClr w14:val="tx1"/>
            </w14:solidFill>
          </w14:textFill>
        </w:rPr>
        <w:t>6</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谈判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_Toc12780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_Toc28268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27</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评审原则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_Toc28268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_Toc15096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28</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评审办法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_Toc15096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_Toc27227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29</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评审注意事项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_Toc27227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_Toc2952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30</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发布成交结果公告和发放成交通知书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_Toc2952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_Toc3763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31     投标供应商对成交结果的质疑、投诉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_Toc3763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_Toc13073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Ｆ  授予合同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_Toc13073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_Toc22148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32     接受和拒绝投标的权利</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_Toc22148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_Toc11250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33</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 xml:space="preserve">   合同授予标准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_Toc11250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_Toc22531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34</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 xml:space="preserve">   签订合同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_Toc22531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_Toc19378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G</w:t>
      </w:r>
      <w:r>
        <w:rPr>
          <w:rFonts w:hint="eastAsia"/>
          <w:color w:val="000000" w:themeColor="text1"/>
          <w14:textFill>
            <w14:solidFill>
              <w14:schemeClr w14:val="tx1"/>
            </w14:solidFill>
          </w14:textFill>
        </w:rPr>
        <w:t>、政府采购政策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_Toc19378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_Toc21043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第四部分  合同书格式（参考范本）</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_Toc21043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_Toc32372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第五部分  谈判文件格式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_Toc32372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_Toc19731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封面格式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_Toc19731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_Toc28417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第一章  资格性/符合性自查表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_Toc28417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_Toc2051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（一）无重大违法记录声明函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_Toc2059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（二）法定代表人（负责人）证明书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_Toc2059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_Toc4215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（三）法定代表人（负责人）授权书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_Toc4215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_Toc24727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（四）资格审查文件要求提交的其它有效证明文件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_Toc24727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_Toc27451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第二章  谈判响应文件商务及技术部分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_Toc27451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_Toc29875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附件一：谈判响应函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_Toc29875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_Toc19663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附件二：第一次报价一览表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_Toc19663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_Toc21730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附件三：谈判分项报价</w:t>
      </w:r>
      <w:r>
        <w:rPr>
          <w:color w:val="000000" w:themeColor="text1"/>
          <w14:textFill>
            <w14:solidFill>
              <w14:schemeClr w14:val="tx1"/>
            </w14:solidFill>
          </w14:textFill>
        </w:rPr>
        <w:t>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_Toc21730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_Toc419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附件四：商务条款偏离一览表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_Toc419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_Toc2532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附件五：技术条款偏离一览表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_Toc2532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_Toc27967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附件六：同类业绩一览表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_Toc27967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_Toc6087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附件七：中小微企业声明函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_Toc6087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_Toc32663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附件八：残疾人福利性单位声明函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_Toc32663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_Toc8797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附件九：成交服务费承诺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_Toc8797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_Toc14879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附件十：谈判供应商提交的其他资料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_Toc14879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_Toc1676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其 他 格 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_Toc27225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投标保证金退付书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_Toc27225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36"/>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end"/>
      </w: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bookmarkStart w:id="0" w:name="_Toc14852"/>
      <w:bookmarkStart w:id="1" w:name="_Toc452826425"/>
      <w:bookmarkStart w:id="2" w:name="_Toc369180022"/>
      <w:bookmarkStart w:id="3" w:name="_Toc351988709"/>
      <w:bookmarkStart w:id="4" w:name="_Toc351990145"/>
      <w:bookmarkStart w:id="5" w:name="_Toc351987964"/>
      <w:bookmarkStart w:id="6" w:name="_Toc357151175"/>
      <w:bookmarkStart w:id="7" w:name="_Toc351987768"/>
      <w:bookmarkStart w:id="8" w:name="_Toc353522392"/>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rPr>
          <w:rFonts w:hint="eastAsia"/>
          <w:color w:val="000000" w:themeColor="text1"/>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rPr>
          <w:rFonts w:hint="eastAsia"/>
          <w:color w:val="000000" w:themeColor="text1"/>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rPr>
          <w:rFonts w:hint="eastAsia"/>
          <w:color w:val="000000" w:themeColor="text1"/>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rPr>
          <w:rFonts w:hint="eastAsia"/>
          <w:color w:val="000000" w:themeColor="text1"/>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both"/>
        <w:textAlignment w:val="baseline"/>
        <w:rPr>
          <w:rFonts w:hint="eastAsia" w:ascii="宋体" w:hAnsi="宋体"/>
          <w:color w:val="000000" w:themeColor="text1"/>
          <w:sz w:val="21"/>
          <w:szCs w:val="21"/>
          <w:highlight w:val="none"/>
          <w14:textFill>
            <w14:solidFill>
              <w14:schemeClr w14:val="tx1"/>
            </w14:solidFill>
          </w14:textFill>
        </w:rPr>
      </w:pPr>
    </w:p>
    <w:p>
      <w:pPr>
        <w:rPr>
          <w:rFonts w:hint="eastAsia"/>
          <w:color w:val="000000" w:themeColor="text1"/>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both"/>
        <w:textAlignment w:val="baseline"/>
        <w:rPr>
          <w:rFonts w:hint="eastAsia" w:ascii="宋体" w:hAnsi="宋体"/>
          <w:color w:val="000000" w:themeColor="text1"/>
          <w:sz w:val="21"/>
          <w:szCs w:val="21"/>
          <w:highlight w:val="none"/>
          <w14:textFill>
            <w14:solidFill>
              <w14:schemeClr w14:val="tx1"/>
            </w14:solidFill>
          </w14:textFill>
        </w:rPr>
      </w:pPr>
    </w:p>
    <w:p>
      <w:pPr>
        <w:rPr>
          <w:rFonts w:hint="eastAsia"/>
          <w:color w:val="000000" w:themeColor="text1"/>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hint="eastAsia" w:ascii="宋体" w:hAnsi="宋体"/>
          <w:color w:val="000000" w:themeColor="text1"/>
          <w:sz w:val="21"/>
          <w:szCs w:val="21"/>
          <w:highlight w:val="none"/>
          <w14:textFill>
            <w14:solidFill>
              <w14:schemeClr w14:val="tx1"/>
            </w14:solidFill>
          </w14:textFill>
        </w:rPr>
      </w:pPr>
    </w:p>
    <w:p>
      <w:pPr>
        <w:pStyle w:val="2"/>
        <w:numPr>
          <w:ilvl w:val="0"/>
          <w:numId w:val="0"/>
        </w:numPr>
        <w:autoSpaceDE w:val="0"/>
        <w:autoSpaceDN w:val="0"/>
        <w:adjustRightInd w:val="0"/>
        <w:snapToGrid w:val="0"/>
        <w:spacing w:beforeLines="100" w:after="0" w:line="360" w:lineRule="auto"/>
        <w:jc w:val="center"/>
        <w:textAlignment w:val="baseline"/>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第一部分  竞争性谈判邀请书</w:t>
      </w:r>
      <w:bookmarkEnd w:id="0"/>
      <w:bookmarkEnd w:id="1"/>
    </w:p>
    <w:p>
      <w:pPr>
        <w:rPr>
          <w:color w:val="000000" w:themeColor="text1"/>
          <w:highlight w:val="none"/>
          <w14:textFill>
            <w14:solidFill>
              <w14:schemeClr w14:val="tx1"/>
            </w14:solidFill>
          </w14:textFill>
        </w:rPr>
      </w:pPr>
    </w:p>
    <w:p>
      <w:pPr>
        <w:spacing w:line="360" w:lineRule="auto"/>
        <w:ind w:left="178" w:leftChars="85"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受</w:t>
      </w:r>
      <w:r>
        <w:rPr>
          <w:rFonts w:hint="eastAsia" w:ascii="宋体" w:hAnsi="宋体"/>
          <w:color w:val="000000" w:themeColor="text1"/>
          <w:szCs w:val="21"/>
          <w:highlight w:val="none"/>
          <w:u w:val="single"/>
          <w:lang w:eastAsia="zh-CN"/>
          <w14:textFill>
            <w14:solidFill>
              <w14:schemeClr w14:val="tx1"/>
            </w14:solidFill>
          </w14:textFill>
        </w:rPr>
        <w:t>广东澳盛农业科技发展有限公司</w:t>
      </w:r>
      <w:r>
        <w:rPr>
          <w:rFonts w:hint="eastAsia" w:ascii="宋体" w:hAnsi="宋体"/>
          <w:color w:val="000000" w:themeColor="text1"/>
          <w:szCs w:val="21"/>
          <w:highlight w:val="none"/>
          <w14:textFill>
            <w14:solidFill>
              <w14:schemeClr w14:val="tx1"/>
            </w14:solidFill>
          </w14:textFill>
        </w:rPr>
        <w:t>的委托，拟对</w:t>
      </w:r>
      <w:r>
        <w:rPr>
          <w:rFonts w:hint="eastAsia" w:ascii="宋体" w:hAnsi="宋体"/>
          <w:color w:val="000000" w:themeColor="text1"/>
          <w:szCs w:val="21"/>
          <w:highlight w:val="none"/>
          <w:u w:val="single"/>
          <w:lang w:eastAsia="zh-CN"/>
          <w14:textFill>
            <w14:solidFill>
              <w14:schemeClr w14:val="tx1"/>
            </w14:solidFill>
          </w14:textFill>
        </w:rPr>
        <w:t>阳江市阳春市夏威夷果产业园信息化服务项目</w:t>
      </w:r>
      <w:r>
        <w:rPr>
          <w:rFonts w:hint="eastAsia" w:ascii="宋体" w:hAnsi="宋体"/>
          <w:color w:val="000000" w:themeColor="text1"/>
          <w:highlight w:val="none"/>
          <w14:textFill>
            <w14:solidFill>
              <w14:schemeClr w14:val="tx1"/>
            </w14:solidFill>
          </w14:textFill>
        </w:rPr>
        <w:t>接受合格的国内供应商提交密封报价,</w:t>
      </w:r>
      <w:r>
        <w:rPr>
          <w:rFonts w:hint="eastAsia" w:ascii="宋体" w:hAnsi="宋体"/>
          <w:color w:val="000000" w:themeColor="text1"/>
          <w:szCs w:val="21"/>
          <w:highlight w:val="none"/>
          <w:lang w:val="zh-CN"/>
          <w14:textFill>
            <w14:solidFill>
              <w14:schemeClr w14:val="tx1"/>
            </w14:solidFill>
          </w14:textFill>
        </w:rPr>
        <w:t xml:space="preserve"> 欢迎符合资格条件</w:t>
      </w:r>
      <w:r>
        <w:rPr>
          <w:rFonts w:hint="eastAsia" w:ascii="宋体" w:hAnsi="宋体"/>
          <w:color w:val="000000" w:themeColor="text1"/>
          <w:szCs w:val="21"/>
          <w:highlight w:val="none"/>
          <w14:textFill>
            <w14:solidFill>
              <w14:schemeClr w14:val="tx1"/>
            </w14:solidFill>
          </w14:textFill>
        </w:rPr>
        <w:t>的供应商参加。</w:t>
      </w:r>
      <w:r>
        <w:rPr>
          <w:rFonts w:hint="eastAsia" w:ascii="宋体" w:hAnsi="宋体"/>
          <w:color w:val="000000" w:themeColor="text1"/>
          <w:highlight w:val="none"/>
          <w14:textFill>
            <w14:solidFill>
              <w14:schemeClr w14:val="tx1"/>
            </w14:solidFill>
          </w14:textFill>
        </w:rPr>
        <w:t>有关事项如下：</w:t>
      </w:r>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一、</w:t>
      </w:r>
      <w:r>
        <w:rPr>
          <w:rFonts w:ascii="宋体" w:hAnsi="宋体"/>
          <w:b/>
          <w:color w:val="000000" w:themeColor="text1"/>
          <w:highlight w:val="none"/>
          <w14:textFill>
            <w14:solidFill>
              <w14:schemeClr w14:val="tx1"/>
            </w14:solidFill>
          </w14:textFill>
        </w:rPr>
        <w:t>投标人</w:t>
      </w:r>
      <w:r>
        <w:rPr>
          <w:rFonts w:hint="eastAsia" w:ascii="宋体" w:hAnsi="宋体" w:cs="Tahoma"/>
          <w:b/>
          <w:bCs/>
          <w:color w:val="000000" w:themeColor="text1"/>
          <w:szCs w:val="21"/>
          <w:highlight w:val="none"/>
          <w14:textFill>
            <w14:solidFill>
              <w14:schemeClr w14:val="tx1"/>
            </w14:solidFill>
          </w14:textFill>
        </w:rPr>
        <w:t>投标资格要求</w:t>
      </w:r>
    </w:p>
    <w:p>
      <w:pPr>
        <w:spacing w:line="360" w:lineRule="auto"/>
        <w:ind w:firstLine="210" w:firstLineChars="1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1.投标人应具备《中华人民共和国政府采购法》第二十二条规定的条件</w:t>
      </w:r>
      <w:r>
        <w:rPr>
          <w:rFonts w:hint="eastAsia" w:ascii="宋体" w:hAnsi="宋体"/>
          <w:color w:val="000000" w:themeColor="text1"/>
          <w:highlight w:val="none"/>
          <w14:textFill>
            <w14:solidFill>
              <w14:schemeClr w14:val="tx1"/>
            </w14:solidFill>
          </w14:textFill>
        </w:rPr>
        <w:t>:</w:t>
      </w:r>
    </w:p>
    <w:p>
      <w:pPr>
        <w:tabs>
          <w:tab w:val="left" w:pos="8042"/>
        </w:tabs>
        <w:spacing w:line="360" w:lineRule="auto"/>
        <w:ind w:left="420" w:left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1）具有独立承担民事责任的能力；</w:t>
      </w:r>
      <w:r>
        <w:rPr>
          <w:rFonts w:ascii="宋体" w:hAnsi="宋体"/>
          <w:color w:val="000000" w:themeColor="text1"/>
          <w:highlight w:val="none"/>
          <w14:textFill>
            <w14:solidFill>
              <w14:schemeClr w14:val="tx1"/>
            </w14:solidFill>
          </w14:textFill>
        </w:rPr>
        <w:tab/>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highlight w:val="none"/>
          <w14:textFill>
            <w14:solidFill>
              <w14:schemeClr w14:val="tx1"/>
            </w14:solidFill>
          </w14:textFill>
        </w:rPr>
        <w:t>2）具有良好的商业信誉和健全的财务会计制度；</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highlight w:val="none"/>
          <w14:textFill>
            <w14:solidFill>
              <w14:schemeClr w14:val="tx1"/>
            </w14:solidFill>
          </w14:textFill>
        </w:rPr>
        <w:t>3）具有履行合同所必需的设备和专业技术能力；</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highlight w:val="none"/>
          <w14:textFill>
            <w14:solidFill>
              <w14:schemeClr w14:val="tx1"/>
            </w14:solidFill>
          </w14:textFill>
        </w:rPr>
        <w:t>4）有依法缴纳税收和社会保障资金的良好记录；</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highlight w:val="none"/>
          <w14:textFill>
            <w14:solidFill>
              <w14:schemeClr w14:val="tx1"/>
            </w14:solidFill>
          </w14:textFill>
        </w:rPr>
        <w:t>5）参加政府采购活动前三年内，在经营活动中没有重大违法记录；</w:t>
      </w:r>
      <w:r>
        <w:rPr>
          <w:rFonts w:ascii="宋体" w:hAnsi="宋体"/>
          <w:color w:val="000000" w:themeColor="text1"/>
          <w:highlight w:val="none"/>
          <w14:textFill>
            <w14:solidFill>
              <w14:schemeClr w14:val="tx1"/>
            </w14:solidFill>
          </w14:textFill>
        </w:rPr>
        <w:br w:type="textWrapping"/>
      </w:r>
      <w:r>
        <w:rPr>
          <w:rFonts w:ascii="宋体" w:hAnsi="宋体"/>
          <w:color w:val="000000" w:themeColor="text1"/>
          <w:highlight w:val="none"/>
          <w14:textFill>
            <w14:solidFill>
              <w14:schemeClr w14:val="tx1"/>
            </w14:solidFill>
          </w14:textFill>
        </w:rPr>
        <w:t>6）法律、行政法规规定的其他条件。</w:t>
      </w:r>
    </w:p>
    <w:p>
      <w:pPr>
        <w:widowControl/>
        <w:tabs>
          <w:tab w:val="left" w:pos="735"/>
        </w:tabs>
        <w:adjustRightInd w:val="0"/>
        <w:snapToGrid w:val="0"/>
        <w:spacing w:line="360" w:lineRule="auto"/>
        <w:ind w:firstLine="210" w:firstLineChars="100"/>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投标人为分支机构的，必须出具由总公司（总所）给分支机构的授权书</w:t>
      </w:r>
      <w:r>
        <w:rPr>
          <w:rFonts w:hint="eastAsia" w:ascii="宋体" w:hAnsi="宋体" w:cs="宋体"/>
          <w:color w:val="000000" w:themeColor="text1"/>
          <w:kern w:val="0"/>
          <w:szCs w:val="21"/>
          <w:highlight w:val="none"/>
          <w:lang w:eastAsia="zh-CN"/>
          <w14:textFill>
            <w14:solidFill>
              <w14:schemeClr w14:val="tx1"/>
            </w14:solidFill>
          </w14:textFill>
        </w:rPr>
        <w:t>。</w:t>
      </w:r>
    </w:p>
    <w:p>
      <w:pPr>
        <w:spacing w:line="360" w:lineRule="auto"/>
        <w:ind w:firstLine="210" w:firstLineChars="100"/>
        <w:rPr>
          <w:rFonts w:hint="eastAsia" w:ascii="宋体" w:hAnsi="宋体" w:eastAsia="宋体"/>
          <w:color w:val="000000" w:themeColor="text1"/>
          <w:highlight w:val="none"/>
          <w:lang w:eastAsia="zh-CN"/>
          <w14:textFill>
            <w14:solidFill>
              <w14:schemeClr w14:val="tx1"/>
            </w14:solidFill>
          </w14:textFill>
        </w:rPr>
      </w:pPr>
      <w:r>
        <w:rPr>
          <w:rFonts w:hint="eastAsia" w:ascii="宋体" w:hAnsi="宋体"/>
          <w:color w:val="000000" w:themeColor="text1"/>
          <w:highlight w:val="none"/>
          <w14:textFill>
            <w14:solidFill>
              <w14:schemeClr w14:val="tx1"/>
            </w14:solidFill>
          </w14:textFill>
        </w:rPr>
        <w:t>3</w:t>
      </w:r>
      <w:r>
        <w:rPr>
          <w:rFonts w:ascii="宋体" w:hAnsi="宋体"/>
          <w:color w:val="000000" w:themeColor="text1"/>
          <w:highlight w:val="none"/>
          <w14:textFill>
            <w14:solidFill>
              <w14:schemeClr w14:val="tx1"/>
            </w14:solidFill>
          </w14:textFill>
        </w:rPr>
        <w:t>.本项目不接受联合体投标</w:t>
      </w:r>
      <w:r>
        <w:rPr>
          <w:rFonts w:hint="eastAsia" w:ascii="宋体" w:hAnsi="宋体"/>
          <w:color w:val="000000" w:themeColor="text1"/>
          <w:highlight w:val="none"/>
          <w:lang w:eastAsia="zh-CN"/>
          <w14:textFill>
            <w14:solidFill>
              <w14:schemeClr w14:val="tx1"/>
            </w14:solidFill>
          </w14:textFill>
        </w:rPr>
        <w:t>。</w:t>
      </w:r>
    </w:p>
    <w:p>
      <w:pPr>
        <w:spacing w:line="360" w:lineRule="auto"/>
        <w:ind w:firstLine="210" w:firstLineChars="1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在招标代理机构登记并购买谈判文件。</w:t>
      </w:r>
    </w:p>
    <w:p>
      <w:pPr>
        <w:widowControl/>
        <w:tabs>
          <w:tab w:val="left" w:pos="502"/>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cs="Arial"/>
          <w:b/>
          <w:bCs/>
          <w:color w:val="000000" w:themeColor="text1"/>
          <w:highlight w:val="none"/>
          <w14:textFill>
            <w14:solidFill>
              <w14:schemeClr w14:val="tx1"/>
            </w14:solidFill>
          </w14:textFill>
        </w:rPr>
        <w:t>二、谈判</w:t>
      </w:r>
      <w:r>
        <w:rPr>
          <w:rFonts w:hint="eastAsia" w:ascii="宋体" w:hAnsi="宋体" w:cs="Tahoma"/>
          <w:b/>
          <w:bCs/>
          <w:color w:val="000000" w:themeColor="text1"/>
          <w:highlight w:val="none"/>
          <w14:textFill>
            <w14:solidFill>
              <w14:schemeClr w14:val="tx1"/>
            </w14:solidFill>
          </w14:textFill>
        </w:rPr>
        <w:t>项目的名称、用途、数量、简要技术要求或者</w:t>
      </w:r>
      <w:r>
        <w:rPr>
          <w:rFonts w:hint="eastAsia" w:ascii="宋体" w:hAnsi="宋体" w:cs="Arial"/>
          <w:b/>
          <w:bCs/>
          <w:color w:val="000000" w:themeColor="text1"/>
          <w:highlight w:val="none"/>
          <w14:textFill>
            <w14:solidFill>
              <w14:schemeClr w14:val="tx1"/>
            </w14:solidFill>
          </w14:textFill>
        </w:rPr>
        <w:t>谈判</w:t>
      </w:r>
      <w:r>
        <w:rPr>
          <w:rFonts w:hint="eastAsia" w:ascii="宋体" w:hAnsi="宋体" w:cs="Tahoma"/>
          <w:b/>
          <w:bCs/>
          <w:color w:val="000000" w:themeColor="text1"/>
          <w:highlight w:val="none"/>
          <w14:textFill>
            <w14:solidFill>
              <w14:schemeClr w14:val="tx1"/>
            </w14:solidFill>
          </w14:textFill>
        </w:rPr>
        <w:t xml:space="preserve">项目的性质 </w:t>
      </w:r>
    </w:p>
    <w:p>
      <w:pPr>
        <w:widowControl/>
        <w:adjustRightInd w:val="0"/>
        <w:snapToGrid w:val="0"/>
        <w:spacing w:line="360" w:lineRule="auto"/>
        <w:ind w:firstLine="210" w:firstLineChars="100"/>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1．谈判项目编号：</w:t>
      </w:r>
      <w:r>
        <w:rPr>
          <w:rFonts w:hint="eastAsia" w:ascii="宋体" w:hAnsi="宋体"/>
          <w:b/>
          <w:bCs/>
          <w:color w:val="000000" w:themeColor="text1"/>
          <w:szCs w:val="21"/>
          <w:highlight w:val="none"/>
          <w:lang w:eastAsia="zh-CN"/>
          <w14:textFill>
            <w14:solidFill>
              <w14:schemeClr w14:val="tx1"/>
            </w14:solidFill>
          </w14:textFill>
        </w:rPr>
        <w:t>YXZB-20220610</w:t>
      </w:r>
    </w:p>
    <w:p>
      <w:pPr>
        <w:widowControl/>
        <w:adjustRightInd w:val="0"/>
        <w:snapToGrid w:val="0"/>
        <w:spacing w:line="360" w:lineRule="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2．谈判项目名称：</w:t>
      </w:r>
      <w:r>
        <w:rPr>
          <w:rFonts w:hint="eastAsia" w:ascii="宋体" w:hAnsi="宋体"/>
          <w:bCs/>
          <w:color w:val="000000" w:themeColor="text1"/>
          <w:szCs w:val="21"/>
          <w:highlight w:val="none"/>
          <w:lang w:eastAsia="zh-CN"/>
          <w14:textFill>
            <w14:solidFill>
              <w14:schemeClr w14:val="tx1"/>
            </w14:solidFill>
          </w14:textFill>
        </w:rPr>
        <w:t>阳江市阳春市夏威夷果产业园信息化服务项目</w:t>
      </w:r>
    </w:p>
    <w:p>
      <w:pPr>
        <w:widowControl/>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3．采购预算：人民币</w:t>
      </w:r>
      <w:r>
        <w:rPr>
          <w:rFonts w:hint="eastAsia" w:ascii="宋体" w:hAnsi="宋体"/>
          <w:bCs/>
          <w:color w:val="000000" w:themeColor="text1"/>
          <w:szCs w:val="21"/>
          <w:highlight w:val="none"/>
          <w:lang w:val="en-US" w:eastAsia="zh-CN"/>
          <w14:textFill>
            <w14:solidFill>
              <w14:schemeClr w14:val="tx1"/>
            </w14:solidFill>
          </w14:textFill>
        </w:rPr>
        <w:t>3150000.00</w:t>
      </w:r>
      <w:r>
        <w:rPr>
          <w:rFonts w:hint="eastAsia" w:ascii="宋体" w:hAnsi="宋体"/>
          <w:bCs/>
          <w:color w:val="000000" w:themeColor="text1"/>
          <w:szCs w:val="21"/>
          <w:highlight w:val="none"/>
          <w14:textFill>
            <w14:solidFill>
              <w14:schemeClr w14:val="tx1"/>
            </w14:solidFill>
          </w14:textFill>
        </w:rPr>
        <w:t>元（超出该上限的报价将作为无效报价处理）。</w:t>
      </w:r>
    </w:p>
    <w:p>
      <w:pPr>
        <w:widowControl/>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4．数  量：一项</w:t>
      </w:r>
    </w:p>
    <w:p>
      <w:pPr>
        <w:widowControl/>
        <w:adjustRightInd w:val="0"/>
        <w:snapToGrid w:val="0"/>
        <w:spacing w:line="360" w:lineRule="auto"/>
        <w:ind w:left="525" w:hanging="525" w:hangingChars="250"/>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5．</w:t>
      </w:r>
      <w:r>
        <w:rPr>
          <w:rFonts w:hint="eastAsia" w:ascii="宋体" w:hAnsi="宋体" w:eastAsia="宋体" w:cs="宋体"/>
          <w:color w:val="000000" w:themeColor="text1"/>
          <w:sz w:val="21"/>
          <w:szCs w:val="21"/>
          <w:lang w:val="en-US" w:eastAsia="zh-CN"/>
          <w14:textFill>
            <w14:solidFill>
              <w14:schemeClr w14:val="tx1"/>
            </w14:solidFill>
          </w14:textFill>
        </w:rPr>
        <w:t>完工期</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自合同签订之日起180个工作日之内完成平台的建设、调试、试运行并交付使用。</w:t>
      </w:r>
      <w:r>
        <w:rPr>
          <w:rFonts w:hint="eastAsia" w:ascii="宋体" w:hAnsi="宋体"/>
          <w:color w:val="000000" w:themeColor="text1"/>
          <w:highlight w:val="none"/>
          <w14:textFill>
            <w14:solidFill>
              <w14:schemeClr w14:val="tx1"/>
            </w14:solidFill>
          </w14:textFill>
        </w:rPr>
        <w:t>（超出该</w:t>
      </w:r>
      <w:r>
        <w:rPr>
          <w:rFonts w:hint="eastAsia" w:ascii="宋体" w:hAnsi="宋体"/>
          <w:color w:val="000000" w:themeColor="text1"/>
          <w:szCs w:val="21"/>
          <w:highlight w:val="none"/>
          <w:lang w:eastAsia="zh-CN"/>
          <w14:textFill>
            <w14:solidFill>
              <w14:schemeClr w14:val="tx1"/>
            </w14:solidFill>
          </w14:textFill>
        </w:rPr>
        <w:t>完工</w:t>
      </w:r>
      <w:r>
        <w:rPr>
          <w:rFonts w:hint="eastAsia" w:ascii="宋体" w:hAnsi="宋体"/>
          <w:color w:val="000000" w:themeColor="text1"/>
          <w:szCs w:val="21"/>
          <w:highlight w:val="none"/>
          <w14:textFill>
            <w14:solidFill>
              <w14:schemeClr w14:val="tx1"/>
            </w14:solidFill>
          </w14:textFill>
        </w:rPr>
        <w:t>期</w:t>
      </w:r>
      <w:r>
        <w:rPr>
          <w:rFonts w:hint="eastAsia" w:ascii="宋体" w:hAnsi="宋体"/>
          <w:color w:val="000000" w:themeColor="text1"/>
          <w:highlight w:val="none"/>
          <w14:textFill>
            <w14:solidFill>
              <w14:schemeClr w14:val="tx1"/>
            </w14:solidFill>
          </w14:textFill>
        </w:rPr>
        <w:t>作为无效投标处理）。</w:t>
      </w:r>
    </w:p>
    <w:p>
      <w:pPr>
        <w:adjustRightInd w:val="0"/>
        <w:snapToGrid w:val="0"/>
        <w:spacing w:line="360" w:lineRule="auto"/>
        <w:rPr>
          <w:rFonts w:ascii="宋体" w:hAnsi="宋体" w:cs="Tahoma"/>
          <w:iCs/>
          <w:color w:val="000000" w:themeColor="text1"/>
          <w:kern w:val="28"/>
          <w:szCs w:val="21"/>
          <w:highlight w:val="none"/>
          <w14:textFill>
            <w14:solidFill>
              <w14:schemeClr w14:val="tx1"/>
            </w14:solidFill>
          </w14:textFill>
        </w:rPr>
      </w:pPr>
      <w:r>
        <w:rPr>
          <w:rFonts w:hint="eastAsia" w:ascii="宋体" w:hAnsi="宋体" w:cs="Tahoma"/>
          <w:iCs/>
          <w:color w:val="000000" w:themeColor="text1"/>
          <w:kern w:val="28"/>
          <w:szCs w:val="21"/>
          <w:highlight w:val="none"/>
          <w14:textFill>
            <w14:solidFill>
              <w14:schemeClr w14:val="tx1"/>
            </w14:solidFill>
          </w14:textFill>
        </w:rPr>
        <w:t xml:space="preserve">  6．谈判项目的性质：竞争性谈判</w:t>
      </w:r>
    </w:p>
    <w:p>
      <w:pPr>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iCs/>
          <w:color w:val="000000" w:themeColor="text1"/>
          <w:kern w:val="28"/>
          <w:szCs w:val="21"/>
          <w:highlight w:val="none"/>
          <w14:textFill>
            <w14:solidFill>
              <w14:schemeClr w14:val="tx1"/>
            </w14:solidFill>
          </w14:textFill>
        </w:rPr>
        <w:t>三、</w:t>
      </w:r>
      <w:r>
        <w:rPr>
          <w:rFonts w:hint="eastAsia" w:ascii="宋体" w:hAnsi="宋体" w:cs="Tahoma"/>
          <w:b/>
          <w:bCs/>
          <w:color w:val="000000" w:themeColor="text1"/>
          <w:szCs w:val="21"/>
          <w:highlight w:val="none"/>
          <w14:textFill>
            <w14:solidFill>
              <w14:schemeClr w14:val="tx1"/>
            </w14:solidFill>
          </w14:textFill>
        </w:rPr>
        <w:t>获取谈判文件的时间、地点、方式及谈判文件售价</w:t>
      </w:r>
    </w:p>
    <w:p>
      <w:pPr>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1．谈判文件公示时间：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2022</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6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月</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10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日</w:t>
      </w:r>
      <w:r>
        <w:rPr>
          <w:rFonts w:hint="eastAsia" w:ascii="宋体" w:hAnsi="宋体"/>
          <w:color w:val="000000" w:themeColor="text1"/>
          <w:szCs w:val="21"/>
          <w:highlight w:val="none"/>
          <w14:textFill>
            <w14:solidFill>
              <w14:schemeClr w14:val="tx1"/>
            </w14:solidFill>
          </w14:textFill>
        </w:rPr>
        <w:t>至</w:t>
      </w:r>
      <w:r>
        <w:rPr>
          <w:rFonts w:hint="eastAsia" w:ascii="宋体" w:hAnsi="宋体"/>
          <w:color w:val="000000" w:themeColor="text1"/>
          <w:szCs w:val="21"/>
          <w:highlight w:val="none"/>
          <w:lang w:val="en-US" w:eastAsia="zh-CN"/>
          <w14:textFill>
            <w14:solidFill>
              <w14:schemeClr w14:val="tx1"/>
            </w14:solidFill>
          </w14:textFill>
        </w:rPr>
        <w:t>2022</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6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月</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15</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日</w:t>
      </w:r>
      <w:r>
        <w:rPr>
          <w:rFonts w:hint="eastAsia" w:ascii="宋体" w:hAnsi="宋体"/>
          <w:color w:val="000000" w:themeColor="text1"/>
          <w:szCs w:val="21"/>
          <w:highlight w:val="none"/>
          <w14:textFill>
            <w14:solidFill>
              <w14:schemeClr w14:val="tx1"/>
            </w14:solidFill>
          </w14:textFill>
        </w:rPr>
        <w:t>。</w:t>
      </w:r>
    </w:p>
    <w:p>
      <w:pPr>
        <w:spacing w:line="360" w:lineRule="auto"/>
        <w:ind w:left="525" w:leftChars="100" w:hanging="315" w:hangingChars="150"/>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根据《广东省实施〈中华人民共和国政府采购法〉办法》规定，投标人认为政府采购文件的内容损害其权益</w:t>
      </w:r>
      <w:r>
        <w:rPr>
          <w:rFonts w:ascii="宋体" w:hAnsi="宋体" w:cs="宋体"/>
          <w:color w:val="000000" w:themeColor="text1"/>
          <w:kern w:val="0"/>
          <w:szCs w:val="21"/>
          <w:highlight w:val="none"/>
          <w14:textFill>
            <w14:solidFill>
              <w14:schemeClr w14:val="tx1"/>
            </w14:solidFill>
          </w14:textFill>
        </w:rPr>
        <w:t>的，可以在公示期间或者自期满之日起七个工作日内以书面形式向采购人或</w:t>
      </w:r>
      <w:r>
        <w:rPr>
          <w:rFonts w:hint="eastAsia" w:ascii="宋体" w:hAnsi="宋体" w:cs="宋体"/>
          <w:color w:val="000000" w:themeColor="text1"/>
          <w:kern w:val="0"/>
          <w:szCs w:val="21"/>
          <w:highlight w:val="none"/>
          <w14:textFill>
            <w14:solidFill>
              <w14:schemeClr w14:val="tx1"/>
            </w14:solidFill>
          </w14:textFill>
        </w:rPr>
        <w:t>代理采购机构</w:t>
      </w:r>
      <w:r>
        <w:rPr>
          <w:rFonts w:ascii="宋体" w:hAnsi="宋体" w:cs="宋体"/>
          <w:color w:val="000000" w:themeColor="text1"/>
          <w:kern w:val="0"/>
          <w:szCs w:val="21"/>
          <w:highlight w:val="none"/>
          <w14:textFill>
            <w14:solidFill>
              <w14:schemeClr w14:val="tx1"/>
            </w14:solidFill>
          </w14:textFill>
        </w:rPr>
        <w:t>提出质疑。质疑函应当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以上证件须加盖公章），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spacing w:line="360" w:lineRule="auto"/>
        <w:ind w:left="420" w:leftChars="100" w:hanging="210" w:hanging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3．获取谈判文件时间及下载：</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2022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6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月</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10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日</w:t>
      </w:r>
      <w:r>
        <w:rPr>
          <w:rFonts w:hint="eastAsia" w:ascii="宋体" w:hAnsi="宋体"/>
          <w:color w:val="000000" w:themeColor="text1"/>
          <w:szCs w:val="21"/>
          <w:highlight w:val="none"/>
          <w14:textFill>
            <w14:solidFill>
              <w14:schemeClr w14:val="tx1"/>
            </w14:solidFill>
          </w14:textFill>
        </w:rPr>
        <w:t>至</w:t>
      </w:r>
      <w:r>
        <w:rPr>
          <w:rFonts w:hint="eastAsia" w:ascii="宋体" w:hAnsi="宋体"/>
          <w:color w:val="000000" w:themeColor="text1"/>
          <w:szCs w:val="21"/>
          <w:highlight w:val="none"/>
          <w:lang w:val="en-US" w:eastAsia="zh-CN"/>
          <w14:textFill>
            <w14:solidFill>
              <w14:schemeClr w14:val="tx1"/>
            </w14:solidFill>
          </w14:textFill>
        </w:rPr>
        <w:t>2022</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6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月</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15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日</w:t>
      </w:r>
      <w:r>
        <w:rPr>
          <w:rFonts w:hint="eastAsia" w:ascii="宋体" w:hAnsi="宋体"/>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上午9:00～12:00，下午2:30～5:30</w:t>
      </w:r>
      <w:r>
        <w:rPr>
          <w:rFonts w:hint="eastAsia" w:ascii="宋体" w:hAnsi="宋体"/>
          <w:color w:val="000000" w:themeColor="text1"/>
          <w:szCs w:val="21"/>
          <w:highlight w:val="none"/>
          <w14:textFill>
            <w14:solidFill>
              <w14:schemeClr w14:val="tx1"/>
            </w14:solidFill>
          </w14:textFill>
        </w:rPr>
        <w:t>（节假日除外）（北京时间）。</w:t>
      </w:r>
    </w:p>
    <w:p>
      <w:pPr>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4．获取谈判文件地点：</w:t>
      </w:r>
      <w:r>
        <w:rPr>
          <w:rFonts w:hint="eastAsia" w:ascii="宋体" w:hAnsi="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s="宋体"/>
          <w:color w:val="000000" w:themeColor="text1"/>
          <w:szCs w:val="21"/>
          <w:highlight w:val="none"/>
          <w:lang w:val="en-US" w:eastAsia="zh-CN"/>
          <w14:textFill>
            <w14:solidFill>
              <w14:schemeClr w14:val="tx1"/>
            </w14:solidFill>
          </w14:textFill>
        </w:rPr>
        <w:t>205室</w:t>
      </w:r>
      <w:r>
        <w:rPr>
          <w:rFonts w:hint="eastAsia" w:ascii="宋体" w:hAnsi="宋体"/>
          <w:color w:val="000000" w:themeColor="text1"/>
          <w:szCs w:val="21"/>
          <w:highlight w:val="none"/>
          <w14:textFill>
            <w14:solidFill>
              <w14:schemeClr w14:val="tx1"/>
            </w14:solidFill>
          </w14:textFill>
        </w:rPr>
        <w:t>。</w:t>
      </w:r>
    </w:p>
    <w:p>
      <w:pPr>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5．谈判文件售价：谈判文件每套人民币150元，售后不退。</w:t>
      </w:r>
    </w:p>
    <w:p>
      <w:pPr>
        <w:spacing w:line="360" w:lineRule="auto"/>
        <w:ind w:left="283" w:leftChars="-1" w:hanging="285" w:hangingChars="13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6．谈判</w:t>
      </w:r>
      <w:r>
        <w:rPr>
          <w:rFonts w:hint="eastAsia" w:ascii="宋体" w:hAnsi="宋体"/>
          <w:bCs/>
          <w:color w:val="000000" w:themeColor="text1"/>
          <w:highlight w:val="none"/>
          <w14:textFill>
            <w14:solidFill>
              <w14:schemeClr w14:val="tx1"/>
            </w14:solidFill>
          </w14:textFill>
        </w:rPr>
        <w:t>文件获取方式：现场发售</w:t>
      </w:r>
      <w:r>
        <w:rPr>
          <w:rFonts w:hint="eastAsia" w:ascii="宋体" w:hAnsi="宋体"/>
          <w:color w:val="000000" w:themeColor="text1"/>
          <w:szCs w:val="21"/>
          <w:highlight w:val="none"/>
          <w14:textFill>
            <w14:solidFill>
              <w14:schemeClr w14:val="tx1"/>
            </w14:solidFill>
          </w14:textFill>
        </w:rPr>
        <w:t>。</w:t>
      </w:r>
    </w:p>
    <w:p>
      <w:pPr>
        <w:widowControl/>
        <w:tabs>
          <w:tab w:val="left" w:pos="735"/>
        </w:tabs>
        <w:adjustRightInd w:val="0"/>
        <w:snapToGrid w:val="0"/>
        <w:spacing w:line="360" w:lineRule="auto"/>
        <w:ind w:left="420" w:leftChars="100" w:hanging="210" w:hangingChars="100"/>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hint="eastAsia" w:ascii="宋体" w:hAnsi="宋体"/>
          <w:bCs/>
          <w:color w:val="000000" w:themeColor="text1"/>
          <w:szCs w:val="21"/>
          <w:highlight w:val="none"/>
          <w14:textFill>
            <w14:solidFill>
              <w14:schemeClr w14:val="tx1"/>
            </w14:solidFill>
          </w14:textFill>
        </w:rPr>
        <w:t>购买谈判文件必须携带:</w:t>
      </w:r>
    </w:p>
    <w:p>
      <w:pPr>
        <w:widowControl/>
        <w:tabs>
          <w:tab w:val="left" w:pos="735"/>
        </w:tabs>
        <w:adjustRightInd w:val="0"/>
        <w:snapToGrid w:val="0"/>
        <w:spacing w:line="360" w:lineRule="auto"/>
        <w:ind w:left="659" w:leftChars="164"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1）法定代表人（负责人）证明书原件、法定代表人（负责人）授权委托书原件、法定代表人（负责人）身份证复印件、授权委托人身份证复印件和企业法人营业执照副本复印件及《购买标书登记表》（</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"http://www.yjgpc.gov.cn/" </w:instrText>
      </w:r>
      <w:r>
        <w:rPr>
          <w:color w:val="000000" w:themeColor="text1"/>
          <w:highlight w:val="none"/>
          <w14:textFill>
            <w14:solidFill>
              <w14:schemeClr w14:val="tx1"/>
            </w14:solidFill>
          </w14:textFill>
        </w:rPr>
        <w:fldChar w:fldCharType="separate"/>
      </w:r>
      <w:r>
        <w:rPr>
          <w:rStyle w:val="47"/>
          <w:color w:val="000000" w:themeColor="text1"/>
          <w:highlight w:val="none"/>
          <w14:textFill>
            <w14:solidFill>
              <w14:schemeClr w14:val="tx1"/>
            </w14:solidFill>
          </w14:textFill>
        </w:rPr>
        <w:t>http://www.yjcg.cc</w:t>
      </w:r>
      <w:r>
        <w:rPr>
          <w:rStyle w:val="47"/>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"http://www.yjcg.cc/index.php?c=content&amp;a=list&amp;catid=14" \o "政府采购资料下载" </w:instrText>
      </w:r>
      <w:r>
        <w:rPr>
          <w:color w:val="000000" w:themeColor="text1"/>
          <w:highlight w:val="none"/>
          <w14:textFill>
            <w14:solidFill>
              <w14:schemeClr w14:val="tx1"/>
            </w14:solidFill>
          </w14:textFill>
        </w:rPr>
        <w:fldChar w:fldCharType="separate"/>
      </w:r>
      <w:r>
        <w:rPr>
          <w:rStyle w:val="47"/>
          <w:rFonts w:hint="eastAsia" w:ascii="宋体" w:hAnsi="宋体"/>
          <w:bCs/>
          <w:color w:val="000000" w:themeColor="text1"/>
          <w:szCs w:val="21"/>
          <w:highlight w:val="none"/>
          <w14:textFill>
            <w14:solidFill>
              <w14:schemeClr w14:val="tx1"/>
            </w14:solidFill>
          </w14:textFill>
        </w:rPr>
        <w:t>政府采购资料</w:t>
      </w:r>
      <w:r>
        <w:rPr>
          <w:rStyle w:val="47"/>
          <w:rFonts w:hint="eastAsia" w:ascii="宋体" w:hAnsi="宋体"/>
          <w:bCs/>
          <w:color w:val="000000" w:themeColor="text1"/>
          <w:szCs w:val="21"/>
          <w:highlight w:val="none"/>
          <w14:textFill>
            <w14:solidFill>
              <w14:schemeClr w14:val="tx1"/>
            </w14:solidFill>
          </w14:textFill>
        </w:rPr>
        <w:fldChar w:fldCharType="end"/>
      </w:r>
      <w:r>
        <w:rPr>
          <w:rFonts w:hint="eastAsia" w:ascii="宋体" w:hAnsi="宋体"/>
          <w:bCs/>
          <w:color w:val="000000" w:themeColor="text1"/>
          <w:szCs w:val="21"/>
          <w:highlight w:val="none"/>
          <w14:textFill>
            <w14:solidFill>
              <w14:schemeClr w14:val="tx1"/>
            </w14:solidFill>
          </w14:textFill>
        </w:rPr>
        <w:t>下载专区）加盖公章到指定地址购买。</w:t>
      </w:r>
      <w:r>
        <w:rPr>
          <w:rFonts w:hint="eastAsia"/>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660" w:leftChars="164" w:hanging="316" w:hangingChars="150"/>
        <w:rPr>
          <w:rFonts w:ascii="宋体" w:hAnsi="宋体"/>
          <w:color w:val="000000" w:themeColor="text1"/>
          <w:szCs w:val="2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四、报价截止时间、开标时间及地点</w:t>
      </w:r>
    </w:p>
    <w:p>
      <w:pPr>
        <w:widowControl/>
        <w:spacing w:line="360" w:lineRule="auto"/>
        <w:ind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r>
        <w:rPr>
          <w:rFonts w:hint="eastAsia" w:ascii="宋体" w:hAnsi="宋体" w:cs="Tahoma"/>
          <w:color w:val="000000" w:themeColor="text1"/>
          <w:highlight w:val="none"/>
          <w14:textFill>
            <w14:solidFill>
              <w14:schemeClr w14:val="tx1"/>
            </w14:solidFill>
          </w14:textFill>
        </w:rPr>
        <w:t>递交谈判响应文件</w:t>
      </w:r>
      <w:r>
        <w:rPr>
          <w:rFonts w:hint="eastAsia" w:ascii="宋体" w:hAnsi="宋体" w:cs="宋体"/>
          <w:color w:val="000000" w:themeColor="text1"/>
          <w:kern w:val="0"/>
          <w:szCs w:val="21"/>
          <w:highlight w:val="none"/>
          <w14:textFill>
            <w14:solidFill>
              <w14:schemeClr w14:val="tx1"/>
            </w14:solidFill>
          </w14:textFill>
        </w:rPr>
        <w:t>时间：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2022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6</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月</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17</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日</w:t>
      </w:r>
      <w:r>
        <w:rPr>
          <w:rFonts w:hint="eastAsia" w:ascii="宋体" w:hAnsi="宋体" w:cs="宋体"/>
          <w:color w:val="000000" w:themeColor="text1"/>
          <w:kern w:val="0"/>
          <w:szCs w:val="21"/>
          <w:highlight w:val="none"/>
          <w:lang w:val="en-US" w:eastAsia="zh-CN"/>
          <w14:textFill>
            <w14:solidFill>
              <w14:schemeClr w14:val="tx1"/>
            </w14:solidFill>
          </w14:textFill>
        </w:rPr>
        <w:t>09</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0-</w:t>
      </w:r>
      <w:r>
        <w:rPr>
          <w:rFonts w:hint="eastAsia"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kern w:val="0"/>
          <w:szCs w:val="21"/>
          <w:highlight w:val="none"/>
          <w14:textFill>
            <w14:solidFill>
              <w14:schemeClr w14:val="tx1"/>
            </w14:solidFill>
          </w14:textFill>
        </w:rPr>
        <w:t>:00 (北京时间)。</w:t>
      </w:r>
    </w:p>
    <w:p>
      <w:pPr>
        <w:widowControl/>
        <w:spacing w:line="360" w:lineRule="auto"/>
        <w:ind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Tahoma"/>
          <w:color w:val="000000" w:themeColor="text1"/>
          <w:highlight w:val="none"/>
          <w14:textFill>
            <w14:solidFill>
              <w14:schemeClr w14:val="tx1"/>
            </w14:solidFill>
          </w14:textFill>
        </w:rPr>
        <w:t>递交谈判响应文件</w:t>
      </w:r>
      <w:r>
        <w:rPr>
          <w:rFonts w:hint="eastAsia" w:ascii="宋体" w:hAnsi="宋体" w:cs="宋体"/>
          <w:color w:val="000000" w:themeColor="text1"/>
          <w:kern w:val="0"/>
          <w:szCs w:val="21"/>
          <w:highlight w:val="none"/>
          <w14:textFill>
            <w14:solidFill>
              <w14:schemeClr w14:val="tx1"/>
            </w14:solidFill>
          </w14:textFill>
        </w:rPr>
        <w:t>地点：</w:t>
      </w:r>
      <w:r>
        <w:rPr>
          <w:rFonts w:hint="eastAsia" w:ascii="宋体" w:hAnsi="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olor w:val="000000" w:themeColor="text1"/>
          <w:szCs w:val="21"/>
          <w:highlight w:val="none"/>
          <w:lang w:val="en-US" w:eastAsia="zh-CN"/>
          <w14:textFill>
            <w14:solidFill>
              <w14:schemeClr w14:val="tx1"/>
            </w14:solidFill>
          </w14:textFill>
        </w:rPr>
        <w:t>201</w:t>
      </w:r>
      <w:r>
        <w:rPr>
          <w:rFonts w:hint="eastAsia" w:ascii="宋体" w:hAnsi="宋体"/>
          <w:color w:val="000000" w:themeColor="text1"/>
          <w:szCs w:val="21"/>
          <w:highlight w:val="none"/>
          <w14:textFill>
            <w14:solidFill>
              <w14:schemeClr w14:val="tx1"/>
            </w14:solidFill>
          </w14:textFill>
        </w:rPr>
        <w:t>开标室</w:t>
      </w:r>
      <w:r>
        <w:rPr>
          <w:rFonts w:hint="eastAsia" w:ascii="宋体" w:hAnsi="宋体" w:cs="宋体"/>
          <w:color w:val="000000" w:themeColor="text1"/>
          <w:kern w:val="0"/>
          <w:szCs w:val="21"/>
          <w:highlight w:val="none"/>
          <w14:textFill>
            <w14:solidFill>
              <w14:schemeClr w14:val="tx1"/>
            </w14:solidFill>
          </w14:textFill>
        </w:rPr>
        <w:t>。</w:t>
      </w:r>
    </w:p>
    <w:p>
      <w:pPr>
        <w:widowControl/>
        <w:spacing w:line="360" w:lineRule="auto"/>
        <w:ind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Tahoma"/>
          <w:color w:val="000000" w:themeColor="text1"/>
          <w:highlight w:val="none"/>
          <w14:textFill>
            <w14:solidFill>
              <w14:schemeClr w14:val="tx1"/>
            </w14:solidFill>
          </w14:textFill>
        </w:rPr>
        <w:t>报价截止时间（递交谈判响应文件截止时间）</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2022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6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月</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17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 xml:space="preserve"> </w:t>
      </w:r>
      <w:r>
        <w:rPr>
          <w:rFonts w:hint="eastAsia"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kern w:val="0"/>
          <w:szCs w:val="21"/>
          <w:highlight w:val="none"/>
          <w14:textFill>
            <w14:solidFill>
              <w14:schemeClr w14:val="tx1"/>
            </w14:solidFill>
          </w14:textFill>
        </w:rPr>
        <w:t>:00(北京时间)。</w:t>
      </w:r>
    </w:p>
    <w:p>
      <w:pPr>
        <w:widowControl/>
        <w:spacing w:line="360" w:lineRule="auto"/>
        <w:ind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r>
        <w:rPr>
          <w:rFonts w:hint="eastAsia" w:ascii="宋体" w:hAnsi="宋体" w:cs="Tahoma"/>
          <w:color w:val="000000" w:themeColor="text1"/>
          <w:highlight w:val="none"/>
          <w14:textFill>
            <w14:solidFill>
              <w14:schemeClr w14:val="tx1"/>
            </w14:solidFill>
          </w14:textFill>
        </w:rPr>
        <w:t>谈判开始时间</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2022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6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月</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17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日</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10</w:t>
      </w:r>
      <w:r>
        <w:rPr>
          <w:rFonts w:hint="eastAsia" w:ascii="宋体" w:hAnsi="宋体" w:cs="宋体"/>
          <w:color w:val="000000" w:themeColor="text1"/>
          <w:kern w:val="0"/>
          <w:szCs w:val="21"/>
          <w:highlight w:val="none"/>
          <w14:textFill>
            <w14:solidFill>
              <w14:schemeClr w14:val="tx1"/>
            </w14:solidFill>
          </w14:textFill>
        </w:rPr>
        <w:t>:00(北京时间)。</w:t>
      </w:r>
    </w:p>
    <w:p>
      <w:pPr>
        <w:widowControl/>
        <w:spacing w:line="360" w:lineRule="auto"/>
        <w:ind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w:t>
      </w:r>
      <w:r>
        <w:rPr>
          <w:rFonts w:hint="eastAsia" w:ascii="宋体" w:hAnsi="宋体" w:cs="Tahoma"/>
          <w:color w:val="000000" w:themeColor="text1"/>
          <w:highlight w:val="none"/>
          <w14:textFill>
            <w14:solidFill>
              <w14:schemeClr w14:val="tx1"/>
            </w14:solidFill>
          </w14:textFill>
        </w:rPr>
        <w:t>谈判</w:t>
      </w:r>
      <w:r>
        <w:rPr>
          <w:rFonts w:hint="eastAsia" w:ascii="宋体" w:hAnsi="宋体" w:cs="宋体"/>
          <w:color w:val="000000" w:themeColor="text1"/>
          <w:kern w:val="0"/>
          <w:szCs w:val="21"/>
          <w:highlight w:val="none"/>
          <w14:textFill>
            <w14:solidFill>
              <w14:schemeClr w14:val="tx1"/>
            </w14:solidFill>
          </w14:textFill>
        </w:rPr>
        <w:t>地点：</w:t>
      </w:r>
      <w:r>
        <w:rPr>
          <w:rFonts w:hint="eastAsia" w:ascii="宋体" w:hAnsi="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olor w:val="000000" w:themeColor="text1"/>
          <w:szCs w:val="21"/>
          <w:highlight w:val="none"/>
          <w:lang w:val="en-US" w:eastAsia="zh-CN"/>
          <w14:textFill>
            <w14:solidFill>
              <w14:schemeClr w14:val="tx1"/>
            </w14:solidFill>
          </w14:textFill>
        </w:rPr>
        <w:t>202</w:t>
      </w:r>
      <w:r>
        <w:rPr>
          <w:rFonts w:hint="eastAsia" w:ascii="宋体" w:hAnsi="宋体"/>
          <w:color w:val="000000" w:themeColor="text1"/>
          <w:szCs w:val="21"/>
          <w:highlight w:val="none"/>
          <w14:textFill>
            <w14:solidFill>
              <w14:schemeClr w14:val="tx1"/>
            </w14:solidFill>
          </w14:textFill>
        </w:rPr>
        <w:t>评标室</w:t>
      </w:r>
      <w:r>
        <w:rPr>
          <w:rFonts w:hint="eastAsia" w:ascii="宋体" w:hAnsi="宋体" w:cs="宋体"/>
          <w:color w:val="000000" w:themeColor="text1"/>
          <w:kern w:val="0"/>
          <w:szCs w:val="21"/>
          <w:highlight w:val="none"/>
          <w14:textFill>
            <w14:solidFill>
              <w14:schemeClr w14:val="tx1"/>
            </w14:solidFill>
          </w14:textFill>
        </w:rPr>
        <w:t>。</w:t>
      </w:r>
    </w:p>
    <w:p>
      <w:pPr>
        <w:widowControl/>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五、采购人、代理采购机构的名称、地址和联系方式</w:t>
      </w:r>
    </w:p>
    <w:p>
      <w:pPr>
        <w:widowControl/>
        <w:tabs>
          <w:tab w:val="left" w:pos="502"/>
        </w:tabs>
        <w:adjustRightInd w:val="0"/>
        <w:snapToGrid w:val="0"/>
        <w:spacing w:line="360" w:lineRule="auto"/>
        <w:ind w:firstLine="210" w:firstLineChars="100"/>
        <w:rPr>
          <w:rFonts w:ascii="宋体" w:hAnsi="宋体" w:cs="Tahoma"/>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1.采购人联系方式：</w:t>
      </w:r>
    </w:p>
    <w:p>
      <w:pPr>
        <w:spacing w:line="360" w:lineRule="auto"/>
        <w:ind w:firstLine="420" w:firstLineChars="200"/>
        <w:rPr>
          <w:rFonts w:hint="eastAsia" w:ascii="宋体" w:hAnsi="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名  称：</w:t>
      </w:r>
      <w:r>
        <w:rPr>
          <w:rFonts w:hint="eastAsia" w:ascii="宋体" w:hAnsi="宋体"/>
          <w:color w:val="000000" w:themeColor="text1"/>
          <w:szCs w:val="21"/>
          <w:highlight w:val="none"/>
          <w:lang w:eastAsia="zh-CN"/>
          <w14:textFill>
            <w14:solidFill>
              <w14:schemeClr w14:val="tx1"/>
            </w14:solidFill>
          </w14:textFill>
        </w:rPr>
        <w:t>广东澳盛农业科技发展有限公司</w:t>
      </w:r>
    </w:p>
    <w:p>
      <w:pPr>
        <w:widowControl/>
        <w:tabs>
          <w:tab w:val="left" w:pos="502"/>
        </w:tabs>
        <w:adjustRightInd w:val="0"/>
        <w:snapToGrid w:val="0"/>
        <w:spacing w:line="360" w:lineRule="auto"/>
        <w:ind w:firstLine="420" w:firstLineChars="200"/>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地    址：阳春市岗美镇黄塘华侨办事处19队</w:t>
      </w:r>
    </w:p>
    <w:p>
      <w:pPr>
        <w:spacing w:line="360" w:lineRule="auto"/>
        <w:ind w:firstLine="420" w:firstLineChars="20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 系 人：廖景云</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联系电话：139 0283 4578</w:t>
      </w:r>
    </w:p>
    <w:p>
      <w:pPr>
        <w:widowControl/>
        <w:tabs>
          <w:tab w:val="left" w:pos="502"/>
        </w:tabs>
        <w:adjustRightInd w:val="0"/>
        <w:snapToGrid w:val="0"/>
        <w:spacing w:line="360" w:lineRule="auto"/>
        <w:ind w:firstLine="210" w:firstLineChars="100"/>
        <w:rPr>
          <w:rFonts w:ascii="宋体" w:hAnsi="宋体"/>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2.代理采购机构联系方式：</w:t>
      </w:r>
      <w:r>
        <w:rPr>
          <w:rFonts w:hint="eastAsia" w:ascii="宋体" w:hAnsi="宋体"/>
          <w:color w:val="000000" w:themeColor="text1"/>
          <w:szCs w:val="21"/>
          <w:highlight w:val="none"/>
          <w:lang w:val="zh-CN"/>
          <w14:textFill>
            <w14:solidFill>
              <w14:schemeClr w14:val="tx1"/>
            </w14:solidFill>
          </w14:textFill>
        </w:rPr>
        <w:t>　　　　　　　</w:t>
      </w:r>
    </w:p>
    <w:p>
      <w:pPr>
        <w:tabs>
          <w:tab w:val="left" w:pos="735"/>
          <w:tab w:val="left" w:pos="4680"/>
        </w:tabs>
        <w:adjustRightInd w:val="0"/>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名  称：</w:t>
      </w: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 xml:space="preserve">   </w:t>
      </w:r>
    </w:p>
    <w:p>
      <w:pPr>
        <w:tabs>
          <w:tab w:val="left" w:pos="735"/>
          <w:tab w:val="left" w:pos="4680"/>
        </w:tabs>
        <w:adjustRightInd w:val="0"/>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联系人：冯国辉　　　　</w:t>
      </w:r>
    </w:p>
    <w:p>
      <w:pPr>
        <w:tabs>
          <w:tab w:val="left" w:pos="735"/>
          <w:tab w:val="left" w:pos="4680"/>
        </w:tabs>
        <w:adjustRightInd w:val="0"/>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电话：0662-</w:t>
      </w:r>
      <w:r>
        <w:rPr>
          <w:rFonts w:hint="eastAsia" w:ascii="宋体" w:hAnsi="宋体" w:cs="Tahoma"/>
          <w:color w:val="000000" w:themeColor="text1"/>
          <w:highlight w:val="none"/>
          <w14:textFill>
            <w14:solidFill>
              <w14:schemeClr w14:val="tx1"/>
            </w14:solidFill>
          </w14:textFill>
        </w:rPr>
        <w:t>3167266</w:t>
      </w:r>
      <w:r>
        <w:rPr>
          <w:rFonts w:hint="eastAsia" w:ascii="宋体" w:hAnsi="宋体"/>
          <w:color w:val="000000" w:themeColor="text1"/>
          <w:szCs w:val="21"/>
          <w:highlight w:val="none"/>
          <w14:textFill>
            <w14:solidFill>
              <w14:schemeClr w14:val="tx1"/>
            </w14:solidFill>
          </w14:textFill>
        </w:rPr>
        <w:t xml:space="preserve">                 </w:t>
      </w:r>
    </w:p>
    <w:p>
      <w:pPr>
        <w:tabs>
          <w:tab w:val="left" w:pos="735"/>
          <w:tab w:val="left" w:pos="4680"/>
        </w:tabs>
        <w:adjustRightInd w:val="0"/>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传真：0662-2669666　　　　　</w:t>
      </w:r>
    </w:p>
    <w:p>
      <w:pPr>
        <w:tabs>
          <w:tab w:val="left" w:pos="735"/>
          <w:tab w:val="left" w:pos="4680"/>
        </w:tabs>
        <w:adjustRightInd w:val="0"/>
        <w:snapToGrid w:val="0"/>
        <w:spacing w:line="360" w:lineRule="auto"/>
        <w:ind w:firstLine="420" w:firstLineChars="200"/>
        <w:rPr>
          <w:rFonts w:ascii="宋体" w:hAnsi="宋体"/>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联系地址：</w:t>
      </w:r>
      <w:r>
        <w:rPr>
          <w:rFonts w:hint="eastAsia" w:ascii="宋体" w:hAnsi="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color w:val="000000" w:themeColor="text1"/>
          <w:szCs w:val="21"/>
          <w:highlight w:val="none"/>
          <w14:textFill>
            <w14:solidFill>
              <w14:schemeClr w14:val="tx1"/>
            </w14:solidFill>
          </w14:textFill>
        </w:rPr>
        <w:t>　</w:t>
      </w:r>
      <w:r>
        <w:rPr>
          <w:rFonts w:hint="eastAsia" w:ascii="宋体" w:hAnsi="宋体"/>
          <w:color w:val="000000" w:themeColor="text1"/>
          <w:szCs w:val="21"/>
          <w:highlight w:val="none"/>
          <w:lang w:val="zh-CN"/>
          <w14:textFill>
            <w14:solidFill>
              <w14:schemeClr w14:val="tx1"/>
            </w14:solidFill>
          </w14:textFill>
        </w:rPr>
        <w:t>　　　　　　</w:t>
      </w:r>
    </w:p>
    <w:p>
      <w:pPr>
        <w:widowControl/>
        <w:tabs>
          <w:tab w:val="left" w:pos="502"/>
        </w:tabs>
        <w:adjustRightInd w:val="0"/>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网址：</w:t>
      </w:r>
      <w:r>
        <w:rPr>
          <w:rFonts w:ascii="宋体" w:hAnsi="宋体"/>
          <w:color w:val="000000" w:themeColor="text1"/>
          <w:szCs w:val="21"/>
          <w:highlight w:val="none"/>
          <w14:textFill>
            <w14:solidFill>
              <w14:schemeClr w14:val="tx1"/>
            </w14:solidFill>
          </w14:textFill>
        </w:rPr>
        <w:t>http://www.yjcg.cc</w:t>
      </w:r>
      <w:bookmarkStart w:id="9" w:name="_Toc353522387"/>
      <w:bookmarkStart w:id="10" w:name="_Toc351987959"/>
      <w:bookmarkStart w:id="11" w:name="_Toc357151163"/>
      <w:bookmarkStart w:id="12" w:name="_Toc351986013"/>
      <w:bookmarkStart w:id="13" w:name="_Toc351985908"/>
      <w:bookmarkStart w:id="14" w:name="_Toc351988704"/>
      <w:bookmarkStart w:id="15" w:name="_Toc351986193"/>
      <w:bookmarkStart w:id="16" w:name="_Toc351990140"/>
      <w:bookmarkStart w:id="17" w:name="_Toc329242667"/>
      <w:bookmarkStart w:id="18" w:name="_Toc369180017"/>
      <w:bookmarkStart w:id="19" w:name="_Toc351987763"/>
    </w:p>
    <w:p>
      <w:pPr>
        <w:spacing w:line="360" w:lineRule="auto"/>
        <w:ind w:firstLine="3255" w:firstLineChars="1550"/>
        <w:jc w:val="righ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 xml:space="preserve">  </w:t>
      </w:r>
    </w:p>
    <w:p>
      <w:pPr>
        <w:spacing w:line="360" w:lineRule="auto"/>
        <w:ind w:left="6615" w:leftChars="2450" w:hanging="1470" w:hangingChars="700"/>
        <w:jc w:val="right"/>
        <w:rPr>
          <w:rFonts w:ascii="宋体" w:hAnsi="宋体"/>
          <w:color w:val="000000" w:themeColor="text1"/>
          <w:highlight w:val="none"/>
          <w14:textFill>
            <w14:solidFill>
              <w14:schemeClr w14:val="tx1"/>
            </w14:solidFill>
          </w14:textFill>
        </w:rPr>
      </w:pP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2022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年</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6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月</w:t>
      </w:r>
      <w:r>
        <w:rPr>
          <w:rFonts w:hint="eastAsia" w:ascii="宋体" w:hAnsi="宋体" w:cs="Times New Roman"/>
          <w:color w:val="000000" w:themeColor="text1"/>
          <w:kern w:val="2"/>
          <w:sz w:val="21"/>
          <w:szCs w:val="21"/>
          <w:highlight w:val="none"/>
          <w:lang w:val="en-US" w:eastAsia="zh-CN" w:bidi="ar-SA"/>
          <w14:textFill>
            <w14:solidFill>
              <w14:schemeClr w14:val="tx1"/>
            </w14:solidFill>
          </w14:textFill>
        </w:rPr>
        <w:t xml:space="preserve"> 10 </w:t>
      </w:r>
      <w: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t>日</w:t>
      </w:r>
    </w:p>
    <w:p>
      <w:pPr>
        <w:pStyle w:val="2"/>
        <w:numPr>
          <w:ilvl w:val="0"/>
          <w:numId w:val="0"/>
        </w:numPr>
        <w:autoSpaceDE w:val="0"/>
        <w:autoSpaceDN w:val="0"/>
        <w:adjustRightInd w:val="0"/>
        <w:snapToGrid w:val="0"/>
        <w:spacing w:beforeLines="100" w:after="0" w:line="360" w:lineRule="auto"/>
        <w:jc w:val="center"/>
        <w:textAlignment w:val="baseline"/>
        <w:rPr>
          <w:rFonts w:ascii="宋体" w:hAnsi="宋体"/>
          <w:color w:val="000000" w:themeColor="text1"/>
          <w:sz w:val="21"/>
          <w:szCs w:val="21"/>
          <w:highlight w:val="none"/>
          <w14:textFill>
            <w14:solidFill>
              <w14:schemeClr w14:val="tx1"/>
            </w14:solidFill>
          </w14:textFill>
        </w:rPr>
      </w:pPr>
      <w:bookmarkStart w:id="20" w:name="_Toc24847"/>
      <w:bookmarkStart w:id="21" w:name="_Toc452826426"/>
      <w:r>
        <w:rPr>
          <w:rFonts w:hint="eastAsia" w:ascii="宋体" w:hAnsi="宋体"/>
          <w:color w:val="000000" w:themeColor="text1"/>
          <w:sz w:val="21"/>
          <w:szCs w:val="21"/>
          <w:highlight w:val="none"/>
          <w14:textFill>
            <w14:solidFill>
              <w14:schemeClr w14:val="tx1"/>
            </w14:solidFill>
          </w14:textFill>
        </w:rPr>
        <w:t>第二部分  采购项目内容</w:t>
      </w:r>
      <w:bookmarkEnd w:id="9"/>
      <w:bookmarkEnd w:id="10"/>
      <w:bookmarkEnd w:id="11"/>
      <w:bookmarkEnd w:id="12"/>
      <w:bookmarkEnd w:id="13"/>
      <w:bookmarkEnd w:id="14"/>
      <w:bookmarkEnd w:id="15"/>
      <w:bookmarkEnd w:id="16"/>
      <w:bookmarkEnd w:id="17"/>
      <w:bookmarkEnd w:id="18"/>
      <w:bookmarkEnd w:id="19"/>
      <w:bookmarkEnd w:id="20"/>
      <w:bookmarkEnd w:id="21"/>
      <w:bookmarkStart w:id="22" w:name="_Toc75570886"/>
    </w:p>
    <w:p>
      <w:pPr>
        <w:pStyle w:val="2"/>
        <w:numPr>
          <w:ilvl w:val="0"/>
          <w:numId w:val="0"/>
        </w:numPr>
        <w:autoSpaceDE w:val="0"/>
        <w:autoSpaceDN w:val="0"/>
        <w:adjustRightInd w:val="0"/>
        <w:snapToGrid w:val="0"/>
        <w:spacing w:beforeLines="100" w:after="0" w:line="360" w:lineRule="auto"/>
        <w:jc w:val="left"/>
        <w:textAlignment w:val="baseline"/>
        <w:rPr>
          <w:rFonts w:hint="eastAsia" w:ascii="宋体" w:hAnsi="宋体" w:eastAsia="宋体"/>
          <w:color w:val="000000" w:themeColor="text1"/>
          <w:sz w:val="21"/>
          <w:szCs w:val="21"/>
          <w:highlight w:val="none"/>
          <w:lang w:eastAsia="zh-CN"/>
          <w14:textFill>
            <w14:solidFill>
              <w14:schemeClr w14:val="tx1"/>
            </w14:solidFill>
          </w14:textFill>
        </w:rPr>
      </w:pPr>
      <w:bookmarkStart w:id="23" w:name="_Toc369180018"/>
      <w:bookmarkStart w:id="24" w:name="_Toc353522388"/>
      <w:bookmarkStart w:id="25" w:name="_Toc357151164"/>
      <w:bookmarkStart w:id="26" w:name="_Toc351985909"/>
      <w:bookmarkStart w:id="27" w:name="_Toc351986194"/>
      <w:bookmarkStart w:id="28" w:name="_Toc452826427"/>
      <w:bookmarkStart w:id="29" w:name="_Toc329242668"/>
      <w:bookmarkStart w:id="30" w:name="_Toc351986014"/>
      <w:bookmarkStart w:id="31" w:name="_Toc351990141"/>
      <w:bookmarkStart w:id="32" w:name="_Toc351987764"/>
      <w:bookmarkStart w:id="33" w:name="_Toc351987960"/>
      <w:bookmarkStart w:id="34" w:name="_Toc351988705"/>
      <w:bookmarkStart w:id="35" w:name="_Toc19898"/>
      <w:r>
        <w:rPr>
          <w:rFonts w:hint="eastAsia" w:ascii="宋体" w:hAnsi="宋体"/>
          <w:color w:val="000000" w:themeColor="text1"/>
          <w:sz w:val="21"/>
          <w:szCs w:val="21"/>
          <w:highlight w:val="none"/>
          <w14:textFill>
            <w14:solidFill>
              <w14:schemeClr w14:val="tx1"/>
            </w14:solidFill>
          </w14:textFill>
        </w:rPr>
        <w:t>项目编号：</w:t>
      </w:r>
      <w:bookmarkEnd w:id="23"/>
      <w:bookmarkEnd w:id="24"/>
      <w:bookmarkEnd w:id="25"/>
      <w:bookmarkEnd w:id="26"/>
      <w:bookmarkEnd w:id="27"/>
      <w:bookmarkEnd w:id="28"/>
      <w:bookmarkEnd w:id="29"/>
      <w:bookmarkEnd w:id="30"/>
      <w:bookmarkEnd w:id="31"/>
      <w:bookmarkEnd w:id="32"/>
      <w:bookmarkEnd w:id="33"/>
      <w:bookmarkEnd w:id="34"/>
      <w:r>
        <w:rPr>
          <w:rFonts w:hint="eastAsia" w:ascii="宋体" w:hAnsi="宋体"/>
          <w:color w:val="000000" w:themeColor="text1"/>
          <w:sz w:val="21"/>
          <w:szCs w:val="21"/>
          <w:highlight w:val="none"/>
          <w:u w:val="single"/>
          <w:lang w:eastAsia="zh-CN"/>
          <w14:textFill>
            <w14:solidFill>
              <w14:schemeClr w14:val="tx1"/>
            </w14:solidFill>
          </w14:textFill>
        </w:rPr>
        <w:t>YXZB-20220610</w:t>
      </w:r>
      <w:bookmarkEnd w:id="35"/>
    </w:p>
    <w:p>
      <w:pPr>
        <w:pStyle w:val="3"/>
        <w:widowControl/>
        <w:numPr>
          <w:ilvl w:val="1"/>
          <w:numId w:val="0"/>
        </w:numPr>
        <w:autoSpaceDE w:val="0"/>
        <w:autoSpaceDN w:val="0"/>
        <w:adjustRightInd w:val="0"/>
        <w:snapToGrid w:val="0"/>
        <w:spacing w:before="0" w:after="0" w:line="360" w:lineRule="auto"/>
        <w:jc w:val="left"/>
        <w:textAlignment w:val="baseline"/>
        <w:rPr>
          <w:rFonts w:hint="eastAsia" w:ascii="宋体" w:hAnsi="宋体" w:eastAsia="宋体"/>
          <w:color w:val="000000" w:themeColor="text1"/>
          <w:kern w:val="44"/>
          <w:sz w:val="21"/>
          <w:szCs w:val="21"/>
          <w:highlight w:val="none"/>
          <w:lang w:eastAsia="zh-CN"/>
          <w14:textFill>
            <w14:solidFill>
              <w14:schemeClr w14:val="tx1"/>
            </w14:solidFill>
          </w14:textFill>
        </w:rPr>
      </w:pPr>
      <w:bookmarkStart w:id="36" w:name="_Toc353522389"/>
      <w:bookmarkStart w:id="37" w:name="_Toc351986195"/>
      <w:bookmarkStart w:id="38" w:name="_Toc357151165"/>
      <w:bookmarkStart w:id="39" w:name="_Toc351987765"/>
      <w:bookmarkStart w:id="40" w:name="_Toc351986015"/>
      <w:bookmarkStart w:id="41" w:name="_Toc351988706"/>
      <w:bookmarkStart w:id="42" w:name="_Toc351990142"/>
      <w:bookmarkStart w:id="43" w:name="_Toc351987961"/>
      <w:bookmarkStart w:id="44" w:name="_Toc351985910"/>
      <w:bookmarkStart w:id="45" w:name="_Toc369180019"/>
      <w:bookmarkStart w:id="46" w:name="_Toc452826428"/>
      <w:bookmarkStart w:id="47" w:name="_Toc329242669"/>
      <w:bookmarkStart w:id="48" w:name="_Toc4037"/>
      <w:r>
        <w:rPr>
          <w:rFonts w:hint="eastAsia" w:ascii="宋体" w:hAnsi="宋体" w:eastAsia="宋体"/>
          <w:color w:val="000000" w:themeColor="text1"/>
          <w:kern w:val="44"/>
          <w:sz w:val="21"/>
          <w:szCs w:val="21"/>
          <w:highlight w:val="none"/>
          <w14:textFill>
            <w14:solidFill>
              <w14:schemeClr w14:val="tx1"/>
            </w14:solidFill>
          </w14:textFill>
        </w:rPr>
        <w:t>项目名称：</w:t>
      </w:r>
      <w:bookmarkEnd w:id="36"/>
      <w:bookmarkEnd w:id="37"/>
      <w:bookmarkEnd w:id="38"/>
      <w:bookmarkEnd w:id="39"/>
      <w:bookmarkEnd w:id="40"/>
      <w:bookmarkEnd w:id="41"/>
      <w:bookmarkEnd w:id="42"/>
      <w:bookmarkEnd w:id="43"/>
      <w:bookmarkEnd w:id="44"/>
      <w:bookmarkEnd w:id="45"/>
      <w:bookmarkEnd w:id="46"/>
      <w:bookmarkEnd w:id="47"/>
      <w:r>
        <w:rPr>
          <w:rFonts w:hint="eastAsia" w:ascii="宋体" w:hAnsi="宋体" w:eastAsia="宋体"/>
          <w:color w:val="000000" w:themeColor="text1"/>
          <w:kern w:val="44"/>
          <w:sz w:val="21"/>
          <w:szCs w:val="21"/>
          <w:highlight w:val="none"/>
          <w:u w:val="single"/>
          <w:lang w:eastAsia="zh-CN"/>
          <w14:textFill>
            <w14:solidFill>
              <w14:schemeClr w14:val="tx1"/>
            </w14:solidFill>
          </w14:textFill>
        </w:rPr>
        <w:t>阳江市阳春市夏威夷果产业园信息化服务项目</w:t>
      </w:r>
      <w:bookmarkEnd w:id="48"/>
    </w:p>
    <w:p>
      <w:pPr>
        <w:pStyle w:val="3"/>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14:textFill>
            <w14:solidFill>
              <w14:schemeClr w14:val="tx1"/>
            </w14:solidFill>
          </w14:textFill>
        </w:rPr>
      </w:pPr>
      <w:bookmarkStart w:id="49" w:name="_Toc329242670"/>
      <w:bookmarkStart w:id="50" w:name="_Toc351988707"/>
      <w:bookmarkStart w:id="51" w:name="_Toc351987766"/>
      <w:bookmarkStart w:id="52" w:name="_Toc353522390"/>
      <w:bookmarkStart w:id="53" w:name="_Toc357151166"/>
      <w:bookmarkStart w:id="54" w:name="_Toc351986196"/>
      <w:bookmarkStart w:id="55" w:name="_Toc351985911"/>
      <w:bookmarkStart w:id="56" w:name="_Toc369180020"/>
      <w:bookmarkStart w:id="57" w:name="_Toc351987962"/>
      <w:bookmarkStart w:id="58" w:name="_Toc351990143"/>
      <w:bookmarkStart w:id="59" w:name="_Toc26932"/>
      <w:bookmarkStart w:id="60" w:name="_Toc452826429"/>
      <w:bookmarkStart w:id="61" w:name="_Toc351986016"/>
      <w:r>
        <w:rPr>
          <w:rFonts w:ascii="宋体" w:hAnsi="宋体" w:eastAsia="宋体"/>
          <w:color w:val="000000" w:themeColor="text1"/>
          <w:kern w:val="0"/>
          <w:sz w:val="21"/>
          <w:szCs w:val="21"/>
          <w:highlight w:val="none"/>
          <w14:textFill>
            <w14:solidFill>
              <w14:schemeClr w14:val="tx1"/>
            </w14:solidFill>
          </w14:textFill>
        </w:rPr>
        <w:t xml:space="preserve">A  </w:t>
      </w:r>
      <w:r>
        <w:rPr>
          <w:rFonts w:hint="eastAsia" w:ascii="宋体" w:hAnsi="宋体" w:eastAsia="宋体"/>
          <w:color w:val="000000" w:themeColor="text1"/>
          <w:kern w:val="0"/>
          <w:sz w:val="21"/>
          <w:szCs w:val="21"/>
          <w:highlight w:val="none"/>
          <w14:textFill>
            <w14:solidFill>
              <w14:schemeClr w14:val="tx1"/>
            </w14:solidFill>
          </w14:textFill>
        </w:rPr>
        <w:t>商务要求</w:t>
      </w:r>
      <w:bookmarkEnd w:id="22"/>
      <w:bookmarkEnd w:id="49"/>
      <w:bookmarkEnd w:id="50"/>
      <w:bookmarkEnd w:id="51"/>
      <w:bookmarkEnd w:id="52"/>
      <w:bookmarkEnd w:id="53"/>
      <w:bookmarkEnd w:id="54"/>
      <w:bookmarkEnd w:id="55"/>
      <w:bookmarkEnd w:id="56"/>
      <w:bookmarkEnd w:id="57"/>
      <w:bookmarkEnd w:id="58"/>
      <w:bookmarkEnd w:id="59"/>
      <w:bookmarkEnd w:id="60"/>
      <w:bookmarkEnd w:id="61"/>
    </w:p>
    <w:tbl>
      <w:tblPr>
        <w:tblStyle w:val="42"/>
        <w:tblW w:w="9493"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w:t>
            </w:r>
          </w:p>
        </w:tc>
        <w:tc>
          <w:tcPr>
            <w:tcW w:w="6266"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投标人投标资格要求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详见第一部份《竞争性谈判邀请书》。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eastAsia="zh-CN"/>
                <w14:textFill>
                  <w14:solidFill>
                    <w14:schemeClr w14:val="tx1"/>
                  </w14:solidFill>
                </w14:textFill>
              </w:rPr>
              <w:t>完工</w:t>
            </w:r>
            <w:r>
              <w:rPr>
                <w:rFonts w:hint="eastAsia"/>
                <w:b/>
                <w:color w:val="000000" w:themeColor="text1"/>
                <w:highlight w:val="none"/>
                <w14:textFill>
                  <w14:solidFill>
                    <w14:schemeClr w14:val="tx1"/>
                  </w14:solidFill>
                </w14:textFill>
              </w:rPr>
              <w:t>期</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详见第一部份《竞争性谈判邀请书》。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b/>
                <w:color w:val="000000" w:themeColor="text1"/>
                <w:kern w:val="2"/>
                <w:sz w:val="21"/>
                <w:szCs w:val="24"/>
                <w:highlight w:val="none"/>
                <w:lang w:val="en-US" w:eastAsia="zh-CN" w:bidi="ar-SA"/>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服务周期</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自合同签定生效之日起3年内。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b/>
                <w:color w:val="000000" w:themeColor="text1"/>
                <w:highlight w:val="none"/>
                <w:lang w:val="en-US" w:eastAsia="zh-CN"/>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货物要求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成交供应商</w:t>
            </w:r>
            <w:r>
              <w:rPr>
                <w:rFonts w:hint="eastAsia" w:ascii="宋体" w:hAnsi="宋体" w:eastAsia="宋体" w:cs="宋体"/>
                <w:color w:val="000000" w:themeColor="text1"/>
                <w:highlight w:val="none"/>
                <w:lang w:val="en-US" w:eastAsia="zh-CN"/>
                <w14:textFill>
                  <w14:solidFill>
                    <w14:schemeClr w14:val="tx1"/>
                  </w14:solidFill>
                </w14:textFill>
              </w:rPr>
              <w:t>必须提供符合国家质量检测标准的全新、未使用过的货物，负责设备的安装调试，并提供设备使用说明书等相关资料，提供设备的供货配置清单。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投标报价包括</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所有设备安排及调试，运至合同指定地点的设备费、运输费、卸装就位费、保险费、安装调试费和验收以及培训等一切费用，采购人不再支付任何费用。成交总价为完成本项目所需费用的总和，即含税全包价。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合同签订要求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采购合同由成交供应商与采购人双方签订，签订时间为《成交通知书》发出之日起30日内。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完工</w:t>
            </w:r>
            <w:r>
              <w:rPr>
                <w:rFonts w:hint="eastAsia"/>
                <w:b/>
                <w:color w:val="000000" w:themeColor="text1"/>
                <w:highlight w:val="none"/>
                <w14:textFill>
                  <w14:solidFill>
                    <w14:schemeClr w14:val="tx1"/>
                  </w14:solidFill>
                </w14:textFill>
              </w:rPr>
              <w:t>地点</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b/>
                <w:color w:val="000000" w:themeColor="text1"/>
                <w:highlight w:val="none"/>
                <w:lang w:val="en-US" w:eastAsia="zh-CN"/>
                <w14:textFill>
                  <w14:solidFill>
                    <w14:schemeClr w14:val="tx1"/>
                  </w14:solidFill>
                </w14:textFill>
              </w:rPr>
            </w:pPr>
            <w:r>
              <w:rPr>
                <w:rFonts w:hint="default"/>
                <w:b/>
                <w:color w:val="000000" w:themeColor="text1"/>
                <w:highlight w:val="none"/>
                <w:lang w:val="en-US" w:eastAsia="zh-CN"/>
                <w14:textFill>
                  <w14:solidFill>
                    <w14:schemeClr w14:val="tx1"/>
                  </w14:solidFill>
                </w14:textFill>
              </w:rPr>
              <w:t>项目人员安排要求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成交供应商必须具有良好信誉和相关实力的技术队伍，应指定项目负责人，人员不得随意更换，项目负责人的更换应征得建设方同意。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highlight w:val="none"/>
                <w:lang w:val="en-US" w:eastAsia="zh-CN"/>
                <w14:textFill>
                  <w14:solidFill>
                    <w14:schemeClr w14:val="tx1"/>
                  </w14:solidFill>
                </w14:textFill>
              </w:rPr>
              <w:t>项目验收要求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1.本项目验收应在采购人和成交供应商双方共同参与的情况下按照国家、地方以及有关规定、规范进行。</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 xml:space="preserve">2.验收时如发现所交付的服务不符合响应文件规定的情形者，采购人应作出详尽的现场记录，或由采购人和成交供应商双方签署备忘录，此现场记录或者备忘录可用作补充、缺失和更换损坏部件的有效证据，由此产生的有关费用由成交供应商承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lang w:val="en-US" w:eastAsia="zh-CN"/>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售后服务要求</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1.服务内容</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在项目验收后，提供为期三年的运维服务。系统在运行中出现任何问题，成交供应商需及时解决，并提供相关的操作辅导。</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（1）在项目运维阶段，成交供应商需提供不少于1名技术人员的保障运维。</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（2）提供7*24小时的系统故障响应，并在12小时内完成应急故障处理。</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（3）紧急故障备用应急服务。当业务系统出现整机崩溃、宕机等紧急故障时，且在短时间内无法修复，提供性能相当的备用系统顶替故障系统，保障业务的顺利流转。</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（4）数据库优化。根据数据库数据量增长情况，定期开展数据库性能优化。</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（5）备份数据恢复。在出现系统数据丢失、错误等原因导致系统无法使用的情况，提供备份数据恢复服务，并在1个小时内完成。</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2.服务形式</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在保修期内所有的检查、维护、故障排除等工作均免费，服务内容包括：</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（1）总部电话技术支持：无论何时，成交供应商工程师对建设单位提出的问题、疑难提供7*24小时的技术支持；</w:t>
            </w:r>
          </w:p>
          <w:p>
            <w:pPr>
              <w:spacing w:line="320" w:lineRule="exact"/>
              <w:rPr>
                <w:rFonts w:hint="eastAsia"/>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（2）系统故障解决：成交供应商工程师将尽快地解决故障，质保期内的故障，30分钟响应，在2小时内完成修复一般性故障，24小时内修复重大故障，保证系统尽快恢复正常运行。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付款方式</w:t>
            </w:r>
          </w:p>
        </w:tc>
        <w:tc>
          <w:tcPr>
            <w:tcW w:w="626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1.合同签订之日起10个工作日内，采购人向成交供应商支付合同总额的30%；</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2.完成软硬件建设内容后10个工作日内完成初验，初验通过后采购人向成交供应商支付合同总额的30%；</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3.初验通过后30个工作日内完成终验，终验通过后采购人向成交供应商支付合同总额的35%；</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4.剩下5%作为质保金，终验通过后一年内付清。</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支付款项时，成交供应商应提前向采购人提供相应金额的正式发票。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12</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（应当以支票、汇票、本票或者金融机构、担保机构出具的保函等非现金</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形式提交）。</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b/>
                <w:color w:val="000000" w:themeColor="text1"/>
                <w:highlight w:val="none"/>
                <w14:textFill>
                  <w14:solidFill>
                    <w14:schemeClr w14:val="tx1"/>
                  </w14:solidFill>
                </w14:textFill>
              </w:rPr>
              <w:t>提交主体：必须以投标人自身名义提交，</w:t>
            </w:r>
            <w:r>
              <w:rPr>
                <w:rFonts w:hint="eastAsia" w:ascii="宋体" w:hAnsi="宋体"/>
                <w:color w:val="000000" w:themeColor="text1"/>
                <w:szCs w:val="21"/>
                <w:highlight w:val="none"/>
                <w14:textFill>
                  <w14:solidFill>
                    <w14:schemeClr w14:val="tx1"/>
                  </w14:solidFill>
                </w14:textFill>
              </w:rPr>
              <w:t>应注明“</w:t>
            </w:r>
            <w:r>
              <w:rPr>
                <w:rFonts w:ascii="宋体" w:hAnsi="宋体"/>
                <w:b/>
                <w:color w:val="000000" w:themeColor="text1"/>
                <w:szCs w:val="21"/>
                <w:highlight w:val="none"/>
                <w14:textFill>
                  <w14:solidFill>
                    <w14:schemeClr w14:val="tx1"/>
                  </w14:solidFill>
                </w14:textFill>
              </w:rPr>
              <w:t>（</w:t>
            </w:r>
            <w:r>
              <w:rPr>
                <w:rFonts w:hint="eastAsia" w:ascii="宋体" w:hAnsi="宋体"/>
                <w:b/>
                <w:color w:val="000000" w:themeColor="text1"/>
                <w:szCs w:val="21"/>
                <w:highlight w:val="none"/>
                <w14:textFill>
                  <w14:solidFill>
                    <w14:schemeClr w14:val="tx1"/>
                  </w14:solidFill>
                </w14:textFill>
              </w:rPr>
              <w:t>项目编号）投标保证金</w:t>
            </w:r>
            <w:r>
              <w:rPr>
                <w:rFonts w:hint="eastAsia" w:ascii="宋体" w:hAnsi="宋体"/>
                <w:color w:val="000000" w:themeColor="text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保证金数额</w:t>
            </w:r>
          </w:p>
        </w:tc>
        <w:tc>
          <w:tcPr>
            <w:tcW w:w="439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人民币</w:t>
            </w:r>
            <w:r>
              <w:rPr>
                <w:rFonts w:hint="eastAsia" w:ascii="宋体" w:hAnsi="宋体"/>
                <w:b/>
                <w:color w:val="000000" w:themeColor="text1"/>
                <w:szCs w:val="21"/>
                <w:highlight w:val="none"/>
                <w:lang w:val="en-US" w:eastAsia="zh-CN"/>
                <w14:textFill>
                  <w14:solidFill>
                    <w14:schemeClr w14:val="tx1"/>
                  </w14:solidFill>
                </w14:textFill>
              </w:rPr>
              <w:t>叁万</w:t>
            </w:r>
            <w:r>
              <w:rPr>
                <w:rFonts w:hint="eastAsia" w:ascii="宋体" w:hAnsi="宋体"/>
                <w:b/>
                <w:color w:val="000000" w:themeColor="text1"/>
                <w:szCs w:val="21"/>
                <w:highlight w:val="none"/>
                <w14:textFill>
                  <w14:solidFill>
                    <w14:schemeClr w14:val="tx1"/>
                  </w14:solidFill>
                </w14:textFill>
              </w:rPr>
              <w:t>元整（￥</w:t>
            </w:r>
            <w:r>
              <w:rPr>
                <w:rFonts w:hint="eastAsia" w:ascii="宋体" w:hAnsi="宋体"/>
                <w:b/>
                <w:color w:val="000000" w:themeColor="text1"/>
                <w:szCs w:val="21"/>
                <w:highlight w:val="none"/>
                <w:lang w:val="en-US" w:eastAsia="zh-CN"/>
                <w14:textFill>
                  <w14:solidFill>
                    <w14:schemeClr w14:val="tx1"/>
                  </w14:solidFill>
                </w14:textFill>
              </w:rPr>
              <w:t>300</w:t>
            </w:r>
            <w:r>
              <w:rPr>
                <w:rFonts w:hint="eastAsia" w:ascii="宋体" w:hAnsi="宋体"/>
                <w:b/>
                <w:color w:val="000000" w:themeColor="text1"/>
                <w:szCs w:val="21"/>
                <w:highlight w:val="none"/>
                <w14:textFill>
                  <w14:solidFill>
                    <w14:schemeClr w14:val="tx1"/>
                  </w14:solidFill>
                </w14:textFill>
              </w:rPr>
              <w:t>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39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39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eastAsia="宋体"/>
                <w:b/>
                <w:bCs/>
                <w:color w:val="000000" w:themeColor="text1"/>
                <w:szCs w:val="21"/>
                <w:highlight w:val="none"/>
                <w:lang w:eastAsia="zh-CN"/>
                <w14:textFill>
                  <w14:solidFill>
                    <w14:schemeClr w14:val="tx1"/>
                  </w14:solidFill>
                </w14:textFill>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000000" w:themeColor="text1"/>
                <w:szCs w:val="21"/>
                <w:highlight w:val="none"/>
                <w14:textFill>
                  <w14:solidFill>
                    <w14:schemeClr w14:val="tx1"/>
                  </w14:solidFill>
                </w14:textFill>
              </w:rPr>
            </w:pPr>
            <w:r>
              <w:rPr>
                <w:rFonts w:hint="eastAsia" w:ascii="宋体" w:hAnsi="宋体" w:eastAsia="宋体"/>
                <w:b/>
                <w:bCs/>
                <w:color w:val="000000" w:themeColor="text1"/>
                <w:szCs w:val="21"/>
                <w:highlight w:val="none"/>
                <w:lang w:eastAsia="zh-CN"/>
                <w14:textFill>
                  <w14:solidFill>
                    <w14:schemeClr w14:val="tx1"/>
                  </w14:solidFill>
                </w14:textFill>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交纳时间</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13</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成交服务费</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参考</w:t>
            </w:r>
            <w:r>
              <w:rPr>
                <w:rFonts w:hint="eastAsia" w:ascii="宋体" w:hAnsi="宋体"/>
                <w:bCs/>
                <w:color w:val="000000" w:themeColor="text1"/>
                <w:szCs w:val="21"/>
                <w:highlight w:val="none"/>
                <w14:textFill>
                  <w14:solidFill>
                    <w14:schemeClr w14:val="tx1"/>
                  </w14:solidFill>
                </w14:textFill>
              </w:rPr>
              <w:t>发改价格[2011]534号文的规定</w:t>
            </w:r>
            <w:r>
              <w:rPr>
                <w:rFonts w:hint="eastAsia" w:ascii="宋体" w:hAnsi="宋体"/>
                <w:color w:val="000000" w:themeColor="text1"/>
                <w:szCs w:val="21"/>
                <w:highlight w:val="none"/>
                <w14:textFill>
                  <w14:solidFill>
                    <w14:schemeClr w14:val="tx1"/>
                  </w14:solidFill>
                </w14:textFill>
              </w:rPr>
              <w:t>，招标代理服务费按差额定率累进法计算。</w:t>
            </w:r>
            <w:r>
              <w:rPr>
                <w:rFonts w:hint="eastAsia" w:ascii="宋体" w:hAnsi="宋体"/>
                <w:color w:val="000000" w:themeColor="text1"/>
                <w:szCs w:val="21"/>
                <w:highlight w:val="none"/>
                <w:lang w:val="en-US" w:eastAsia="zh-CN"/>
                <w14:textFill>
                  <w14:solidFill>
                    <w14:schemeClr w14:val="tx1"/>
                  </w14:solidFill>
                </w14:textFill>
              </w:rPr>
              <w:t>成交</w:t>
            </w:r>
            <w:r>
              <w:rPr>
                <w:rFonts w:hint="eastAsia" w:ascii="宋体" w:hAnsi="宋体"/>
                <w:color w:val="000000" w:themeColor="text1"/>
                <w:szCs w:val="21"/>
                <w:highlight w:val="none"/>
                <w14:textFill>
                  <w14:solidFill>
                    <w14:schemeClr w14:val="tx1"/>
                  </w14:solidFill>
                </w14:textFill>
              </w:rPr>
              <w:t>服务费由</w:t>
            </w:r>
            <w:r>
              <w:rPr>
                <w:rFonts w:hint="eastAsia" w:ascii="宋体" w:hAnsi="宋体"/>
                <w:color w:val="000000" w:themeColor="text1"/>
                <w:szCs w:val="21"/>
                <w:highlight w:val="none"/>
                <w:lang w:val="en-US" w:eastAsia="zh-CN"/>
                <w14:textFill>
                  <w14:solidFill>
                    <w14:schemeClr w14:val="tx1"/>
                  </w14:solidFill>
                </w14:textFill>
              </w:rPr>
              <w:t>成交供应商</w:t>
            </w:r>
            <w:r>
              <w:rPr>
                <w:rFonts w:hint="eastAsia" w:ascii="宋体" w:hAnsi="宋体"/>
                <w:color w:val="000000" w:themeColor="text1"/>
                <w:szCs w:val="21"/>
                <w:highlight w:val="none"/>
                <w14:textFill>
                  <w14:solidFill>
                    <w14:schemeClr w14:val="tx1"/>
                  </w14:solidFill>
                </w14:textFill>
              </w:rPr>
              <w:t>在领取</w:t>
            </w:r>
            <w:r>
              <w:rPr>
                <w:rFonts w:hint="eastAsia" w:ascii="宋体" w:hAnsi="宋体"/>
                <w:color w:val="000000" w:themeColor="text1"/>
                <w:szCs w:val="21"/>
                <w:highlight w:val="none"/>
                <w:lang w:val="en-US" w:eastAsia="zh-CN"/>
                <w14:textFill>
                  <w14:solidFill>
                    <w14:schemeClr w14:val="tx1"/>
                  </w14:solidFill>
                </w14:textFill>
              </w:rPr>
              <w:t>成交</w:t>
            </w:r>
            <w:r>
              <w:rPr>
                <w:rFonts w:hint="eastAsia" w:ascii="宋体" w:hAnsi="宋体"/>
                <w:color w:val="000000" w:themeColor="text1"/>
                <w:szCs w:val="21"/>
                <w:highlight w:val="none"/>
                <w14:textFill>
                  <w14:solidFill>
                    <w14:schemeClr w14:val="tx1"/>
                  </w14:solidFill>
                </w14:textFill>
              </w:rPr>
              <w:t>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39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中国农业银行股份有限公司阳江</w:t>
            </w:r>
            <w:r>
              <w:rPr>
                <w:rFonts w:hint="eastAsia" w:ascii="宋体" w:hAnsi="宋体"/>
                <w:b/>
                <w:bCs/>
                <w:color w:val="000000" w:themeColor="text1"/>
                <w:szCs w:val="21"/>
                <w:highlight w:val="none"/>
                <w:lang w:val="en-US" w:eastAsia="zh-CN"/>
                <w14:textFill>
                  <w14:solidFill>
                    <w14:schemeClr w14:val="tx1"/>
                  </w14:solidFill>
                </w14:textFill>
              </w:rPr>
              <w:t>江城</w:t>
            </w:r>
            <w:r>
              <w:rPr>
                <w:rFonts w:hint="eastAsia" w:ascii="宋体" w:hAnsi="宋体"/>
                <w:b/>
                <w:bCs/>
                <w:color w:val="000000" w:themeColor="text1"/>
                <w:szCs w:val="21"/>
                <w:highlight w:val="none"/>
                <w14:textFill>
                  <w14:solidFill>
                    <w14:schemeClr w14:val="tx1"/>
                  </w14:solidFill>
                </w14:textFill>
              </w:rPr>
              <w:t>支行</w:t>
            </w:r>
          </w:p>
        </w:tc>
      </w:tr>
    </w:tbl>
    <w:p>
      <w:pPr>
        <w:adjustRightInd w:val="0"/>
        <w:snapToGrid w:val="0"/>
        <w:spacing w:line="360" w:lineRule="auto"/>
        <w:rPr>
          <w:b/>
          <w:color w:val="000000" w:themeColor="text1"/>
          <w:szCs w:val="21"/>
          <w:highlight w:val="none"/>
          <w14:textFill>
            <w14:solidFill>
              <w14:schemeClr w14:val="tx1"/>
            </w14:solidFill>
          </w14:textFill>
        </w:rPr>
      </w:pPr>
    </w:p>
    <w:p>
      <w:pPr>
        <w:rPr>
          <w:rFonts w:hint="eastAsia" w:ascii="宋体" w:hAnsi="宋体" w:eastAsia="宋体"/>
          <w:color w:val="000000" w:themeColor="text1"/>
          <w:kern w:val="0"/>
          <w:sz w:val="21"/>
          <w:szCs w:val="21"/>
          <w:highlight w:val="none"/>
          <w14:textFill>
            <w14:solidFill>
              <w14:schemeClr w14:val="tx1"/>
            </w14:solidFill>
          </w14:textFill>
        </w:rPr>
      </w:pPr>
      <w:bookmarkStart w:id="62" w:name="_Toc351988708"/>
      <w:bookmarkStart w:id="63" w:name="_Toc351987963"/>
      <w:bookmarkStart w:id="64" w:name="_Toc329242671"/>
      <w:bookmarkStart w:id="65" w:name="_Toc369180021"/>
      <w:bookmarkStart w:id="66" w:name="_Toc357151167"/>
      <w:bookmarkStart w:id="67" w:name="_Toc351987767"/>
      <w:bookmarkStart w:id="68" w:name="_Toc351986017"/>
      <w:bookmarkStart w:id="69" w:name="_Toc353522391"/>
      <w:bookmarkStart w:id="70" w:name="_Toc351986197"/>
      <w:bookmarkStart w:id="71" w:name="_Toc351985912"/>
      <w:bookmarkStart w:id="72" w:name="_Toc452826430"/>
      <w:bookmarkStart w:id="73" w:name="_Toc351990144"/>
      <w:r>
        <w:rPr>
          <w:rFonts w:hint="eastAsia" w:ascii="宋体" w:hAnsi="宋体" w:eastAsia="宋体"/>
          <w:color w:val="000000" w:themeColor="text1"/>
          <w:kern w:val="0"/>
          <w:sz w:val="21"/>
          <w:szCs w:val="21"/>
          <w:highlight w:val="none"/>
          <w14:textFill>
            <w14:solidFill>
              <w14:schemeClr w14:val="tx1"/>
            </w14:solidFill>
          </w14:textFill>
        </w:rPr>
        <w:br w:type="page"/>
      </w:r>
    </w:p>
    <w:p>
      <w:pPr>
        <w:pStyle w:val="3"/>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14:textFill>
            <w14:solidFill>
              <w14:schemeClr w14:val="tx1"/>
            </w14:solidFill>
          </w14:textFill>
        </w:rPr>
      </w:pPr>
      <w:bookmarkStart w:id="74" w:name="_Toc5922"/>
      <w:r>
        <w:rPr>
          <w:rFonts w:hint="eastAsia" w:ascii="宋体" w:hAnsi="宋体" w:eastAsia="宋体"/>
          <w:color w:val="000000" w:themeColor="text1"/>
          <w:kern w:val="0"/>
          <w:sz w:val="21"/>
          <w:szCs w:val="21"/>
          <w:highlight w:val="none"/>
          <w14:textFill>
            <w14:solidFill>
              <w14:schemeClr w14:val="tx1"/>
            </w14:solidFill>
          </w14:textFill>
        </w:rPr>
        <w:t>B  技术要求</w:t>
      </w:r>
      <w:bookmarkEnd w:id="62"/>
      <w:bookmarkEnd w:id="63"/>
      <w:bookmarkEnd w:id="64"/>
      <w:bookmarkEnd w:id="65"/>
      <w:bookmarkEnd w:id="66"/>
      <w:bookmarkEnd w:id="67"/>
      <w:bookmarkEnd w:id="68"/>
      <w:bookmarkEnd w:id="69"/>
      <w:bookmarkEnd w:id="70"/>
      <w:bookmarkEnd w:id="71"/>
      <w:bookmarkEnd w:id="72"/>
      <w:bookmarkEnd w:id="73"/>
      <w:bookmarkEnd w:id="74"/>
    </w:p>
    <w:p>
      <w:pPr>
        <w:rPr>
          <w:color w:val="000000" w:themeColor="text1"/>
          <w:highlight w:val="none"/>
          <w14:textFill>
            <w14:solidFill>
              <w14:schemeClr w14:val="tx1"/>
            </w14:solidFill>
          </w14:textFill>
        </w:rPr>
      </w:pPr>
    </w:p>
    <w:p>
      <w:pPr>
        <w:pStyle w:val="3"/>
        <w:numPr>
          <w:ilvl w:val="1"/>
          <w:numId w:val="0"/>
        </w:numPr>
        <w:spacing w:line="360" w:lineRule="auto"/>
        <w:ind w:leftChars="0"/>
        <w:rPr>
          <w:rFonts w:hint="eastAsia" w:ascii="宋体" w:hAnsi="宋体" w:eastAsia="宋体" w:cs="宋体"/>
          <w:color w:val="000000" w:themeColor="text1"/>
          <w:sz w:val="21"/>
          <w:szCs w:val="21"/>
          <w14:textFill>
            <w14:solidFill>
              <w14:schemeClr w14:val="tx1"/>
            </w14:solidFill>
          </w14:textFill>
        </w:rPr>
      </w:pPr>
      <w:bookmarkStart w:id="75" w:name="_Toc21463"/>
      <w:bookmarkStart w:id="76" w:name="_Toc18722"/>
      <w:bookmarkStart w:id="77" w:name="_Toc41495578"/>
      <w:bookmarkStart w:id="78" w:name="_Toc26866265"/>
      <w:r>
        <w:rPr>
          <w:rFonts w:hint="eastAsia" w:ascii="宋体" w:hAnsi="宋体" w:eastAsia="宋体" w:cs="宋体"/>
          <w:color w:val="000000" w:themeColor="text1"/>
          <w:sz w:val="21"/>
          <w:szCs w:val="21"/>
          <w:lang w:val="en-US" w:eastAsia="zh-CN"/>
          <w14:textFill>
            <w14:solidFill>
              <w14:schemeClr w14:val="tx1"/>
            </w14:solidFill>
          </w14:textFill>
        </w:rPr>
        <w:t>一、</w:t>
      </w:r>
      <w:r>
        <w:rPr>
          <w:rFonts w:hint="eastAsia" w:ascii="宋体" w:hAnsi="宋体" w:eastAsia="宋体" w:cs="宋体"/>
          <w:color w:val="000000" w:themeColor="text1"/>
          <w:sz w:val="21"/>
          <w:szCs w:val="21"/>
          <w14:textFill>
            <w14:solidFill>
              <w14:schemeClr w14:val="tx1"/>
            </w14:solidFill>
          </w14:textFill>
        </w:rPr>
        <w:t>项目背景</w:t>
      </w:r>
      <w:bookmarkEnd w:id="75"/>
      <w:bookmarkEnd w:id="76"/>
      <w:bookmarkEnd w:id="77"/>
    </w:p>
    <w:p>
      <w:pPr>
        <w:spacing w:line="360" w:lineRule="auto"/>
        <w:ind w:firstLine="4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 xml:space="preserve">十二五”期间农业部出台《关于加快推进农业信息化的意见》，加快推进农业信息化建设；进入“十三五”之后，在“互联网+”快速发展的新形势下，农业部等八部委联合发文《“互联网+”现代农业三年行动实施方案》，积极推进“互联网+”在农业领域的落地；2016年8月农业部印发《“十三五”全国农业农村信息化发展规划》，并将“信息化是农业现代化的制高点”写入十三五规划。 </w:t>
      </w:r>
    </w:p>
    <w:p>
      <w:pPr>
        <w:spacing w:line="360" w:lineRule="auto"/>
        <w:ind w:firstLine="4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为贯彻落实国务院“互联网＋”行动计划要求，以实现农业生产智能化、经营电商化、管理高效化、服务便捷化等“四化”为目标，以提升种得好、管的好、卖得好、服务好“四好”为功能定位，促进云计算、大数据、物联网、移动互联网等新一代信息技术与农业生产、经营、管理、服务全面融合发展，加快农业生产方式转变，创新农产品流通渠道，实现农业管理的高效透明，推进农业信息服务进村入户，建立起全面支撑现代农业和城乡一体化发展的信息化新格局。</w:t>
      </w:r>
    </w:p>
    <w:p>
      <w:pPr>
        <w:spacing w:line="360" w:lineRule="auto"/>
        <w:ind w:firstLine="4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农业信息化（智慧农业）是实现农业现代化、加速农业大国向农业强国转变的必然选择，信息技术作为一种新型的生产力，是农业现代化的核心要素，是现代农业的制高点，支撑和引领着农业现代化的发展、转型和升级的方向，以农业信息化促进乃至带动农业现代化，对于促进我国经济和社会持续协调发展具有重大意义。</w:t>
      </w:r>
    </w:p>
    <w:p>
      <w:pPr>
        <w:spacing w:line="360" w:lineRule="auto"/>
        <w:ind w:firstLine="4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广东产业园建设开局基础牢固。广东省深入贯彻落实党中央、国务院的部署，自2018年我省启动省级现代农业产业园建设以来,始终将建设现代农业产业园作为实施乡村振兴战略的“牛鼻子”和推动城乡融合发展的重要平台。全省已创建23个国家级、235个省级现代农业产业园，主要农业县实现省级现代农业产业园全覆盖，形成国家-省-市三级现代农业产业园梯次发 展格局。创品牌、全链条、增效益为我省现代农业产业园建设重点方向。产业园建设以调结构、扩规模、抓龙头、创品牌、全链条、增效益为主攻方向。继续围绕大产区、大品牌，建设一批优势农业产业园，扩大产业园覆盖范围，打造一批全产业链、在国内外有竞争力的优势产业区(带)，同时发展建设一批功能性产业园。</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广东省委、省政府高度重视各类现代农业园区创建工作，着重推进以现代农业产业园、农业产业强镇、优势特色产业集群等为代表的产业融合发展载体建设，特别是把推进省级现代农业产业园建设作为实施乡村振兴战略、推动产业兴旺的重要抓手。</w:t>
      </w:r>
    </w:p>
    <w:p>
      <w:pPr>
        <w:pStyle w:val="117"/>
        <w:spacing w:line="360" w:lineRule="auto"/>
        <w:ind w:firstLine="460" w:firstLineChars="20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2021年5月发布的《广东省人民政府关于加快数字化发展的意见》明确指出，要“建设数字农业产业园区，推动‘一村一品、一镇一业’建云上云”。2021年6月印发的《农业农村部广东省人民政府共同推进广东乡村振兴战略实施2021年度工作要点》强调，要“加快发展数字农业”，“推动农业区块链、大数据、物联网、遥感、人工智能等在农业生产加工储运销售消费等领域中的应用与创新”。为深入实施乡村振兴战略和数字乡村发展战略，顺应时代趋势、把握发展机遇，加快数字技术推广应用，大力提升数字化生产力，着力发挥信息化在推进乡村治理体系和治理能力现代化中新型基础设施建设的支撑作用，推动农业高质量发展和乡村全面振兴，广东省农业农村厅制定了《广东数字农业农村发展行动计划（2020—2025年）》。该《计划》提出，要“以国家级和省级现代农业产业园为重点，推进数字农业产业聚集”，“以园区带动、科技支撑、质量优先、培育主体、打造品牌为思路，建成主导产业突出、现代要素集聚、设施装备先进、生产方式绿色、辐射带动有力的数字农业产业园区”。</w:t>
      </w:r>
    </w:p>
    <w:p>
      <w:pPr>
        <w:pStyle w:val="3"/>
        <w:numPr>
          <w:ilvl w:val="1"/>
          <w:numId w:val="0"/>
        </w:numPr>
        <w:spacing w:line="360" w:lineRule="auto"/>
        <w:ind w:leftChars="0"/>
        <w:rPr>
          <w:rFonts w:hint="eastAsia" w:ascii="宋体" w:hAnsi="宋体" w:eastAsia="宋体" w:cs="宋体"/>
          <w:color w:val="000000" w:themeColor="text1"/>
          <w:sz w:val="21"/>
          <w:szCs w:val="21"/>
          <w14:textFill>
            <w14:solidFill>
              <w14:schemeClr w14:val="tx1"/>
            </w14:solidFill>
          </w14:textFill>
        </w:rPr>
      </w:pPr>
      <w:bookmarkStart w:id="79" w:name="_Toc41495581"/>
      <w:bookmarkStart w:id="80" w:name="_Toc9115"/>
      <w:bookmarkStart w:id="81" w:name="_Toc10927"/>
      <w:r>
        <w:rPr>
          <w:rFonts w:hint="eastAsia" w:ascii="宋体" w:hAnsi="宋体" w:eastAsia="宋体" w:cs="宋体"/>
          <w:color w:val="000000" w:themeColor="text1"/>
          <w:sz w:val="21"/>
          <w:szCs w:val="21"/>
          <w:lang w:val="en-US" w:eastAsia="zh-CN"/>
          <w14:textFill>
            <w14:solidFill>
              <w14:schemeClr w14:val="tx1"/>
            </w14:solidFill>
          </w14:textFill>
        </w:rPr>
        <w:t>二、</w:t>
      </w:r>
      <w:r>
        <w:rPr>
          <w:rFonts w:hint="eastAsia" w:ascii="宋体" w:hAnsi="宋体" w:eastAsia="宋体" w:cs="宋体"/>
          <w:color w:val="000000" w:themeColor="text1"/>
          <w:sz w:val="21"/>
          <w:szCs w:val="21"/>
          <w14:textFill>
            <w14:solidFill>
              <w14:schemeClr w14:val="tx1"/>
            </w14:solidFill>
          </w14:textFill>
        </w:rPr>
        <w:t>政策依据</w:t>
      </w:r>
      <w:bookmarkEnd w:id="79"/>
      <w:bookmarkEnd w:id="80"/>
      <w:bookmarkEnd w:id="81"/>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bookmarkStart w:id="82" w:name="_Toc9664"/>
      <w:r>
        <w:rPr>
          <w:rFonts w:hint="eastAsia" w:ascii="宋体" w:hAnsi="宋体" w:eastAsia="宋体" w:cs="宋体"/>
          <w:color w:val="000000" w:themeColor="text1"/>
          <w:sz w:val="21"/>
          <w:szCs w:val="21"/>
          <w14:textFill>
            <w14:solidFill>
              <w14:schemeClr w14:val="tx1"/>
            </w14:solidFill>
          </w14:textFill>
        </w:rPr>
        <w:t>1、《2006-2020年国家信息化发展战略纲要》；</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2、《“十三五”国家信息化规划》；</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3、《“十三五”全国农业农村信息化发展规划》；</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4、《数字农业建设试点总体方案（2017-2020年）》；</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5、《促进大数据发展行动纲要》；</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6、《关于推进公共信息资源开放的若干意见》；</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7、《大数据产业发展规划（2016-2020年）》；</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8、《乡村振兴战略规划（2018-2022年）》；</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9、农业农村部《农业基本建设项目管理办法》；</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10、农业农村部《农业基本建设项目招投标管理规定》；</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11、农业农村部《农业建设项目初步设计文件编制规范》；</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12、《工程建设强制性条文》；</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13、《信息技术设备安全第1部分：通用要求》GB4943.1-2011；</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14、《信息技术设备安全第23部分：大型数据存储设备》GB4943.23-2012；</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15、《计算机信息系统安全保护等级划分准则》GB17859-1999；</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16、《系统接地的型式及安全技术要求》GB14050-2008；</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17、《面向智慧城市的物联网技术应用指南》GB/T36620-2018；</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18、《智慧城市公共信息与服务支撑平台第1部分：总体要求》GB/T36622.1-2018；</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19、《信息技术面向设施农业应用的传感器网络技术要求》GB/T36346-2018；</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20、《条码技术在农产品冷链物流过程中的应用规范》GB/T36080-2018；</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21、《农业社会化服务分类》GB/T34803-2017；</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22、《信息技术SOA技术实现规范第5部分：服务集成开发》GB/T32419.5-2017；</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23、《云计算数据中心基本要求》GB/T34982-2017；</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24、《信息安全技术信息系统安全等级保护测评要求》GB/T28448-2012。</w:t>
      </w:r>
    </w:p>
    <w:p>
      <w:pPr>
        <w:pStyle w:val="3"/>
        <w:numPr>
          <w:ilvl w:val="1"/>
          <w:numId w:val="0"/>
        </w:numPr>
        <w:spacing w:line="360" w:lineRule="auto"/>
        <w:ind w:leftChars="0"/>
        <w:rPr>
          <w:rFonts w:hint="eastAsia" w:ascii="宋体" w:hAnsi="宋体" w:eastAsia="宋体" w:cs="宋体"/>
          <w:color w:val="000000" w:themeColor="text1"/>
          <w:sz w:val="21"/>
          <w:szCs w:val="21"/>
          <w14:textFill>
            <w14:solidFill>
              <w14:schemeClr w14:val="tx1"/>
            </w14:solidFill>
          </w14:textFill>
        </w:rPr>
      </w:pPr>
      <w:bookmarkStart w:id="83" w:name="_Toc7662"/>
      <w:r>
        <w:rPr>
          <w:rFonts w:hint="eastAsia" w:ascii="宋体" w:hAnsi="宋体" w:eastAsia="宋体" w:cs="宋体"/>
          <w:color w:val="000000" w:themeColor="text1"/>
          <w:sz w:val="21"/>
          <w:szCs w:val="21"/>
          <w:lang w:val="en-US" w:eastAsia="zh-CN"/>
          <w14:textFill>
            <w14:solidFill>
              <w14:schemeClr w14:val="tx1"/>
            </w14:solidFill>
          </w14:textFill>
        </w:rPr>
        <w:t>三、</w:t>
      </w:r>
      <w:r>
        <w:rPr>
          <w:rFonts w:hint="eastAsia" w:ascii="宋体" w:hAnsi="宋体" w:eastAsia="宋体" w:cs="宋体"/>
          <w:color w:val="000000" w:themeColor="text1"/>
          <w:sz w:val="21"/>
          <w:szCs w:val="21"/>
          <w14:textFill>
            <w14:solidFill>
              <w14:schemeClr w14:val="tx1"/>
            </w14:solidFill>
          </w14:textFill>
        </w:rPr>
        <w:t>建设目标</w:t>
      </w:r>
      <w:bookmarkEnd w:id="82"/>
      <w:bookmarkEnd w:id="83"/>
    </w:p>
    <w:p>
      <w:pPr>
        <w:spacing w:line="360" w:lineRule="auto"/>
        <w:ind w:firstLine="4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为进一步响应国家战略发展要求，加快产业园园区建设，抓关键、促能效、推成果，特别开展智慧园区信息管理平台项目建设，积极利用一系列信息化技术实现坚果‘生产+加工+营销+科技+品牌’全产业链要素高效汇聚、整合共享和有序开放，强化园区智慧生产、智慧监管、智慧决策，为产业园企业主体生产经营提供完善的大数据分析及展示服务，做到优势特色坚果农产品生产、加工全程可视，为产业园在规模发展、特色加工、品牌培育、市场开发等方面实现产业化、现代化、品牌化、特色化发展提供重要支撑。</w:t>
      </w:r>
    </w:p>
    <w:p>
      <w:pPr>
        <w:spacing w:line="360" w:lineRule="auto"/>
        <w:ind w:firstLine="4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产业园大数据管理平台建设项目开展的目的是为农业生产的产前－产中－产后的各个环节提供一条龙的综合信息服务，推进物联网等现代信息技术和智能装备的加速应用，提高产业化智能化、信息化水平，打造智慧园区。</w:t>
      </w:r>
    </w:p>
    <w:p>
      <w:pPr>
        <w:spacing w:line="360" w:lineRule="auto"/>
        <w:ind w:firstLine="4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针对阳江市农业的现状和实际需求，深入贯彻乡村振兴战略和数字中国战略总体要求，建设具有示范带动农业农村数字化转型，促进提升农业生产经营和管理服务数字化水平，推动重要领域和关键环节数据资源建设，增强数字技术研发推广应用能力，引领农业产业数字化。具体目标如下：建设重要领域数据资源；推进农业生产数字化；推进农产品标准化、标识化、身份化。</w:t>
      </w:r>
    </w:p>
    <w:p>
      <w:pPr>
        <w:pStyle w:val="3"/>
        <w:numPr>
          <w:ilvl w:val="1"/>
          <w:numId w:val="0"/>
        </w:numPr>
        <w:spacing w:line="360" w:lineRule="auto"/>
        <w:ind w:leftChars="0"/>
        <w:rPr>
          <w:rFonts w:hint="eastAsia" w:ascii="宋体" w:hAnsi="宋体" w:eastAsia="宋体" w:cs="宋体"/>
          <w:color w:val="000000" w:themeColor="text1"/>
          <w:sz w:val="21"/>
          <w:szCs w:val="21"/>
          <w14:textFill>
            <w14:solidFill>
              <w14:schemeClr w14:val="tx1"/>
            </w14:solidFill>
          </w14:textFill>
        </w:rPr>
      </w:pPr>
      <w:bookmarkStart w:id="84" w:name="_Toc31799"/>
      <w:bookmarkStart w:id="85" w:name="_Toc26259"/>
      <w:bookmarkStart w:id="86" w:name="_Toc16585"/>
      <w:bookmarkStart w:id="87" w:name="_Toc24496"/>
      <w:bookmarkStart w:id="88" w:name="_Toc12783"/>
      <w:bookmarkStart w:id="89" w:name="_Toc30091"/>
      <w:bookmarkStart w:id="90" w:name="_Toc22095"/>
      <w:bookmarkStart w:id="91" w:name="_Toc18096"/>
      <w:r>
        <w:rPr>
          <w:rFonts w:hint="eastAsia" w:ascii="宋体" w:hAnsi="宋体" w:eastAsia="宋体" w:cs="宋体"/>
          <w:color w:val="000000" w:themeColor="text1"/>
          <w:sz w:val="21"/>
          <w:szCs w:val="21"/>
          <w:lang w:val="en-US" w:eastAsia="zh-CN"/>
          <w14:textFill>
            <w14:solidFill>
              <w14:schemeClr w14:val="tx1"/>
            </w14:solidFill>
          </w14:textFill>
        </w:rPr>
        <w:t>四、</w:t>
      </w:r>
      <w:r>
        <w:rPr>
          <w:rFonts w:hint="eastAsia" w:ascii="宋体" w:hAnsi="宋体" w:eastAsia="宋体" w:cs="宋体"/>
          <w:color w:val="000000" w:themeColor="text1"/>
          <w:sz w:val="21"/>
          <w:szCs w:val="21"/>
          <w14:textFill>
            <w14:solidFill>
              <w14:schemeClr w14:val="tx1"/>
            </w14:solidFill>
          </w14:textFill>
        </w:rPr>
        <w:t>设计原则</w:t>
      </w:r>
      <w:bookmarkEnd w:id="84"/>
      <w:bookmarkEnd w:id="85"/>
      <w:bookmarkEnd w:id="86"/>
      <w:bookmarkEnd w:id="87"/>
      <w:bookmarkEnd w:id="88"/>
      <w:bookmarkEnd w:id="89"/>
      <w:bookmarkEnd w:id="90"/>
      <w:bookmarkEnd w:id="91"/>
    </w:p>
    <w:p>
      <w:pPr>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为了保证系统的成功实施，系统设计需要遵循以下原则：</w:t>
      </w:r>
    </w:p>
    <w:p>
      <w:pPr>
        <w:numPr>
          <w:ilvl w:val="0"/>
          <w:numId w:val="7"/>
        </w:numPr>
        <w:spacing w:line="360" w:lineRule="auto"/>
        <w:ind w:firstLine="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先进性、开放性原则</w:t>
      </w:r>
    </w:p>
    <w:p>
      <w:pPr>
        <w:pStyle w:val="36"/>
        <w:spacing w:line="360" w:lineRule="auto"/>
        <w:ind w:left="0" w:leftChars="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该系统采用的是目前主流的框架系统和服务架构， 能够与市面上应用服务框架快速的建立对接， 以及微服务架构的结合都需要采用先进的框架技术， 因此本系统在使用目前的主流技术是需要考虑系统的先进性。</w:t>
      </w:r>
    </w:p>
    <w:p>
      <w:pPr>
        <w:numPr>
          <w:ilvl w:val="0"/>
          <w:numId w:val="7"/>
        </w:numPr>
        <w:spacing w:line="360" w:lineRule="auto"/>
        <w:ind w:firstLine="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可扩展性原则</w:t>
      </w:r>
    </w:p>
    <w:p>
      <w:pPr>
        <w:pStyle w:val="36"/>
        <w:spacing w:line="360" w:lineRule="auto"/>
        <w:ind w:left="0" w:leftChars="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系统应具有良好的可扩展性，未来新业务的拓展和应用可以快速、低成本或无成本、在系统上实现无缝扩充或者对接，满足不同合作伙伴不同层次的需求。</w:t>
      </w:r>
    </w:p>
    <w:p>
      <w:pPr>
        <w:numPr>
          <w:ilvl w:val="0"/>
          <w:numId w:val="7"/>
        </w:numPr>
        <w:spacing w:line="360" w:lineRule="auto"/>
        <w:ind w:firstLine="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稳定性、可靠性。</w:t>
      </w:r>
    </w:p>
    <w:p>
      <w:pPr>
        <w:pStyle w:val="36"/>
        <w:spacing w:line="360" w:lineRule="auto"/>
        <w:ind w:left="0" w:leftChars="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该系统需要足够的稳定性，主要体现在程序稳定性和服务器稳定性，程序的稳定性主要体现在系统的架构选择， 技术类型的选用； 而服务器的稳定性一般采用云服务器，如果配置自己的服务器对于硬件条件和物理环境都有很高的要求，物理服务器很容易宕机，本系统采用的就是云服务器来提高系统的稳定性。应充分注意系统的安全性和可靠性， 合理设计系统架构， 制订可靠的系统备份策略，提供系统安全防范措施， 保障系统的信息安全， 保证系统平台具有可靠的冗余性，保障系统长期稳定可靠运行，同时在系统设计要充分考虑系统运行性能， 达到“简便、 实用、 快捷、 安全、 准确” 的目的。</w:t>
      </w:r>
    </w:p>
    <w:p>
      <w:pPr>
        <w:numPr>
          <w:ilvl w:val="0"/>
          <w:numId w:val="7"/>
        </w:numPr>
        <w:spacing w:line="360" w:lineRule="auto"/>
        <w:ind w:firstLine="0"/>
        <w:rPr>
          <w:rFonts w:hint="eastAsia" w:ascii="宋体" w:hAnsi="宋体" w:eastAsia="宋体" w:cs="宋体"/>
          <w:b/>
          <w:bCs/>
          <w:color w:val="000000" w:themeColor="text1"/>
          <w:sz w:val="21"/>
          <w:szCs w:val="21"/>
          <w14:textFill>
            <w14:solidFill>
              <w14:schemeClr w14:val="tx1"/>
            </w14:solidFill>
          </w14:textFill>
        </w:rPr>
      </w:pPr>
      <w:bookmarkStart w:id="92" w:name="_Toc26990"/>
      <w:bookmarkStart w:id="93" w:name="_Toc59524078"/>
      <w:bookmarkStart w:id="94" w:name="_Toc13773"/>
      <w:bookmarkStart w:id="95" w:name="_Toc26426"/>
      <w:bookmarkStart w:id="96" w:name="_Toc11493"/>
      <w:bookmarkStart w:id="97" w:name="_Toc11916"/>
      <w:r>
        <w:rPr>
          <w:rFonts w:hint="eastAsia" w:ascii="宋体" w:hAnsi="宋体" w:eastAsia="宋体" w:cs="宋体"/>
          <w:b/>
          <w:bCs/>
          <w:color w:val="000000" w:themeColor="text1"/>
          <w:sz w:val="21"/>
          <w:szCs w:val="21"/>
          <w14:textFill>
            <w14:solidFill>
              <w14:schemeClr w14:val="tx1"/>
            </w14:solidFill>
          </w14:textFill>
        </w:rPr>
        <w:t>易操作性原则</w:t>
      </w:r>
      <w:bookmarkEnd w:id="92"/>
      <w:bookmarkEnd w:id="93"/>
      <w:bookmarkEnd w:id="94"/>
      <w:bookmarkEnd w:id="95"/>
      <w:bookmarkEnd w:id="96"/>
      <w:bookmarkEnd w:id="97"/>
    </w:p>
    <w:p>
      <w:pPr>
        <w:pStyle w:val="36"/>
        <w:spacing w:line="360" w:lineRule="auto"/>
        <w:ind w:left="0" w:leftChars="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易操作性主要针对系统的使用者即用户和管理员，本系统前端系统提供移动端和 pc 端提供给用户进行操作，用户根据自己的喜好选择自己的操作方式， 后台管理系统采用图形化的界面， 管理者非常容易进行管理操作。</w:t>
      </w:r>
    </w:p>
    <w:p>
      <w:pPr>
        <w:numPr>
          <w:ilvl w:val="0"/>
          <w:numId w:val="7"/>
        </w:numPr>
        <w:spacing w:line="360" w:lineRule="auto"/>
        <w:ind w:firstLine="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接口良好性原则</w:t>
      </w:r>
    </w:p>
    <w:p>
      <w:pPr>
        <w:spacing w:line="360" w:lineRule="auto"/>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系统应具有良好的通用性。 采用模块化技术， 实现“高内聚， 松耦合” 的建设理念， 采用成熟、 标准的技术以便于将来与其它业务的连接和数据共享。</w:t>
      </w:r>
    </w:p>
    <w:p>
      <w:pPr>
        <w:pStyle w:val="3"/>
        <w:numPr>
          <w:ilvl w:val="1"/>
          <w:numId w:val="0"/>
        </w:numPr>
        <w:spacing w:line="360" w:lineRule="auto"/>
        <w:ind w:leftChars="0"/>
        <w:rPr>
          <w:rFonts w:hint="eastAsia" w:ascii="宋体" w:hAnsi="宋体" w:eastAsia="宋体" w:cs="宋体"/>
          <w:color w:val="000000" w:themeColor="text1"/>
          <w:sz w:val="21"/>
          <w:szCs w:val="21"/>
          <w14:textFill>
            <w14:solidFill>
              <w14:schemeClr w14:val="tx1"/>
            </w14:solidFill>
          </w14:textFill>
        </w:rPr>
      </w:pPr>
      <w:bookmarkStart w:id="98" w:name="_Toc30370"/>
      <w:bookmarkStart w:id="99" w:name="_Toc2412"/>
      <w:bookmarkStart w:id="100" w:name="_Toc21540"/>
      <w:bookmarkStart w:id="101" w:name="_Toc14133"/>
      <w:bookmarkStart w:id="102" w:name="_Toc238"/>
      <w:bookmarkStart w:id="103" w:name="_Toc1275"/>
      <w:bookmarkStart w:id="104" w:name="_Toc15679"/>
      <w:bookmarkStart w:id="105" w:name="_Toc30217"/>
      <w:r>
        <w:rPr>
          <w:rFonts w:hint="eastAsia" w:ascii="宋体" w:hAnsi="宋体" w:eastAsia="宋体" w:cs="宋体"/>
          <w:color w:val="000000" w:themeColor="text1"/>
          <w:sz w:val="21"/>
          <w:szCs w:val="21"/>
          <w:lang w:val="en-US" w:eastAsia="zh-CN"/>
          <w14:textFill>
            <w14:solidFill>
              <w14:schemeClr w14:val="tx1"/>
            </w14:solidFill>
          </w14:textFill>
        </w:rPr>
        <w:t>五、</w:t>
      </w:r>
      <w:r>
        <w:rPr>
          <w:rFonts w:hint="eastAsia" w:ascii="宋体" w:hAnsi="宋体" w:eastAsia="宋体" w:cs="宋体"/>
          <w:color w:val="000000" w:themeColor="text1"/>
          <w:sz w:val="21"/>
          <w:szCs w:val="21"/>
          <w14:textFill>
            <w14:solidFill>
              <w14:schemeClr w14:val="tx1"/>
            </w14:solidFill>
          </w14:textFill>
        </w:rPr>
        <w:t>总体架构</w:t>
      </w:r>
      <w:bookmarkEnd w:id="98"/>
      <w:bookmarkEnd w:id="99"/>
      <w:bookmarkEnd w:id="100"/>
      <w:bookmarkEnd w:id="101"/>
      <w:bookmarkEnd w:id="102"/>
      <w:bookmarkEnd w:id="103"/>
      <w:bookmarkEnd w:id="104"/>
      <w:bookmarkEnd w:id="105"/>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本系统是基于知识管理理论，采用B/S模式、互联网技术和移动互联网技术相结合的新一代信息平台。</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与传统信息平台核心对比，本系统有以下突破：</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由于采用了先进的B/S结构，从而大大提高了用户操作环境的友善性，同时又极大地降低了系统的维护成本，为用户在任何地点、任何时间进行其业务处理、大量信息和知识的查询提供了必要的条件；</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系统采用整体框架和底层相互支持的“框架+组件”（也可以理解为“平台+应用”）的结构，首先建立系统整体框架和底层支持，然后按不同需求开发不同的具体功能模块。这种结构使功能模块以组件形式加入到整体框架之中，也可以方便的将不需要的模块从系统卸载。这使得系统应用灵活，安装配置简便，扩展能力强，使用方便。</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具体来看，整个系统架构可以分为四个层：应用层、服务层、传输层、传感层。</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应用层：环境进行检查、设备控制、数据统计分析、检查报警等。</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服务层：包括统一用户管理、数据分析挖掘、数据接入、系统应用管理、任务管理等。</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传输层：存储各种关系型、文档型数据、实现数据交换。为上层提供数据支撑。</w:t>
      </w:r>
    </w:p>
    <w:p>
      <w:pPr>
        <w:pStyle w:val="117"/>
        <w:spacing w:line="360" w:lineRule="auto"/>
        <w:ind w:firstLine="460" w:firstLineChars="20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传感层：通过各类型物联网传感器，对感知数据进行采集处理，分析和决策。实现对物理实体的有效监控和管理。</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这种良好的架构也使得用户可以将自己的应用和本系统方便地集成在一起，通过简单的配置部署成适合自己的系统，易于再扩展，从而保护已有投资。</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全面基于互联网和移动互联网应用模式，实现跨地域的业务处理，良好的支持低带宽网络。</w:t>
      </w:r>
    </w:p>
    <w:p>
      <w:pPr>
        <w:spacing w:line="360" w:lineRule="auto"/>
        <w:ind w:firstLine="48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软件架构上采用了主流的B/S平台设计思想，具备技术先进性与稳定性，充分满足用户的大数据量、高可用性的要求。</w:t>
      </w:r>
    </w:p>
    <w:bookmarkEnd w:id="78"/>
    <w:p>
      <w:pPr>
        <w:pStyle w:val="3"/>
        <w:numPr>
          <w:ilvl w:val="1"/>
          <w:numId w:val="0"/>
        </w:numPr>
        <w:spacing w:line="360" w:lineRule="auto"/>
        <w:ind w:leftChars="0"/>
        <w:rPr>
          <w:rFonts w:hint="eastAsia" w:ascii="宋体" w:hAnsi="宋体" w:eastAsia="宋体" w:cs="宋体"/>
          <w:color w:val="000000" w:themeColor="text1"/>
          <w:sz w:val="21"/>
          <w:szCs w:val="21"/>
          <w:lang w:val="en-US" w:eastAsia="zh-CN"/>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pStyle w:val="3"/>
        <w:numPr>
          <w:ilvl w:val="1"/>
          <w:numId w:val="0"/>
        </w:numPr>
        <w:spacing w:line="360" w:lineRule="auto"/>
        <w:ind w:leftChars="0"/>
        <w:rPr>
          <w:rFonts w:hint="eastAsia" w:ascii="宋体" w:hAnsi="宋体" w:eastAsia="宋体" w:cs="宋体"/>
          <w:color w:val="000000" w:themeColor="text1"/>
          <w:sz w:val="21"/>
          <w:szCs w:val="21"/>
          <w14:textFill>
            <w14:solidFill>
              <w14:schemeClr w14:val="tx1"/>
            </w14:solidFill>
          </w14:textFill>
        </w:rPr>
      </w:pPr>
      <w:bookmarkStart w:id="106" w:name="_Toc32072"/>
      <w:r>
        <w:rPr>
          <w:rFonts w:hint="eastAsia" w:ascii="宋体" w:hAnsi="宋体" w:eastAsia="宋体" w:cs="宋体"/>
          <w:color w:val="000000" w:themeColor="text1"/>
          <w:sz w:val="21"/>
          <w:szCs w:val="21"/>
          <w:lang w:val="en-US" w:eastAsia="zh-CN"/>
          <w14:textFill>
            <w14:solidFill>
              <w14:schemeClr w14:val="tx1"/>
            </w14:solidFill>
          </w14:textFill>
        </w:rPr>
        <w:t>六、</w:t>
      </w:r>
      <w:r>
        <w:rPr>
          <w:rFonts w:hint="eastAsia" w:ascii="宋体" w:hAnsi="宋体" w:eastAsia="宋体" w:cs="宋体"/>
          <w:color w:val="000000" w:themeColor="text1"/>
          <w:sz w:val="21"/>
          <w:szCs w:val="21"/>
          <w14:textFill>
            <w14:solidFill>
              <w14:schemeClr w14:val="tx1"/>
            </w14:solidFill>
          </w14:textFill>
        </w:rPr>
        <w:t>建设内容</w:t>
      </w:r>
      <w:bookmarkEnd w:id="106"/>
    </w:p>
    <w:tbl>
      <w:tblPr>
        <w:tblStyle w:val="42"/>
        <w:tblW w:w="0" w:type="auto"/>
        <w:tblInd w:w="0" w:type="dxa"/>
        <w:tblLayout w:type="fixed"/>
        <w:tblCellMar>
          <w:top w:w="0" w:type="dxa"/>
          <w:left w:w="108" w:type="dxa"/>
          <w:bottom w:w="0" w:type="dxa"/>
          <w:right w:w="108" w:type="dxa"/>
        </w:tblCellMar>
      </w:tblPr>
      <w:tblGrid>
        <w:gridCol w:w="696"/>
        <w:gridCol w:w="1000"/>
        <w:gridCol w:w="993"/>
        <w:gridCol w:w="6226"/>
        <w:gridCol w:w="821"/>
      </w:tblGrid>
      <w:tr>
        <w:tblPrEx>
          <w:tblCellMar>
            <w:top w:w="0" w:type="dxa"/>
            <w:left w:w="108" w:type="dxa"/>
            <w:bottom w:w="0" w:type="dxa"/>
            <w:right w:w="108" w:type="dxa"/>
          </w:tblCellMar>
        </w:tblPrEx>
        <w:trPr>
          <w:trHeight w:val="360" w:hRule="atLeast"/>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themeColor="text1"/>
                <w:kern w:val="0"/>
                <w:sz w:val="21"/>
                <w:szCs w:val="21"/>
                <w14:textFill>
                  <w14:solidFill>
                    <w14:schemeClr w14:val="tx1"/>
                  </w14:solidFill>
                </w14:textFill>
              </w:rPr>
            </w:pPr>
            <w:r>
              <w:rPr>
                <w:rFonts w:hint="eastAsia" w:ascii="宋体" w:hAnsi="宋体" w:eastAsia="宋体" w:cs="宋体"/>
                <w:b/>
                <w:bCs/>
                <w:color w:val="000000" w:themeColor="text1"/>
                <w:kern w:val="0"/>
                <w:sz w:val="21"/>
                <w:szCs w:val="21"/>
                <w14:textFill>
                  <w14:solidFill>
                    <w14:schemeClr w14:val="tx1"/>
                  </w14:solidFill>
                </w14:textFill>
              </w:rPr>
              <w:t>序号</w:t>
            </w:r>
          </w:p>
        </w:tc>
        <w:tc>
          <w:tcPr>
            <w:tcW w:w="1993"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宋体" w:hAnsi="宋体" w:eastAsia="宋体" w:cs="宋体"/>
                <w:b/>
                <w:bCs/>
                <w:color w:val="000000" w:themeColor="text1"/>
                <w:kern w:val="0"/>
                <w:sz w:val="21"/>
                <w:szCs w:val="21"/>
                <w14:textFill>
                  <w14:solidFill>
                    <w14:schemeClr w14:val="tx1"/>
                  </w14:solidFill>
                </w14:textFill>
              </w:rPr>
            </w:pPr>
            <w:r>
              <w:rPr>
                <w:rFonts w:hint="eastAsia" w:ascii="宋体" w:hAnsi="宋体" w:eastAsia="宋体" w:cs="宋体"/>
                <w:b/>
                <w:bCs/>
                <w:color w:val="000000" w:themeColor="text1"/>
                <w:kern w:val="0"/>
                <w:sz w:val="21"/>
                <w:szCs w:val="21"/>
                <w14:textFill>
                  <w14:solidFill>
                    <w14:schemeClr w14:val="tx1"/>
                  </w14:solidFill>
                </w14:textFill>
              </w:rPr>
              <w:t>建设内容</w:t>
            </w:r>
          </w:p>
        </w:tc>
        <w:tc>
          <w:tcPr>
            <w:tcW w:w="622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themeColor="text1"/>
                <w:kern w:val="0"/>
                <w:sz w:val="21"/>
                <w:szCs w:val="21"/>
                <w14:textFill>
                  <w14:solidFill>
                    <w14:schemeClr w14:val="tx1"/>
                  </w14:solidFill>
                </w14:textFill>
              </w:rPr>
            </w:pPr>
            <w:r>
              <w:rPr>
                <w:rFonts w:hint="eastAsia" w:ascii="宋体" w:hAnsi="宋体" w:eastAsia="宋体" w:cs="宋体"/>
                <w:b/>
                <w:bCs/>
                <w:color w:val="000000" w:themeColor="text1"/>
                <w:kern w:val="0"/>
                <w:sz w:val="21"/>
                <w:szCs w:val="21"/>
                <w14:textFill>
                  <w14:solidFill>
                    <w14:schemeClr w14:val="tx1"/>
                  </w14:solidFill>
                </w14:textFill>
              </w:rPr>
              <w:t>参数及描述</w:t>
            </w:r>
          </w:p>
        </w:tc>
        <w:tc>
          <w:tcPr>
            <w:tcW w:w="82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themeColor="text1"/>
                <w:kern w:val="0"/>
                <w:sz w:val="21"/>
                <w:szCs w:val="21"/>
                <w14:textFill>
                  <w14:solidFill>
                    <w14:schemeClr w14:val="tx1"/>
                  </w14:solidFill>
                </w14:textFill>
              </w:rPr>
            </w:pPr>
            <w:r>
              <w:rPr>
                <w:rFonts w:hint="eastAsia" w:ascii="宋体" w:hAnsi="宋体" w:eastAsia="宋体" w:cs="宋体"/>
                <w:b/>
                <w:bCs/>
                <w:color w:val="000000" w:themeColor="text1"/>
                <w:kern w:val="0"/>
                <w:sz w:val="21"/>
                <w:szCs w:val="21"/>
                <w14:textFill>
                  <w14:solidFill>
                    <w14:schemeClr w14:val="tx1"/>
                  </w14:solidFill>
                </w14:textFill>
              </w:rPr>
              <w:t>数量</w:t>
            </w:r>
          </w:p>
        </w:tc>
      </w:tr>
      <w:tr>
        <w:tblPrEx>
          <w:tblCellMar>
            <w:top w:w="0" w:type="dxa"/>
            <w:left w:w="108" w:type="dxa"/>
            <w:bottom w:w="0" w:type="dxa"/>
            <w:right w:w="108" w:type="dxa"/>
          </w:tblCellMar>
        </w:tblPrEx>
        <w:trPr>
          <w:trHeight w:val="1691" w:hRule="atLeast"/>
        </w:trPr>
        <w:tc>
          <w:tcPr>
            <w:tcW w:w="6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1993"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基础数据资源库</w:t>
            </w:r>
          </w:p>
        </w:tc>
        <w:tc>
          <w:tcPr>
            <w:tcW w:w="622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1、支持产业园在生产过程中，将各生产的相关的生产数据进行汇总、管理、分析、展示，包括但不限于企业数据、种植面积、产量、产值、农户数据、物联网设备数据、基地数据、气象数据、视频数据等数据呈现。</w:t>
            </w:r>
          </w:p>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2、建立完整的农业数字资源库，并将相关数据资料电子化。</w:t>
            </w:r>
          </w:p>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3、支持相关资料的保存保管，按照管理需要分权限开发资料的查阅与修改。</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w:t>
            </w:r>
          </w:p>
        </w:tc>
      </w:tr>
      <w:tr>
        <w:tblPrEx>
          <w:tblCellMar>
            <w:top w:w="0" w:type="dxa"/>
            <w:left w:w="108" w:type="dxa"/>
            <w:bottom w:w="0" w:type="dxa"/>
            <w:right w:w="108" w:type="dxa"/>
          </w:tblCellMar>
        </w:tblPrEx>
        <w:trPr>
          <w:trHeight w:val="2745" w:hRule="atLeast"/>
        </w:trPr>
        <w:tc>
          <w:tcPr>
            <w:tcW w:w="6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w:t>
            </w:r>
          </w:p>
        </w:tc>
        <w:tc>
          <w:tcPr>
            <w:tcW w:w="1993"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产业园状况可视化展示</w:t>
            </w:r>
          </w:p>
        </w:tc>
        <w:tc>
          <w:tcPr>
            <w:tcW w:w="622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1、结合基础数据的收集情况，输出产业园概况一张图，向园区管理人员展示产业园基本情况，包括种植规模、种植品种、产量、产值，实施主体情况等；产业园实施主体基本情况介绍，如：种植、加工、销售。</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2、对产业园内的种植信息进行统一管理，对种植情况数据进行汇总统计与展示，包括种植基地地理分布情况、种植品种、年产量等。对接收集园区监测数据，对监测数据实时监测，对问题数据进行告警；</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3、提供行业农技专家的线上沟通渠道，种植户可以与专家进行互动，互动类型包括：实时视频与语音、互动问答等方式，实现农业专家与基地管理员、农民的远程交流，实现病虫害的远程诊断，农业技术的远程培训，农业科技的远程科普教育。</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4、对坚果种植技术知识进行管理。将有关坚果种植技术、农机、病虫害防治、电子商务、科教等农业知识汇集，可以多种等形式分享和展示。</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w:t>
            </w:r>
          </w:p>
        </w:tc>
      </w:tr>
      <w:tr>
        <w:tblPrEx>
          <w:tblCellMar>
            <w:top w:w="0" w:type="dxa"/>
            <w:left w:w="108" w:type="dxa"/>
            <w:bottom w:w="0" w:type="dxa"/>
            <w:right w:w="108" w:type="dxa"/>
          </w:tblCellMar>
        </w:tblPrEx>
        <w:trPr>
          <w:trHeight w:val="699" w:hRule="atLeast"/>
        </w:trPr>
        <w:tc>
          <w:tcPr>
            <w:tcW w:w="6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w:t>
            </w:r>
          </w:p>
        </w:tc>
        <w:tc>
          <w:tcPr>
            <w:tcW w:w="1993"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产业园移动小程序</w:t>
            </w:r>
          </w:p>
        </w:tc>
        <w:tc>
          <w:tcPr>
            <w:tcW w:w="622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小程序具体功能如下：</w:t>
            </w:r>
          </w:p>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1、对产业园风采进行展示，包括产业园简介、牵头主体介绍，产业园相关的视频、产业园专题报道等。</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2、提供各类供求信息发布平台，主要是针对供应商、采购商用户提供的信息发布渠道。供应商在平台上发布出售的产品信息（包括产品名称、数量、单价、照片、联系方式等相关信息），帮助有需求的采购商与联系供应商建立联系，以促成交易。采购商也可发布相应的采购需求信息，供应商用户可根据需求联系采购商，促成交易。</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3、整合专家资源，建立专家名录，专家库包括专家照片，专家标签、专家简介，擅长领域等；建立专家咨询通道，可为生产人员提供专家咨询服务，可直接以文字图片或视频咨询的方式开展。</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4、建设农技知识文库，将有关种植技术、农机、 病虫害防治、科教等农业信息汇集，以图文、视频等形式分享和展示给农户。</w:t>
            </w:r>
            <w:r>
              <w:rPr>
                <w:rFonts w:hint="eastAsia" w:ascii="宋体" w:hAnsi="宋体" w:eastAsia="宋体" w:cs="宋体"/>
                <w:color w:val="000000" w:themeColor="text1"/>
                <w:kern w:val="0"/>
                <w:sz w:val="21"/>
                <w:szCs w:val="21"/>
                <w14:textFill>
                  <w14:solidFill>
                    <w14:schemeClr w14:val="tx1"/>
                  </w14:solidFill>
                </w14:textFill>
              </w:rPr>
              <w:br w:type="textWrapping"/>
            </w:r>
            <w:r>
              <w:rPr>
                <w:rFonts w:hint="eastAsia" w:ascii="宋体" w:hAnsi="宋体" w:eastAsia="宋体" w:cs="宋体"/>
                <w:color w:val="000000" w:themeColor="text1"/>
                <w:kern w:val="0"/>
                <w:sz w:val="21"/>
                <w:szCs w:val="21"/>
                <w14:textFill>
                  <w14:solidFill>
                    <w14:schemeClr w14:val="tx1"/>
                  </w14:solidFill>
                </w14:textFill>
              </w:rPr>
              <w:t>5、整合有合作意向企业与金融机构资源，与合作银行对接，建立农户预授信模型， 为广大农民，企业提供急需资金、信息支持；帮助转型种植户或企业快速提供资金解决途径；</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w:t>
            </w:r>
          </w:p>
        </w:tc>
      </w:tr>
      <w:tr>
        <w:tblPrEx>
          <w:tblCellMar>
            <w:top w:w="0" w:type="dxa"/>
            <w:left w:w="108" w:type="dxa"/>
            <w:bottom w:w="0" w:type="dxa"/>
            <w:right w:w="108" w:type="dxa"/>
          </w:tblCellMar>
        </w:tblPrEx>
        <w:trPr>
          <w:trHeight w:val="3960" w:hRule="atLeast"/>
        </w:trPr>
        <w:tc>
          <w:tcPr>
            <w:tcW w:w="6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w:t>
            </w:r>
          </w:p>
        </w:tc>
        <w:tc>
          <w:tcPr>
            <w:tcW w:w="1993"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果园5G安防监控服务</w:t>
            </w:r>
          </w:p>
        </w:tc>
        <w:tc>
          <w:tcPr>
            <w:tcW w:w="6226" w:type="dxa"/>
            <w:tcBorders>
              <w:top w:val="nil"/>
              <w:left w:val="nil"/>
              <w:bottom w:val="single" w:color="auto" w:sz="4" w:space="0"/>
              <w:right w:val="nil"/>
            </w:tcBorders>
            <w:shd w:val="clear" w:color="auto" w:fill="auto"/>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依托4G/5G的网络覆盖，监控画面需要满足内网的用户查看，同时也需要满足外网用户查看的需求。内网/外网访问策略的实现。区分内外网用户的访问，对内网用户启用内网访问的方式；对外网用户启用外网的方式访问，并且在允许P2P的网络环境中，要启用P2P的传输监控画面，降低中心服务器的压力。在设计的网络带宽、网络流量下，需要满足内外网用户大屏24小时多画面连续播放的需求。摄像头抓拍的画面可通过规划的内网网络，在服务器中存储。存储的时长需要满足2个月。如果摄像头故障离线，可推送提醒，以便工作人员进行处理，监控需要联动广播，符合平台的抓拍场景提示。摄像头画面需要满足通过网络在电脑端在WEB浏览器浏览，手机WEB浏览器中播放的需求。</w:t>
            </w:r>
          </w:p>
        </w:tc>
        <w:tc>
          <w:tcPr>
            <w:tcW w:w="82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w:t>
            </w:r>
          </w:p>
        </w:tc>
      </w:tr>
      <w:tr>
        <w:tblPrEx>
          <w:tblCellMar>
            <w:top w:w="0" w:type="dxa"/>
            <w:left w:w="108" w:type="dxa"/>
            <w:bottom w:w="0" w:type="dxa"/>
            <w:right w:w="108" w:type="dxa"/>
          </w:tblCellMar>
        </w:tblPrEx>
        <w:trPr>
          <w:trHeight w:val="2970" w:hRule="atLeast"/>
        </w:trPr>
        <w:tc>
          <w:tcPr>
            <w:tcW w:w="69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　5</w:t>
            </w:r>
          </w:p>
        </w:tc>
        <w:tc>
          <w:tcPr>
            <w:tcW w:w="100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硬件设施</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LED大屏</w:t>
            </w:r>
          </w:p>
        </w:tc>
        <w:tc>
          <w:tcPr>
            <w:tcW w:w="6226" w:type="dxa"/>
            <w:tcBorders>
              <w:top w:val="nil"/>
              <w:left w:val="nil"/>
              <w:bottom w:val="single" w:color="auto" w:sz="4" w:space="0"/>
              <w:right w:val="single" w:color="auto" w:sz="4" w:space="0"/>
            </w:tcBorders>
            <w:shd w:val="clear" w:color="auto" w:fill="auto"/>
            <w:vAlign w:val="center"/>
          </w:tcPr>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 xml:space="preserve">大屏尺寸：高2.5m，宽4.5m </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全彩，点间距≤3mm</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亮度（nits) ≥600，对比度 ≥6000:1</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亮度均匀 ≥98.8%</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刷新率≥1920Hz</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支持前拆前维护和后拆后维护功能</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带有智能（黑屏）节电功能</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支持至少 5 路输入接口，包括 1 路 DVI，1 路 HDMI1.3，1 路 VGA，1 路 USB 播 放，1 路 CVBS。</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支持画面全屏缩放、点对点缩放、自定义缩放三种缩放模式。</w:t>
            </w:r>
          </w:p>
          <w:p>
            <w:pPr>
              <w:pStyle w:val="71"/>
              <w:widowControl/>
              <w:numPr>
                <w:ilvl w:val="0"/>
                <w:numId w:val="8"/>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含视频显示控制系统、悬挂式安装框架</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highlight w:val="yellow"/>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1套</w:t>
            </w:r>
          </w:p>
        </w:tc>
      </w:tr>
      <w:tr>
        <w:tblPrEx>
          <w:tblCellMar>
            <w:top w:w="0" w:type="dxa"/>
            <w:left w:w="108" w:type="dxa"/>
            <w:bottom w:w="0" w:type="dxa"/>
            <w:right w:w="108" w:type="dxa"/>
          </w:tblCellMar>
        </w:tblPrEx>
        <w:trPr>
          <w:trHeight w:val="993"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100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监控显示屏</w:t>
            </w:r>
          </w:p>
        </w:tc>
        <w:tc>
          <w:tcPr>
            <w:tcW w:w="6226" w:type="dxa"/>
            <w:tcBorders>
              <w:top w:val="nil"/>
              <w:left w:val="nil"/>
              <w:bottom w:val="single" w:color="auto" w:sz="4" w:space="0"/>
              <w:right w:val="single" w:color="auto" w:sz="4" w:space="0"/>
            </w:tcBorders>
            <w:shd w:val="clear" w:color="auto" w:fill="auto"/>
            <w:vAlign w:val="center"/>
          </w:tcPr>
          <w:p>
            <w:pPr>
              <w:pStyle w:val="71"/>
              <w:widowControl/>
              <w:numPr>
                <w:ilvl w:val="0"/>
                <w:numId w:val="9"/>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屏幕尺寸65英寸</w:t>
            </w:r>
          </w:p>
          <w:p>
            <w:pPr>
              <w:pStyle w:val="71"/>
              <w:widowControl/>
              <w:numPr>
                <w:ilvl w:val="0"/>
                <w:numId w:val="9"/>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液晶显示</w:t>
            </w:r>
          </w:p>
          <w:p>
            <w:pPr>
              <w:pStyle w:val="71"/>
              <w:widowControl/>
              <w:numPr>
                <w:ilvl w:val="0"/>
                <w:numId w:val="9"/>
              </w:numPr>
              <w:ind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HDMI输入口≥2个</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1台</w:t>
            </w:r>
          </w:p>
        </w:tc>
      </w:tr>
      <w:tr>
        <w:tblPrEx>
          <w:tblCellMar>
            <w:top w:w="0" w:type="dxa"/>
            <w:left w:w="108" w:type="dxa"/>
            <w:bottom w:w="0" w:type="dxa"/>
            <w:right w:w="108" w:type="dxa"/>
          </w:tblCellMar>
        </w:tblPrEx>
        <w:trPr>
          <w:trHeight w:val="1701"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100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网络摄像机</w:t>
            </w:r>
          </w:p>
        </w:tc>
        <w:tc>
          <w:tcPr>
            <w:tcW w:w="6226" w:type="dxa"/>
            <w:tcBorders>
              <w:top w:val="nil"/>
              <w:left w:val="nil"/>
              <w:bottom w:val="single" w:color="auto" w:sz="4" w:space="0"/>
              <w:right w:val="single" w:color="auto" w:sz="4" w:space="0"/>
            </w:tcBorders>
            <w:shd w:val="clear" w:color="auto" w:fill="auto"/>
            <w:vAlign w:val="center"/>
          </w:tcPr>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摄像头：不少于400万像素，CMOS不小于 1/3"</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支持越界侦测，区域入侵侦测，进入区域侦测和离开区域侦测，支持联动声音报警</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最低照度: 彩色：0.005 Lux @（F1.2，AGC ON），0 Lux with IR</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补光距离: 红外光≥50 m，白光≥30 m</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最大图像尺寸: 不小于2560 × 1440</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视频压缩标准: 主码流支持H.265/H.264</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网络: 提供1个RJ45 10 M/100 M自适应以太网口</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音频: 提供1个内置麦克风，1个内置扬声器</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防水：IP66</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含摄像头立杆及支架。</w:t>
            </w:r>
          </w:p>
          <w:p>
            <w:pPr>
              <w:pStyle w:val="71"/>
              <w:widowControl/>
              <w:numPr>
                <w:ilvl w:val="0"/>
                <w:numId w:val="10"/>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太阳能供电系统：110W太阳能供电，电源锂电池。</w:t>
            </w:r>
          </w:p>
          <w:p>
            <w:pPr>
              <w:pStyle w:val="71"/>
              <w:widowControl/>
              <w:numPr>
                <w:ilvl w:val="0"/>
                <w:numId w:val="10"/>
              </w:numPr>
              <w:ind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含网络传输所需网桥设备</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120套</w:t>
            </w:r>
          </w:p>
        </w:tc>
      </w:tr>
      <w:tr>
        <w:tblPrEx>
          <w:tblCellMar>
            <w:top w:w="0" w:type="dxa"/>
            <w:left w:w="108" w:type="dxa"/>
            <w:bottom w:w="0" w:type="dxa"/>
            <w:right w:w="108" w:type="dxa"/>
          </w:tblCellMar>
        </w:tblPrEx>
        <w:trPr>
          <w:trHeight w:val="2496"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100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智能球形摄像机</w:t>
            </w:r>
          </w:p>
        </w:tc>
        <w:tc>
          <w:tcPr>
            <w:tcW w:w="6226" w:type="dxa"/>
            <w:tcBorders>
              <w:top w:val="nil"/>
              <w:left w:val="nil"/>
              <w:bottom w:val="single" w:color="auto" w:sz="4" w:space="0"/>
              <w:right w:val="single" w:color="auto" w:sz="4" w:space="0"/>
            </w:tcBorders>
            <w:shd w:val="clear" w:color="auto" w:fill="auto"/>
            <w:vAlign w:val="center"/>
          </w:tcPr>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摄像头：不少于400万像素，CMOS不小于1/2.8＂</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支持区域入侵侦测，越界侦测，进入区域侦测和离开区域侦等智能侦测</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支持切换为人脸抓拍模式，最大同时抓拍5张人脸</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最低照度: 彩色：0.005 Lux @（F1.6，AGC ON）；黑白：0.001L ux @（F1.6，AGC ON）；0 Lux with IR</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内置加热玻璃，有效除雾</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支持不少于23倍光学变倍</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红外照射距离: ≥100 m</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水平范围: 360°</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垂直范围: -15°~90°（自动翻转）</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 xml:space="preserve">主码流帧率分辨率: 50 Hz：25 fps（2560 × 1440）；60 Hz：30 fps（2560 × 1440）   </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视频压缩标准: H.265，H.264，MJPEG</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报警：1进1出</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音频: 提供1个内置麦克风，1个内置扬声器</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 xml:space="preserve">网络接口: RJ45网口，自适应10 M/100 M网络数据 </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防水: IP66</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含摄像头立杆及支架。</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太阳能供电系统：110W太阳能供电，电源锂电池。</w:t>
            </w:r>
          </w:p>
          <w:p>
            <w:pPr>
              <w:pStyle w:val="71"/>
              <w:widowControl/>
              <w:numPr>
                <w:ilvl w:val="0"/>
                <w:numId w:val="11"/>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含网络传输所需网桥设备</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30套</w:t>
            </w:r>
          </w:p>
        </w:tc>
      </w:tr>
      <w:tr>
        <w:tblPrEx>
          <w:tblCellMar>
            <w:top w:w="0" w:type="dxa"/>
            <w:left w:w="108" w:type="dxa"/>
            <w:bottom w:w="0" w:type="dxa"/>
            <w:right w:w="108" w:type="dxa"/>
          </w:tblCellMar>
        </w:tblPrEx>
        <w:trPr>
          <w:trHeight w:val="270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100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硬盘录像机</w:t>
            </w:r>
          </w:p>
        </w:tc>
        <w:tc>
          <w:tcPr>
            <w:tcW w:w="6226" w:type="dxa"/>
            <w:tcBorders>
              <w:top w:val="single" w:color="auto" w:sz="4" w:space="0"/>
              <w:left w:val="nil"/>
              <w:bottom w:val="single" w:color="auto" w:sz="4" w:space="0"/>
              <w:right w:val="single" w:color="auto" w:sz="4" w:space="0"/>
            </w:tcBorders>
            <w:shd w:val="clear" w:color="auto" w:fill="auto"/>
            <w:vAlign w:val="center"/>
          </w:tcPr>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2U机架式</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输入：不少于2个HDMI，2个VGA,HDMI+VGA组内同源</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2个千兆网口</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内置8块8T硬盘</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64路H.264、H.265混合接入</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最大支持16×1080P解码、支持H.265、H.264解码</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接口：2个USB2.0接口、1个USB3.0接口、1个eSATA接口</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支持RAID0、1、5、10，支持全局热备盘</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输入带宽：320M，输出带宽：256M</w:t>
            </w:r>
          </w:p>
          <w:p>
            <w:pPr>
              <w:pStyle w:val="71"/>
              <w:widowControl/>
              <w:numPr>
                <w:ilvl w:val="0"/>
                <w:numId w:val="12"/>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报警IO：16进4出</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3台</w:t>
            </w:r>
          </w:p>
        </w:tc>
      </w:tr>
      <w:tr>
        <w:tblPrEx>
          <w:tblCellMar>
            <w:top w:w="0" w:type="dxa"/>
            <w:left w:w="108" w:type="dxa"/>
            <w:bottom w:w="0" w:type="dxa"/>
            <w:right w:w="108" w:type="dxa"/>
          </w:tblCellMar>
        </w:tblPrEx>
        <w:trPr>
          <w:trHeight w:val="90" w:hRule="atLeast"/>
        </w:trPr>
        <w:tc>
          <w:tcPr>
            <w:tcW w:w="69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100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交换机</w:t>
            </w:r>
          </w:p>
        </w:tc>
        <w:tc>
          <w:tcPr>
            <w:tcW w:w="6226" w:type="dxa"/>
            <w:tcBorders>
              <w:top w:val="nil"/>
              <w:left w:val="nil"/>
              <w:bottom w:val="single" w:color="auto" w:sz="4" w:space="0"/>
              <w:right w:val="single" w:color="auto" w:sz="4" w:space="0"/>
            </w:tcBorders>
            <w:shd w:val="clear" w:color="auto" w:fill="auto"/>
            <w:vAlign w:val="center"/>
          </w:tcPr>
          <w:p>
            <w:pPr>
              <w:pStyle w:val="71"/>
              <w:widowControl/>
              <w:numPr>
                <w:ilvl w:val="0"/>
                <w:numId w:val="13"/>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交换容量：≥36Gbps</w:t>
            </w:r>
          </w:p>
          <w:p>
            <w:pPr>
              <w:pStyle w:val="71"/>
              <w:widowControl/>
              <w:numPr>
                <w:ilvl w:val="0"/>
                <w:numId w:val="13"/>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16个10/100/1000Base-T以太网口</w:t>
            </w:r>
          </w:p>
          <w:p>
            <w:pPr>
              <w:pStyle w:val="71"/>
              <w:widowControl/>
              <w:numPr>
                <w:ilvl w:val="0"/>
                <w:numId w:val="13"/>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转发率：≥24Mpps</w:t>
            </w:r>
          </w:p>
          <w:p>
            <w:pPr>
              <w:pStyle w:val="71"/>
              <w:widowControl/>
              <w:numPr>
                <w:ilvl w:val="0"/>
                <w:numId w:val="13"/>
              </w:numPr>
              <w:ind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机架式，1U</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1台</w:t>
            </w:r>
          </w:p>
        </w:tc>
      </w:tr>
      <w:tr>
        <w:tblPrEx>
          <w:tblCellMar>
            <w:top w:w="0" w:type="dxa"/>
            <w:left w:w="108" w:type="dxa"/>
            <w:bottom w:w="0" w:type="dxa"/>
            <w:right w:w="108" w:type="dxa"/>
          </w:tblCellMar>
        </w:tblPrEx>
        <w:trPr>
          <w:trHeight w:val="677" w:hRule="atLeast"/>
        </w:trPr>
        <w:tc>
          <w:tcPr>
            <w:tcW w:w="6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6　</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设备安装服务</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设备安装服务</w:t>
            </w:r>
          </w:p>
        </w:tc>
        <w:tc>
          <w:tcPr>
            <w:tcW w:w="622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包含大屏安装、监控设备立杆、摄像头安装调试等</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w:t>
            </w:r>
          </w:p>
        </w:tc>
      </w:tr>
      <w:tr>
        <w:tblPrEx>
          <w:tblCellMar>
            <w:top w:w="0" w:type="dxa"/>
            <w:left w:w="108" w:type="dxa"/>
            <w:bottom w:w="0" w:type="dxa"/>
            <w:right w:w="108" w:type="dxa"/>
          </w:tblCellMar>
        </w:tblPrEx>
        <w:trPr>
          <w:trHeight w:val="540" w:hRule="atLeast"/>
        </w:trPr>
        <w:tc>
          <w:tcPr>
            <w:tcW w:w="696" w:type="dxa"/>
            <w:vMerge w:val="restart"/>
            <w:tcBorders>
              <w:top w:val="nil"/>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7</w:t>
            </w:r>
          </w:p>
        </w:tc>
        <w:tc>
          <w:tcPr>
            <w:tcW w:w="1000" w:type="dxa"/>
            <w:vMerge w:val="restart"/>
            <w:tcBorders>
              <w:top w:val="nil"/>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其他服务</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培训服务</w:t>
            </w:r>
          </w:p>
        </w:tc>
        <w:tc>
          <w:tcPr>
            <w:tcW w:w="622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项目平台建设完成后，对系统使用相关人员等进行培训，使相关人员能够熟练使用系统操作，针对所有建设内容提供线下的培训指导，使用过程中出现的问题提供免费的线上远程指导。</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w:t>
            </w:r>
          </w:p>
        </w:tc>
      </w:tr>
      <w:tr>
        <w:tblPrEx>
          <w:tblCellMar>
            <w:top w:w="0" w:type="dxa"/>
            <w:left w:w="108" w:type="dxa"/>
            <w:bottom w:w="0" w:type="dxa"/>
            <w:right w:w="108" w:type="dxa"/>
          </w:tblCellMar>
        </w:tblPrEx>
        <w:trPr>
          <w:trHeight w:val="634" w:hRule="atLeast"/>
        </w:trPr>
        <w:tc>
          <w:tcPr>
            <w:tcW w:w="696"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1000"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993" w:type="dxa"/>
            <w:tcBorders>
              <w:top w:val="nil"/>
              <w:left w:val="nil"/>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云服务</w:t>
            </w:r>
          </w:p>
        </w:tc>
        <w:tc>
          <w:tcPr>
            <w:tcW w:w="6226" w:type="dxa"/>
            <w:tcBorders>
              <w:top w:val="nil"/>
              <w:left w:val="nil"/>
              <w:right w:val="single" w:color="auto" w:sz="4" w:space="0"/>
            </w:tcBorders>
            <w:shd w:val="clear" w:color="auto" w:fill="auto"/>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1套1核2G云主机SSD系统盘50G，CentOS  7.9 64位操作系统。</w:t>
            </w:r>
          </w:p>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2套2核8G云主机SSD系统盘100G，CentOS  7.9 64位操作系统。</w:t>
            </w:r>
          </w:p>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2套2核8G云主机SSD系统盘50G，CentOS  7.9 64位操作系统。</w:t>
            </w:r>
          </w:p>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1套2核8G云主机，数据库版本MySql8.0，100G硬盘。</w:t>
            </w:r>
          </w:p>
          <w:p>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1套文档数据库(完全兼容MongoDB4.0)，2核4G，100G存储。</w:t>
            </w:r>
          </w:p>
        </w:tc>
        <w:tc>
          <w:tcPr>
            <w:tcW w:w="82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p>
          <w:p>
            <w:pPr>
              <w:widowControl/>
              <w:jc w:val="center"/>
              <w:rPr>
                <w:rFonts w:hint="eastAsia" w:ascii="宋体" w:hAnsi="宋体" w:eastAsia="宋体" w:cs="宋体"/>
                <w:color w:val="000000" w:themeColor="text1"/>
                <w:kern w:val="0"/>
                <w:sz w:val="21"/>
                <w:szCs w:val="21"/>
                <w14:textFill>
                  <w14:solidFill>
                    <w14:schemeClr w14:val="tx1"/>
                  </w14:solidFill>
                </w14:textFill>
              </w:rPr>
            </w:pPr>
          </w:p>
          <w:p>
            <w:pPr>
              <w:widowControl/>
              <w:jc w:val="center"/>
              <w:rPr>
                <w:rFonts w:hint="eastAsia" w:ascii="宋体" w:hAnsi="宋体" w:eastAsia="宋体" w:cs="宋体"/>
                <w:color w:val="000000" w:themeColor="text1"/>
                <w:kern w:val="0"/>
                <w:sz w:val="21"/>
                <w:szCs w:val="21"/>
                <w14:textFill>
                  <w14:solidFill>
                    <w14:schemeClr w14:val="tx1"/>
                  </w14:solidFill>
                </w14:textFill>
              </w:rPr>
            </w:pPr>
          </w:p>
          <w:p>
            <w:pPr>
              <w:widowControl/>
              <w:jc w:val="center"/>
              <w:rPr>
                <w:rFonts w:hint="eastAsia" w:ascii="宋体" w:hAnsi="宋体" w:eastAsia="宋体" w:cs="宋体"/>
                <w:color w:val="000000" w:themeColor="text1"/>
                <w:kern w:val="0"/>
                <w:sz w:val="21"/>
                <w:szCs w:val="21"/>
                <w14:textFill>
                  <w14:solidFill>
                    <w14:schemeClr w14:val="tx1"/>
                  </w14:solidFill>
                </w14:textFill>
              </w:rPr>
            </w:pPr>
          </w:p>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w:t>
            </w:r>
          </w:p>
        </w:tc>
      </w:tr>
      <w:tr>
        <w:tblPrEx>
          <w:tblCellMar>
            <w:top w:w="0" w:type="dxa"/>
            <w:left w:w="108" w:type="dxa"/>
            <w:bottom w:w="0" w:type="dxa"/>
            <w:right w:w="108" w:type="dxa"/>
          </w:tblCellMar>
        </w:tblPrEx>
        <w:trPr>
          <w:trHeight w:val="312" w:hRule="atLeast"/>
        </w:trPr>
        <w:tc>
          <w:tcPr>
            <w:tcW w:w="696"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1000"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0"/>
                <w:sz w:val="21"/>
                <w:szCs w:val="21"/>
                <w14:textFill>
                  <w14:solidFill>
                    <w14:schemeClr w14:val="tx1"/>
                  </w14:solidFill>
                </w14:textFill>
              </w:rPr>
            </w:pP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运维管理</w:t>
            </w:r>
          </w:p>
        </w:tc>
        <w:tc>
          <w:tcPr>
            <w:tcW w:w="622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项目</w:t>
            </w:r>
            <w:r>
              <w:rPr>
                <w:rFonts w:hint="eastAsia" w:ascii="宋体" w:hAnsi="宋体" w:cs="宋体"/>
                <w:color w:val="000000" w:themeColor="text1"/>
                <w:kern w:val="0"/>
                <w:sz w:val="21"/>
                <w:szCs w:val="21"/>
                <w:highlight w:val="none"/>
                <w:lang w:val="en-US" w:eastAsia="zh-CN"/>
                <w14:textFill>
                  <w14:solidFill>
                    <w14:schemeClr w14:val="tx1"/>
                  </w14:solidFill>
                </w14:textFill>
              </w:rPr>
              <w:t>终验完</w:t>
            </w:r>
            <w:r>
              <w:rPr>
                <w:rFonts w:hint="eastAsia" w:ascii="宋体" w:hAnsi="宋体" w:eastAsia="宋体" w:cs="宋体"/>
                <w:color w:val="000000" w:themeColor="text1"/>
                <w:kern w:val="0"/>
                <w:sz w:val="21"/>
                <w:szCs w:val="21"/>
                <w:highlight w:val="none"/>
                <w14:textFill>
                  <w14:solidFill>
                    <w14:schemeClr w14:val="tx1"/>
                  </w14:solidFill>
                </w14:textFill>
              </w:rPr>
              <w:t>成后，提供</w:t>
            </w:r>
            <w:r>
              <w:rPr>
                <w:rFonts w:hint="eastAsia" w:ascii="宋体" w:hAnsi="宋体" w:cs="宋体"/>
                <w:color w:val="000000" w:themeColor="text1"/>
                <w:kern w:val="0"/>
                <w:sz w:val="21"/>
                <w:szCs w:val="21"/>
                <w:highlight w:val="none"/>
                <w:lang w:val="en-US" w:eastAsia="zh-CN"/>
                <w14:textFill>
                  <w14:solidFill>
                    <w14:schemeClr w14:val="tx1"/>
                  </w14:solidFill>
                </w14:textFill>
              </w:rPr>
              <w:t>三</w:t>
            </w:r>
            <w:r>
              <w:rPr>
                <w:rFonts w:hint="eastAsia" w:ascii="宋体" w:hAnsi="宋体" w:eastAsia="宋体" w:cs="宋体"/>
                <w:color w:val="000000" w:themeColor="text1"/>
                <w:kern w:val="0"/>
                <w:sz w:val="21"/>
                <w:szCs w:val="21"/>
                <w:highlight w:val="none"/>
                <w14:textFill>
                  <w14:solidFill>
                    <w14:schemeClr w14:val="tx1"/>
                  </w14:solidFill>
                </w14:textFill>
              </w:rPr>
              <w:t>年免费的运维服务</w:t>
            </w:r>
            <w:bookmarkStart w:id="283" w:name="_GoBack"/>
            <w:bookmarkEnd w:id="283"/>
            <w:r>
              <w:rPr>
                <w:rFonts w:hint="eastAsia" w:ascii="宋体" w:hAnsi="宋体" w:eastAsia="宋体" w:cs="宋体"/>
                <w:color w:val="000000" w:themeColor="text1"/>
                <w:kern w:val="0"/>
                <w:sz w:val="21"/>
                <w:szCs w:val="21"/>
                <w:highlight w:val="none"/>
                <w14:textFill>
                  <w14:solidFill>
                    <w14:schemeClr w14:val="tx1"/>
                  </w14:solidFill>
                </w14:textFill>
              </w:rPr>
              <w:t>。</w:t>
            </w:r>
          </w:p>
        </w:tc>
        <w:tc>
          <w:tcPr>
            <w:tcW w:w="8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lang w:val="zh-CN" w:eastAsia="zh-CN"/>
          <w14:textFill>
            <w14:solidFill>
              <w14:schemeClr w14:val="tx1"/>
            </w14:solidFill>
          </w14:textFill>
        </w:rPr>
      </w:pPr>
    </w:p>
    <w:p>
      <w:pPr>
        <w:rPr>
          <w:rFonts w:hint="eastAsia" w:ascii="宋体" w:hAnsi="宋体" w:eastAsia="宋体"/>
          <w:color w:val="000000" w:themeColor="text1"/>
          <w:kern w:val="0"/>
          <w:sz w:val="21"/>
          <w:szCs w:val="21"/>
          <w:highlight w:val="none"/>
          <w14:textFill>
            <w14:solidFill>
              <w14:schemeClr w14:val="tx1"/>
            </w14:solidFill>
          </w14:textFill>
        </w:rPr>
      </w:pPr>
      <w:r>
        <w:rPr>
          <w:rFonts w:hint="eastAsia" w:ascii="宋体" w:hAnsi="宋体" w:eastAsia="宋体"/>
          <w:color w:val="000000" w:themeColor="text1"/>
          <w:kern w:val="0"/>
          <w:sz w:val="21"/>
          <w:szCs w:val="21"/>
          <w:highlight w:val="none"/>
          <w14:textFill>
            <w14:solidFill>
              <w14:schemeClr w14:val="tx1"/>
            </w14:solidFill>
          </w14:textFill>
        </w:rPr>
        <w:br w:type="page"/>
      </w:r>
    </w:p>
    <w:p>
      <w:pPr>
        <w:pStyle w:val="3"/>
        <w:widowControl/>
        <w:numPr>
          <w:ilvl w:val="1"/>
          <w:numId w:val="0"/>
        </w:numPr>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14:textFill>
            <w14:solidFill>
              <w14:schemeClr w14:val="tx1"/>
            </w14:solidFill>
          </w14:textFill>
        </w:rPr>
      </w:pPr>
      <w:bookmarkStart w:id="107" w:name="_Toc9841"/>
      <w:r>
        <w:rPr>
          <w:rFonts w:hint="eastAsia" w:ascii="宋体" w:hAnsi="宋体" w:eastAsia="宋体"/>
          <w:color w:val="000000" w:themeColor="text1"/>
          <w:kern w:val="0"/>
          <w:sz w:val="21"/>
          <w:szCs w:val="21"/>
          <w:highlight w:val="none"/>
          <w14:textFill>
            <w14:solidFill>
              <w14:schemeClr w14:val="tx1"/>
            </w14:solidFill>
          </w14:textFill>
        </w:rPr>
        <w:t>第三部分 报价须知</w:t>
      </w:r>
      <w:bookmarkEnd w:id="107"/>
    </w:p>
    <w:p>
      <w:pPr>
        <w:pStyle w:val="3"/>
        <w:numPr>
          <w:ilvl w:val="1"/>
          <w:numId w:val="0"/>
        </w:numPr>
        <w:spacing w:line="360" w:lineRule="auto"/>
        <w:jc w:val="center"/>
        <w:rPr>
          <w:rFonts w:ascii="宋体" w:hAnsi="宋体" w:eastAsia="宋体"/>
          <w:color w:val="000000" w:themeColor="text1"/>
          <w:sz w:val="21"/>
          <w:szCs w:val="21"/>
          <w:highlight w:val="none"/>
          <w14:textFill>
            <w14:solidFill>
              <w14:schemeClr w14:val="tx1"/>
            </w14:solidFill>
          </w14:textFill>
        </w:rPr>
      </w:pPr>
      <w:bookmarkStart w:id="108" w:name="_Toc4759"/>
      <w:bookmarkStart w:id="109" w:name="_Toc434832495"/>
      <w:r>
        <w:rPr>
          <w:rFonts w:hint="eastAsia" w:ascii="宋体" w:hAnsi="宋体" w:eastAsia="宋体"/>
          <w:color w:val="000000" w:themeColor="text1"/>
          <w:sz w:val="21"/>
          <w:szCs w:val="21"/>
          <w:highlight w:val="none"/>
          <w14:textFill>
            <w14:solidFill>
              <w14:schemeClr w14:val="tx1"/>
            </w14:solidFill>
          </w14:textFill>
        </w:rPr>
        <w:t>投标人须知前附表</w:t>
      </w:r>
      <w:bookmarkEnd w:id="108"/>
      <w:bookmarkEnd w:id="109"/>
    </w:p>
    <w:tbl>
      <w:tblPr>
        <w:tblStyle w:val="42"/>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005"/>
        <w:gridCol w:w="3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谈判小组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000000" w:themeColor="text1"/>
                <w:highlight w:val="none"/>
                <w14:textFill>
                  <w14:solidFill>
                    <w14:schemeClr w14:val="tx1"/>
                  </w14:solidFill>
                </w14:textFill>
              </w:rPr>
              <w:t>专家数量共</w:t>
            </w:r>
            <w:r>
              <w:rPr>
                <w:rFonts w:ascii="宋体"/>
                <w:b/>
                <w:bCs/>
                <w:color w:val="000000" w:themeColor="text1"/>
                <w:highlight w:val="none"/>
                <w:u w:val="single"/>
                <w14:textFill>
                  <w14:solidFill>
                    <w14:schemeClr w14:val="tx1"/>
                  </w14:solidFill>
                </w14:textFill>
              </w:rPr>
              <w:t>3</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投标人在每一份谈判文件上明确标明 “正本”或“副本”。将正本及副本分别</w:t>
            </w:r>
            <w:r>
              <w:rPr>
                <w:rFonts w:hint="eastAsia" w:ascii="宋体" w:hAnsi="宋体"/>
                <w:bCs/>
                <w:color w:val="000000" w:themeColor="text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封面需按谈判文件封面格式要求标注并加盖公章。电子文件单独密封</w:t>
            </w:r>
            <w:r>
              <w:rPr>
                <w:rFonts w:hint="eastAsia" w:ascii="宋体" w:hAnsi="宋体"/>
                <w:bCs/>
                <w:color w:val="000000" w:themeColor="text1"/>
                <w:szCs w:val="21"/>
                <w:highlight w:val="none"/>
                <w14:textFill>
                  <w14:solidFill>
                    <w14:schemeClr w14:val="tx1"/>
                  </w14:solidFill>
                </w14:textFill>
              </w:rPr>
              <w:t>不透明的外层封装中</w:t>
            </w:r>
            <w:r>
              <w:rPr>
                <w:rFonts w:hint="eastAsia"/>
                <w:color w:val="000000" w:themeColor="text1"/>
                <w:szCs w:val="21"/>
                <w:highlight w:val="none"/>
                <w14:textFill>
                  <w14:solidFill>
                    <w14:schemeClr w14:val="tx1"/>
                  </w14:solidFill>
                </w14:textFill>
              </w:rPr>
              <w:t>，在封面上注明“（公司名称）投标电子版”，</w:t>
            </w:r>
            <w:r>
              <w:rPr>
                <w:color w:val="000000" w:themeColor="text1"/>
                <w:szCs w:val="21"/>
                <w:highlight w:val="none"/>
                <w14:textFill>
                  <w14:solidFill>
                    <w14:schemeClr w14:val="tx1"/>
                  </w14:solidFill>
                </w14:textFill>
              </w:rPr>
              <w:t>所有</w:t>
            </w:r>
            <w:r>
              <w:rPr>
                <w:rFonts w:hint="eastAsia"/>
                <w:color w:val="000000" w:themeColor="text1"/>
                <w:szCs w:val="21"/>
                <w:highlight w:val="none"/>
                <w14:textFill>
                  <w14:solidFill>
                    <w14:schemeClr w14:val="tx1"/>
                  </w14:solidFill>
                </w14:textFill>
              </w:rPr>
              <w:t>谈判</w:t>
            </w:r>
            <w:r>
              <w:rPr>
                <w:color w:val="000000" w:themeColor="text1"/>
                <w:szCs w:val="21"/>
                <w:highlight w:val="none"/>
                <w14:textFill>
                  <w14:solidFill>
                    <w14:schemeClr w14:val="tx1"/>
                  </w14:solidFill>
                </w14:textFill>
              </w:rPr>
              <w:t>文件密封袋的封口处应加盖投标人</w:t>
            </w:r>
            <w:r>
              <w:rPr>
                <w:rFonts w:hint="eastAsia"/>
                <w:color w:val="000000" w:themeColor="text1"/>
                <w:szCs w:val="21"/>
                <w:highlight w:val="none"/>
                <w14:textFill>
                  <w14:solidFill>
                    <w14:schemeClr w14:val="tx1"/>
                  </w14:solidFill>
                </w14:textFill>
              </w:rPr>
              <w:t>公章或密封章。</w:t>
            </w:r>
          </w:p>
          <w:p>
            <w:pPr>
              <w:spacing w:line="360" w:lineRule="exact"/>
              <w:jc w:val="left"/>
              <w:rPr>
                <w:rFonts w:ascii="宋体" w:hAnsi="宋体"/>
                <w:b/>
                <w:color w:val="000000" w:themeColor="text1"/>
                <w:szCs w:val="21"/>
                <w:highlight w:val="none"/>
                <w:shd w:val="pct10" w:color="auto" w:fill="FFFFFF"/>
                <w14:textFill>
                  <w14:solidFill>
                    <w14:schemeClr w14:val="tx1"/>
                  </w14:solidFill>
                </w14:textFill>
              </w:rPr>
            </w:pPr>
            <w:r>
              <w:rPr>
                <w:rFonts w:hint="eastAsia"/>
                <w:b/>
                <w:color w:val="000000" w:themeColor="text1"/>
                <w:szCs w:val="21"/>
                <w:highlight w:val="none"/>
                <w14:textFill>
                  <w14:solidFill>
                    <w14:schemeClr w14:val="tx1"/>
                  </w14:solidFill>
                </w14:textFill>
              </w:rPr>
              <w:t>正本</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 xml:space="preserve"> 副本</w:t>
            </w:r>
            <w:r>
              <w:rPr>
                <w:rFonts w:ascii="宋体" w:hAnsi="宋体"/>
                <w:b/>
                <w:bCs/>
                <w:color w:val="000000" w:themeColor="text1"/>
                <w:highlight w:val="none"/>
                <w:u w:val="single"/>
                <w14:textFill>
                  <w14:solidFill>
                    <w14:schemeClr w14:val="tx1"/>
                  </w14:solidFill>
                </w14:textFill>
              </w:rPr>
              <w:t>2</w:t>
            </w:r>
            <w:r>
              <w:rPr>
                <w:rFonts w:hint="eastAsia" w:ascii="宋体" w:hAnsi="宋体"/>
                <w:b/>
                <w:bCs/>
                <w:color w:val="000000" w:themeColor="text1"/>
                <w:highlight w:val="none"/>
                <w14:textFill>
                  <w14:solidFill>
                    <w14:schemeClr w14:val="tx1"/>
                  </w14:solidFill>
                </w14:textFill>
              </w:rPr>
              <w:t>份,</w:t>
            </w:r>
            <w:r>
              <w:rPr>
                <w:rFonts w:hint="eastAsia"/>
                <w:b/>
                <w:color w:val="000000" w:themeColor="text1"/>
                <w:szCs w:val="21"/>
                <w:highlight w:val="none"/>
                <w14:textFill>
                  <w14:solidFill>
                    <w14:schemeClr w14:val="tx1"/>
                  </w14:solidFill>
                </w14:textFill>
              </w:rPr>
              <w:t>电子文件</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为了方便唱标，投标人在递交谈判文件的同时，向代理采购机构提交包含“第一次报价一览表”、“投标保证金”、“分项报价表”、“保证金退付书”</w:t>
            </w:r>
            <w:r>
              <w:rPr>
                <w:rFonts w:hint="eastAsia" w:ascii="宋体" w:hAnsi="宋体"/>
                <w:color w:val="000000" w:themeColor="text1"/>
                <w:szCs w:val="21"/>
                <w:highlight w:val="none"/>
                <w14:textFill>
                  <w14:solidFill>
                    <w14:schemeClr w14:val="tx1"/>
                  </w14:solidFill>
                </w14:textFill>
              </w:rPr>
              <w:t>、“法定代表人（负责人）证明书”</w:t>
            </w:r>
            <w:r>
              <w:rPr>
                <w:rFonts w:hint="eastAsia"/>
                <w:color w:val="000000" w:themeColor="text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w:t>
            </w:r>
            <w:r>
              <w:rPr>
                <w:rFonts w:hint="eastAsia" w:ascii="宋体" w:hAnsi="宋体"/>
                <w:color w:val="000000" w:themeColor="text1"/>
                <w:szCs w:val="21"/>
                <w:highlight w:val="none"/>
                <w14:textFill>
                  <w14:solidFill>
                    <w14:schemeClr w14:val="tx1"/>
                  </w14:solidFill>
                </w14:textFill>
              </w:rPr>
              <w:t>”</w:t>
            </w:r>
            <w:r>
              <w:rPr>
                <w:rFonts w:hint="eastAsia"/>
                <w:color w:val="000000" w:themeColor="text1"/>
                <w:highlight w:val="none"/>
                <w14:textFill>
                  <w14:solidFill>
                    <w14:schemeClr w14:val="tx1"/>
                  </w14:solidFill>
                </w14:textFill>
              </w:rPr>
              <w:t>的密封袋，</w:t>
            </w:r>
            <w:r>
              <w:rPr>
                <w:rFonts w:hint="eastAsia"/>
                <w:color w:val="000000" w:themeColor="text1"/>
                <w:szCs w:val="21"/>
                <w:highlight w:val="none"/>
                <w14:textFill>
                  <w14:solidFill>
                    <w14:schemeClr w14:val="tx1"/>
                  </w14:solidFill>
                </w14:textFill>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每一密封信封上均注明“于</w:t>
            </w:r>
            <w:r>
              <w:rPr>
                <w:rFonts w:hint="eastAsia" w:ascii="宋体"/>
                <w:bCs/>
                <w:color w:val="000000" w:themeColor="text1"/>
                <w:highlight w:val="none"/>
                <w:u w:val="single"/>
                <w14:textFill>
                  <w14:solidFill>
                    <w14:schemeClr w14:val="tx1"/>
                  </w14:solidFill>
                </w14:textFill>
              </w:rPr>
              <w:t xml:space="preserve">     （谈判截止时间）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投标人未按上述规定对谈判文件进行密封和加写标记，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pStyle w:val="8"/>
              <w:tabs>
                <w:tab w:val="left" w:pos="26"/>
              </w:tabs>
              <w:autoSpaceDE w:val="0"/>
              <w:autoSpaceDN w:val="0"/>
              <w:adjustRightInd w:val="0"/>
              <w:ind w:left="26" w:firstLine="0"/>
              <w:textAlignment w:val="baseline"/>
              <w:rPr>
                <w:bCs/>
                <w:color w:val="000000" w:themeColor="text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谈判文件中打“★”号条款必须实质性响应，负偏离（不满足要求）将导致谈判无效。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4</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005" w:type="dxa"/>
            <w:vMerge w:val="restart"/>
            <w:tcBorders>
              <w:top w:val="single" w:color="auto" w:sz="4" w:space="0"/>
              <w:left w:val="single" w:color="auto" w:sz="4" w:space="0"/>
              <w:right w:val="single" w:color="auto" w:sz="4" w:space="0"/>
            </w:tcBorders>
            <w:vAlign w:val="center"/>
          </w:tcPr>
          <w:p>
            <w:pPr>
              <w:spacing w:line="400" w:lineRule="exact"/>
              <w:rPr>
                <w:rFonts w:ascii="宋体"/>
                <w:bCs/>
                <w:color w:val="000000" w:themeColor="text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357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left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3005" w:type="dxa"/>
            <w:vMerge w:val="continue"/>
            <w:tcBorders>
              <w:left w:val="single" w:color="auto" w:sz="4" w:space="0"/>
              <w:right w:val="single" w:color="auto" w:sz="4" w:space="0"/>
            </w:tcBorders>
            <w:vAlign w:val="center"/>
          </w:tcPr>
          <w:p>
            <w:pPr>
              <w:spacing w:line="400" w:lineRule="exact"/>
              <w:rPr>
                <w:rFonts w:ascii="宋体"/>
                <w:bCs/>
                <w:color w:val="000000" w:themeColor="text1"/>
                <w:highlight w:val="none"/>
                <w14:textFill>
                  <w14:solidFill>
                    <w14:schemeClr w14:val="tx1"/>
                  </w14:solidFill>
                </w14:textFill>
              </w:rPr>
            </w:pPr>
          </w:p>
        </w:tc>
        <w:tc>
          <w:tcPr>
            <w:tcW w:w="3573" w:type="dxa"/>
            <w:tcBorders>
              <w:top w:val="single" w:color="auto" w:sz="4" w:space="0"/>
              <w:left w:val="single" w:color="auto" w:sz="4" w:space="0"/>
              <w:right w:val="single" w:color="auto" w:sz="4" w:space="0"/>
            </w:tcBorders>
            <w:vAlign w:val="center"/>
          </w:tcPr>
          <w:p>
            <w:pPr>
              <w:spacing w:line="400" w:lineRule="exact"/>
              <w:rPr>
                <w:rFonts w:ascii="宋体"/>
                <w:bCs/>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rPr>
          <w:color w:val="000000" w:themeColor="text1"/>
          <w:highlight w:val="none"/>
          <w14:textFill>
            <w14:solidFill>
              <w14:schemeClr w14:val="tx1"/>
            </w14:solidFill>
          </w14:textFill>
        </w:rPr>
      </w:pPr>
    </w:p>
    <w:bookmarkEnd w:id="2"/>
    <w:bookmarkEnd w:id="3"/>
    <w:bookmarkEnd w:id="4"/>
    <w:bookmarkEnd w:id="5"/>
    <w:bookmarkEnd w:id="6"/>
    <w:bookmarkEnd w:id="7"/>
    <w:bookmarkEnd w:id="8"/>
    <w:p>
      <w:pPr>
        <w:spacing w:line="360" w:lineRule="auto"/>
        <w:rPr>
          <w:rFonts w:ascii="宋体" w:hAnsi="宋体"/>
          <w:b/>
          <w:color w:val="000000" w:themeColor="text1"/>
          <w:szCs w:val="21"/>
          <w:highlight w:val="none"/>
          <w14:textFill>
            <w14:solidFill>
              <w14:schemeClr w14:val="tx1"/>
            </w14:solidFill>
          </w14:textFill>
        </w:rPr>
      </w:pPr>
      <w:bookmarkStart w:id="110" w:name="_Toc367780303"/>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Ａ  说  明</w:t>
      </w:r>
      <w:bookmarkEnd w:id="110"/>
    </w:p>
    <w:p>
      <w:pPr>
        <w:pStyle w:val="4"/>
        <w:spacing w:line="360" w:lineRule="auto"/>
        <w:rPr>
          <w:rFonts w:ascii="宋体" w:hAnsi="宋体"/>
          <w:color w:val="000000" w:themeColor="text1"/>
          <w:sz w:val="21"/>
          <w:szCs w:val="21"/>
          <w:highlight w:val="none"/>
          <w14:textFill>
            <w14:solidFill>
              <w14:schemeClr w14:val="tx1"/>
            </w14:solidFill>
          </w14:textFill>
        </w:rPr>
      </w:pPr>
      <w:bookmarkStart w:id="111" w:name="_Toc31352"/>
      <w:bookmarkStart w:id="112" w:name="_Toc367780304"/>
      <w:r>
        <w:rPr>
          <w:rFonts w:ascii="宋体" w:hAnsi="宋体"/>
          <w:color w:val="000000" w:themeColor="text1"/>
          <w:sz w:val="21"/>
          <w:szCs w:val="21"/>
          <w:highlight w:val="none"/>
          <w14:textFill>
            <w14:solidFill>
              <w14:schemeClr w14:val="tx1"/>
            </w14:solidFill>
          </w14:textFill>
        </w:rPr>
        <w:t>1</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适用范围和资金来源</w:t>
      </w:r>
      <w:bookmarkEnd w:id="111"/>
      <w:bookmarkEnd w:id="112"/>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本谈判文件仅适用于本次竞争性谈判邀请函中所叙述的</w:t>
      </w:r>
      <w:r>
        <w:rPr>
          <w:rFonts w:hint="eastAsia" w:ascii="宋体" w:hAnsi="宋体"/>
          <w:color w:val="000000" w:themeColor="text1"/>
          <w:szCs w:val="21"/>
          <w:highlight w:val="none"/>
          <w:lang w:eastAsia="zh-CN"/>
          <w14:textFill>
            <w14:solidFill>
              <w14:schemeClr w14:val="tx1"/>
            </w14:solidFill>
          </w14:textFill>
        </w:rPr>
        <w:t>阳江市阳春市夏威夷果产业园信息化服务项目</w:t>
      </w:r>
      <w:r>
        <w:rPr>
          <w:rFonts w:hint="eastAsia" w:ascii="宋体" w:hAnsi="宋体"/>
          <w:bCs/>
          <w:color w:val="000000" w:themeColor="text1"/>
          <w:szCs w:val="21"/>
          <w:highlight w:val="none"/>
          <w14:textFill>
            <w14:solidFill>
              <w14:schemeClr w14:val="tx1"/>
            </w14:solidFill>
          </w14:textFill>
        </w:rPr>
        <w:t>。</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本谈判文件有关条款由</w:t>
      </w:r>
      <w:r>
        <w:rPr>
          <w:rFonts w:hint="eastAsia" w:ascii="宋体" w:hAnsi="宋体" w:cs="Tahoma"/>
          <w:color w:val="000000" w:themeColor="text1"/>
          <w:szCs w:val="21"/>
          <w:highlight w:val="none"/>
          <w14:textFill>
            <w14:solidFill>
              <w14:schemeClr w14:val="tx1"/>
            </w14:solidFill>
          </w14:textFill>
        </w:rPr>
        <w:t>代理采购机构</w:t>
      </w:r>
      <w:r>
        <w:rPr>
          <w:rFonts w:hint="eastAsia" w:ascii="宋体" w:hAnsi="宋体"/>
          <w:bCs/>
          <w:color w:val="000000" w:themeColor="text1"/>
          <w:szCs w:val="21"/>
          <w:highlight w:val="none"/>
          <w14:textFill>
            <w14:solidFill>
              <w14:schemeClr w14:val="tx1"/>
            </w14:solidFill>
          </w14:textFill>
        </w:rPr>
        <w:t>负责解释。</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13" w:name="_Toc367780305"/>
      <w:bookmarkStart w:id="114" w:name="_Toc21580"/>
      <w:r>
        <w:rPr>
          <w:rFonts w:ascii="宋体" w:hAnsi="宋体"/>
          <w:color w:val="000000" w:themeColor="text1"/>
          <w:sz w:val="21"/>
          <w:szCs w:val="21"/>
          <w:highlight w:val="none"/>
          <w14:textFill>
            <w14:solidFill>
              <w14:schemeClr w14:val="tx1"/>
            </w14:solidFill>
          </w14:textFill>
        </w:rPr>
        <w:t>2</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定义</w:t>
      </w:r>
      <w:bookmarkEnd w:id="113"/>
      <w:bookmarkEnd w:id="114"/>
    </w:p>
    <w:p>
      <w:pPr>
        <w:widowControl/>
        <w:numPr>
          <w:ilvl w:val="1"/>
          <w:numId w:val="14"/>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“代理采购机构”系指</w:t>
      </w:r>
      <w:r>
        <w:rPr>
          <w:rFonts w:hint="eastAsia" w:ascii="宋体" w:hAnsi="宋体"/>
          <w:bCs/>
          <w:color w:val="000000" w:themeColor="text1"/>
          <w:szCs w:val="21"/>
          <w:highlight w:val="none"/>
          <w:lang w:eastAsia="zh-CN"/>
          <w14:textFill>
            <w14:solidFill>
              <w14:schemeClr w14:val="tx1"/>
            </w14:solidFill>
          </w14:textFill>
        </w:rPr>
        <w:t>广东业信招标有限公司</w:t>
      </w:r>
      <w:r>
        <w:rPr>
          <w:rFonts w:hint="eastAsia" w:ascii="宋体" w:hAnsi="宋体"/>
          <w:bCs/>
          <w:color w:val="000000" w:themeColor="text1"/>
          <w:szCs w:val="21"/>
          <w:highlight w:val="none"/>
          <w14:textFill>
            <w14:solidFill>
              <w14:schemeClr w14:val="tx1"/>
            </w14:solidFill>
          </w14:textFill>
        </w:rPr>
        <w:t>。</w:t>
      </w:r>
    </w:p>
    <w:p>
      <w:pPr>
        <w:widowControl/>
        <w:numPr>
          <w:ilvl w:val="1"/>
          <w:numId w:val="14"/>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“供应商”系指符合谈判文件合格供应商资格要求，并按谈判文件规定提交谈判响应文件的供应商。</w:t>
      </w:r>
    </w:p>
    <w:p>
      <w:pPr>
        <w:widowControl/>
        <w:numPr>
          <w:ilvl w:val="1"/>
          <w:numId w:val="14"/>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“采购人”系指</w:t>
      </w:r>
      <w:r>
        <w:rPr>
          <w:rFonts w:hint="eastAsia" w:ascii="宋体" w:hAnsi="宋体"/>
          <w:bCs/>
          <w:color w:val="000000" w:themeColor="text1"/>
          <w:szCs w:val="21"/>
          <w:highlight w:val="none"/>
          <w:lang w:eastAsia="zh-CN"/>
          <w14:textFill>
            <w14:solidFill>
              <w14:schemeClr w14:val="tx1"/>
            </w14:solidFill>
          </w14:textFill>
        </w:rPr>
        <w:t>广东澳盛农业科技发展有限公司</w:t>
      </w:r>
      <w:r>
        <w:rPr>
          <w:rFonts w:hint="eastAsia" w:ascii="宋体" w:hAnsi="宋体"/>
          <w:bCs/>
          <w:color w:val="000000" w:themeColor="text1"/>
          <w:szCs w:val="21"/>
          <w:highlight w:val="none"/>
          <w14:textFill>
            <w14:solidFill>
              <w14:schemeClr w14:val="tx1"/>
            </w14:solidFill>
          </w14:textFill>
        </w:rPr>
        <w:t>，即项目采购用户方。</w:t>
      </w:r>
    </w:p>
    <w:p>
      <w:pPr>
        <w:widowControl/>
        <w:numPr>
          <w:ilvl w:val="1"/>
          <w:numId w:val="14"/>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货物</w:t>
      </w:r>
      <w:r>
        <w:rPr>
          <w:rFonts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系指投标供应商根据谈判文件规定，须向采购人提供的货物、材料、备品备件、工具、使用手册及有关技术资料等。</w:t>
      </w:r>
    </w:p>
    <w:p>
      <w:pPr>
        <w:widowControl/>
        <w:numPr>
          <w:ilvl w:val="1"/>
          <w:numId w:val="14"/>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“服务”系指谈判文件规定卖方须承担与实施本项目有关的伴随服务，包括但不限于运输、设计、装卸、安装、调试、技术支持、售后服务等义务和合同中规定卖方应承担的其它义务。</w:t>
      </w:r>
    </w:p>
    <w:p>
      <w:pPr>
        <w:widowControl/>
        <w:numPr>
          <w:ilvl w:val="1"/>
          <w:numId w:val="14"/>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“天”是指日历天。</w:t>
      </w:r>
    </w:p>
    <w:p>
      <w:pPr>
        <w:widowControl/>
        <w:numPr>
          <w:ilvl w:val="1"/>
          <w:numId w:val="14"/>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“工作日”系指国家规定除法定节假日以外的以日</w:t>
      </w:r>
      <w:r>
        <w:rPr>
          <w:rFonts w:ascii="宋体" w:hAnsi="宋体"/>
          <w:bCs/>
          <w:color w:val="000000" w:themeColor="text1"/>
          <w:szCs w:val="21"/>
          <w:highlight w:val="none"/>
          <w14:textFill>
            <w14:solidFill>
              <w14:schemeClr w14:val="tx1"/>
            </w14:solidFill>
          </w14:textFill>
        </w:rPr>
        <w:t>为计算单位的工作时间</w:t>
      </w:r>
      <w:r>
        <w:rPr>
          <w:rFonts w:hint="eastAsia" w:ascii="宋体" w:hAnsi="宋体"/>
          <w:bCs/>
          <w:color w:val="000000" w:themeColor="text1"/>
          <w:szCs w:val="21"/>
          <w:highlight w:val="none"/>
          <w14:textFill>
            <w14:solidFill>
              <w14:schemeClr w14:val="tx1"/>
            </w14:solidFill>
          </w14:textFill>
        </w:rPr>
        <w:t>。</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15" w:name="_Toc3866"/>
      <w:bookmarkStart w:id="116" w:name="_Toc367780306"/>
      <w:r>
        <w:rPr>
          <w:rFonts w:ascii="宋体" w:hAnsi="宋体"/>
          <w:color w:val="000000" w:themeColor="text1"/>
          <w:sz w:val="21"/>
          <w:szCs w:val="21"/>
          <w:highlight w:val="none"/>
          <w14:textFill>
            <w14:solidFill>
              <w14:schemeClr w14:val="tx1"/>
            </w14:solidFill>
          </w14:textFill>
        </w:rPr>
        <w:t>3</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合格的供应商</w:t>
      </w:r>
      <w:bookmarkEnd w:id="115"/>
      <w:bookmarkEnd w:id="116"/>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3.1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凡具有供应能力，符合并承认和履行本谈判文件中各项规定者为合格的供应商。</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3.2</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供应商必须遵守国家有关规定和其他相关的法律、法规、规章、条例及谈判文件中的规定。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rFonts w:ascii="宋体" w:hAnsi="宋体"/>
          <w:bCs/>
          <w:color w:val="000000" w:themeColor="text1"/>
          <w:szCs w:val="21"/>
          <w:highlight w:val="none"/>
          <w14:textFill>
            <w14:solidFill>
              <w14:schemeClr w14:val="tx1"/>
            </w14:solidFill>
          </w14:textFill>
        </w:rPr>
        <w:t>专门面向中小微企业采购的项目，只能由中小企业或微型企业参加。</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17" w:name="_Toc20417"/>
      <w:bookmarkStart w:id="118" w:name="_Toc367780307"/>
      <w:r>
        <w:rPr>
          <w:rFonts w:ascii="宋体" w:hAnsi="宋体"/>
          <w:color w:val="000000" w:themeColor="text1"/>
          <w:sz w:val="21"/>
          <w:szCs w:val="21"/>
          <w:highlight w:val="none"/>
          <w14:textFill>
            <w14:solidFill>
              <w14:schemeClr w14:val="tx1"/>
            </w14:solidFill>
          </w14:textFill>
        </w:rPr>
        <w:t>4</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谈判费用</w:t>
      </w:r>
      <w:bookmarkEnd w:id="117"/>
      <w:bookmarkEnd w:id="118"/>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4.1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自行承担所有与准备和参加谈判有关的费用。无论谈判结果如何，响应谈判的投标供应商自行承担参与本项目投标有关的所有费用，代理采购机构和采购人均无义务和责任承担这些费用。供应商所提供的谈判文件等在接收谈判文件截止时间后概不退回。</w:t>
      </w:r>
    </w:p>
    <w:p>
      <w:pPr>
        <w:pStyle w:val="3"/>
        <w:numPr>
          <w:ilvl w:val="1"/>
          <w:numId w:val="0"/>
        </w:numPr>
        <w:spacing w:before="240" w:after="240" w:line="360" w:lineRule="auto"/>
        <w:rPr>
          <w:rFonts w:ascii="宋体" w:hAnsi="宋体" w:eastAsia="宋体"/>
          <w:color w:val="000000" w:themeColor="text1"/>
          <w:sz w:val="21"/>
          <w:szCs w:val="21"/>
          <w:highlight w:val="none"/>
          <w14:textFill>
            <w14:solidFill>
              <w14:schemeClr w14:val="tx1"/>
            </w14:solidFill>
          </w14:textFill>
        </w:rPr>
      </w:pPr>
      <w:bookmarkStart w:id="119" w:name="_Toc367780308"/>
      <w:bookmarkStart w:id="120" w:name="_Toc7364"/>
      <w:r>
        <w:rPr>
          <w:rFonts w:hint="eastAsia" w:ascii="宋体" w:hAnsi="宋体" w:eastAsia="宋体"/>
          <w:color w:val="000000" w:themeColor="text1"/>
          <w:sz w:val="21"/>
          <w:szCs w:val="21"/>
          <w:highlight w:val="none"/>
          <w14:textFill>
            <w14:solidFill>
              <w14:schemeClr w14:val="tx1"/>
            </w14:solidFill>
          </w14:textFill>
        </w:rPr>
        <w:t>Ｂ谈判文件说明</w:t>
      </w:r>
      <w:bookmarkEnd w:id="119"/>
      <w:bookmarkEnd w:id="120"/>
    </w:p>
    <w:p>
      <w:pPr>
        <w:pStyle w:val="4"/>
        <w:spacing w:line="360" w:lineRule="auto"/>
        <w:rPr>
          <w:rFonts w:ascii="宋体" w:hAnsi="宋体"/>
          <w:color w:val="000000" w:themeColor="text1"/>
          <w:sz w:val="21"/>
          <w:szCs w:val="21"/>
          <w:highlight w:val="none"/>
          <w14:textFill>
            <w14:solidFill>
              <w14:schemeClr w14:val="tx1"/>
            </w14:solidFill>
          </w14:textFill>
        </w:rPr>
      </w:pPr>
      <w:bookmarkStart w:id="121" w:name="_Toc367780309"/>
      <w:bookmarkStart w:id="122" w:name="_Toc8772"/>
      <w:r>
        <w:rPr>
          <w:rFonts w:ascii="宋体" w:hAnsi="宋体"/>
          <w:color w:val="000000" w:themeColor="text1"/>
          <w:sz w:val="21"/>
          <w:szCs w:val="21"/>
          <w:highlight w:val="none"/>
          <w14:textFill>
            <w14:solidFill>
              <w14:schemeClr w14:val="tx1"/>
            </w14:solidFill>
          </w14:textFill>
        </w:rPr>
        <w:t>5</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谈判文件的构成</w:t>
      </w:r>
      <w:bookmarkEnd w:id="121"/>
      <w:bookmarkEnd w:id="122"/>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5.1</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谈判文件用以阐明所需货物及服务、谈判程序、合同条款及相关附件。谈判文件由下述部分组成：</w:t>
      </w:r>
    </w:p>
    <w:p>
      <w:pPr>
        <w:widowControl/>
        <w:tabs>
          <w:tab w:val="left" w:pos="753"/>
        </w:tabs>
        <w:adjustRightInd w:val="0"/>
        <w:snapToGrid w:val="0"/>
        <w:spacing w:line="360" w:lineRule="auto"/>
        <w:ind w:left="1445" w:leftChars="448" w:hanging="504"/>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第一部分  竞争性谈判邀请函</w:t>
      </w:r>
    </w:p>
    <w:p>
      <w:pPr>
        <w:widowControl/>
        <w:tabs>
          <w:tab w:val="left" w:pos="753"/>
        </w:tabs>
        <w:adjustRightInd w:val="0"/>
        <w:snapToGrid w:val="0"/>
        <w:spacing w:line="360" w:lineRule="auto"/>
        <w:ind w:left="1445" w:leftChars="448" w:hanging="504"/>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第三部分  报价须知</w:t>
      </w:r>
    </w:p>
    <w:p>
      <w:pPr>
        <w:widowControl/>
        <w:tabs>
          <w:tab w:val="left" w:pos="753"/>
        </w:tabs>
        <w:adjustRightInd w:val="0"/>
        <w:snapToGrid w:val="0"/>
        <w:spacing w:line="360" w:lineRule="auto"/>
        <w:ind w:left="1445" w:leftChars="448" w:hanging="504"/>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第四部分  合同书格式（参考范本）</w:t>
      </w:r>
    </w:p>
    <w:p>
      <w:pPr>
        <w:widowControl/>
        <w:tabs>
          <w:tab w:val="left" w:pos="753"/>
        </w:tabs>
        <w:adjustRightInd w:val="0"/>
        <w:snapToGrid w:val="0"/>
        <w:spacing w:line="360" w:lineRule="auto"/>
        <w:ind w:left="1445" w:leftChars="448" w:hanging="504"/>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第五部分  谈判文件格式</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5.2</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谈判文件以中文编印。</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23" w:name="_Toc367780310"/>
      <w:bookmarkStart w:id="124" w:name="_Toc16347"/>
      <w:r>
        <w:rPr>
          <w:rFonts w:ascii="宋体" w:hAnsi="宋体"/>
          <w:color w:val="000000" w:themeColor="text1"/>
          <w:sz w:val="21"/>
          <w:szCs w:val="21"/>
          <w:highlight w:val="none"/>
          <w14:textFill>
            <w14:solidFill>
              <w14:schemeClr w14:val="tx1"/>
            </w14:solidFill>
          </w14:textFill>
        </w:rPr>
        <w:t>6</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谈判文件的澄清</w:t>
      </w:r>
      <w:bookmarkEnd w:id="123"/>
      <w:bookmarkEnd w:id="124"/>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6.1</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澄清是指代理采购机构对谈判文件中的遗漏、词义表述不清或对比较复杂的事项进行说明，回答供应商提出的各种问题。</w:t>
      </w:r>
    </w:p>
    <w:p>
      <w:pPr>
        <w:widowControl/>
        <w:numPr>
          <w:ilvl w:val="1"/>
          <w:numId w:val="15"/>
        </w:numPr>
        <w:tabs>
          <w:tab w:val="left" w:pos="753"/>
          <w:tab w:val="clear" w:pos="360"/>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对谈判文件如有疑点，可要求澄清。供应商应在投标截止日三（3）个日历日前按竞争性谈判邀请书中载明的地址以书面形式（包括信函、传真、电子邮件等，下同）通知到代理采购机构。代理采购机构将视情况确定采用适当方式予以澄清，或以书面形式予以答复，并在其认为必要时，将不标明查询来源的书面答复发给已购买谈判文件的每一供应商，供应商在收到通知后应立即以传真或其他书面形式予以确认收到。</w:t>
      </w:r>
    </w:p>
    <w:p>
      <w:pPr>
        <w:widowControl/>
        <w:numPr>
          <w:ilvl w:val="1"/>
          <w:numId w:val="15"/>
        </w:numPr>
        <w:tabs>
          <w:tab w:val="left" w:pos="753"/>
          <w:tab w:val="clear" w:pos="360"/>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代理采购机构对澄清要求的书面答复是谈判文件的组成部分。</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25" w:name="_Toc367780311"/>
      <w:bookmarkStart w:id="126" w:name="_Toc16840"/>
      <w:r>
        <w:rPr>
          <w:rFonts w:ascii="宋体" w:hAnsi="宋体"/>
          <w:color w:val="000000" w:themeColor="text1"/>
          <w:sz w:val="21"/>
          <w:szCs w:val="21"/>
          <w:highlight w:val="none"/>
          <w14:textFill>
            <w14:solidFill>
              <w14:schemeClr w14:val="tx1"/>
            </w14:solidFill>
          </w14:textFill>
        </w:rPr>
        <w:t>7</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谈判文件的修改</w:t>
      </w:r>
      <w:bookmarkEnd w:id="125"/>
      <w:bookmarkEnd w:id="126"/>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7.1</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在谈判截止日期前，代理采购机构可主动地或依据供应商要求澄清的问题而修改谈判文件，并以书面形式通知已购买谈判文件的每一供应商，供应商在收到该通知后应立即以传真或其他书面形式予以确认。</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7.2</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为使供应商在准备谈判文件时有合理的时间考虑谈判文件的修改，代理采购机构可酌情推迟谈判时间，并以书面形式通知已购买谈判文件的每一供应商。</w:t>
      </w:r>
    </w:p>
    <w:p>
      <w:pPr>
        <w:widowControl/>
        <w:numPr>
          <w:ilvl w:val="1"/>
          <w:numId w:val="16"/>
        </w:numPr>
        <w:tabs>
          <w:tab w:val="left" w:pos="753"/>
          <w:tab w:val="clear" w:pos="360"/>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谈判文件的修改书将构成谈判文件的一部分，对供应商有约束力。</w:t>
      </w:r>
    </w:p>
    <w:p>
      <w:pPr>
        <w:pStyle w:val="3"/>
        <w:numPr>
          <w:ilvl w:val="1"/>
          <w:numId w:val="0"/>
        </w:numPr>
        <w:spacing w:before="240" w:after="240" w:line="360" w:lineRule="auto"/>
        <w:rPr>
          <w:rFonts w:ascii="宋体" w:hAnsi="宋体" w:eastAsia="宋体"/>
          <w:color w:val="000000" w:themeColor="text1"/>
          <w:sz w:val="21"/>
          <w:szCs w:val="21"/>
          <w:highlight w:val="none"/>
          <w14:textFill>
            <w14:solidFill>
              <w14:schemeClr w14:val="tx1"/>
            </w14:solidFill>
          </w14:textFill>
        </w:rPr>
      </w:pPr>
      <w:bookmarkStart w:id="127" w:name="_Toc15640"/>
      <w:bookmarkStart w:id="128" w:name="_Toc367780312"/>
      <w:r>
        <w:rPr>
          <w:rFonts w:hint="eastAsia" w:ascii="宋体" w:hAnsi="宋体" w:eastAsia="宋体"/>
          <w:color w:val="000000" w:themeColor="text1"/>
          <w:sz w:val="21"/>
          <w:szCs w:val="21"/>
          <w:highlight w:val="none"/>
          <w14:textFill>
            <w14:solidFill>
              <w14:schemeClr w14:val="tx1"/>
            </w14:solidFill>
          </w14:textFill>
        </w:rPr>
        <w:t>Ｃ谈判文件的编制</w:t>
      </w:r>
      <w:bookmarkEnd w:id="127"/>
      <w:bookmarkEnd w:id="128"/>
    </w:p>
    <w:p>
      <w:pPr>
        <w:pStyle w:val="4"/>
        <w:spacing w:line="360" w:lineRule="auto"/>
        <w:rPr>
          <w:rFonts w:ascii="宋体" w:hAnsi="宋体"/>
          <w:color w:val="000000" w:themeColor="text1"/>
          <w:sz w:val="21"/>
          <w:szCs w:val="21"/>
          <w:highlight w:val="none"/>
          <w14:textFill>
            <w14:solidFill>
              <w14:schemeClr w14:val="tx1"/>
            </w14:solidFill>
          </w14:textFill>
        </w:rPr>
      </w:pPr>
      <w:bookmarkStart w:id="129" w:name="_Toc21582"/>
      <w:bookmarkStart w:id="130" w:name="_Toc367780313"/>
      <w:r>
        <w:rPr>
          <w:rFonts w:hint="eastAsia" w:ascii="宋体" w:hAnsi="宋体"/>
          <w:color w:val="000000" w:themeColor="text1"/>
          <w:sz w:val="21"/>
          <w:szCs w:val="21"/>
          <w:highlight w:val="none"/>
          <w14:textFill>
            <w14:solidFill>
              <w14:schemeClr w14:val="tx1"/>
            </w14:solidFill>
          </w14:textFill>
        </w:rPr>
        <w:t>8</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要求</w:t>
      </w:r>
      <w:bookmarkEnd w:id="129"/>
      <w:bookmarkEnd w:id="130"/>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8.1</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供应商应仔细阅读谈判文件的所有内容，按谈判文件的要求编制谈判文件，并保证所提供的全部资料的真实性，以使其投标对谈判文件提出的要求和条件做出实质性响应，否则，其投标将被拒绝。</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31" w:name="_Toc3560"/>
      <w:bookmarkStart w:id="132" w:name="_Toc367780314"/>
      <w:r>
        <w:rPr>
          <w:rFonts w:ascii="宋体" w:hAnsi="宋体"/>
          <w:color w:val="000000" w:themeColor="text1"/>
          <w:sz w:val="21"/>
          <w:szCs w:val="21"/>
          <w:highlight w:val="none"/>
          <w14:textFill>
            <w14:solidFill>
              <w14:schemeClr w14:val="tx1"/>
            </w14:solidFill>
          </w14:textFill>
        </w:rPr>
        <w:t>9</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投标语言及计量单位</w:t>
      </w:r>
      <w:bookmarkEnd w:id="131"/>
      <w:bookmarkEnd w:id="132"/>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9.1</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供应商提交的谈判文件（包括资格证明文件）以及供应商与代理采购机构就有关谈判的所有往来函电均应使用中文。供应商可以提交用其它语言打印的资料，但有关段落必须译成中文。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9.2</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除在谈判文件的技术规格中另有规定外，计量单位应使用中华人民共和国法定计量单位（国际单位制和国家选定的其他计量单位）。</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33" w:name="_Toc21336"/>
      <w:bookmarkStart w:id="134" w:name="_Toc367780315"/>
      <w:r>
        <w:rPr>
          <w:rFonts w:ascii="宋体" w:hAnsi="宋体"/>
          <w:color w:val="000000" w:themeColor="text1"/>
          <w:sz w:val="21"/>
          <w:szCs w:val="21"/>
          <w:highlight w:val="none"/>
          <w14:textFill>
            <w14:solidFill>
              <w14:schemeClr w14:val="tx1"/>
            </w14:solidFill>
          </w14:textFill>
        </w:rPr>
        <w:t>10</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谈判文件的构成</w:t>
      </w:r>
      <w:bookmarkEnd w:id="133"/>
      <w:bookmarkEnd w:id="134"/>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10.1</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谈判文件包括：</w:t>
      </w:r>
    </w:p>
    <w:p>
      <w:pPr>
        <w:widowControl/>
        <w:numPr>
          <w:ilvl w:val="0"/>
          <w:numId w:val="17"/>
        </w:numPr>
        <w:adjustRightInd w:val="0"/>
        <w:snapToGrid w:val="0"/>
        <w:spacing w:line="360" w:lineRule="auto"/>
        <w:ind w:left="0" w:firstLine="840" w:firstLineChars="4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资格审查文件（含附件）</w:t>
      </w:r>
    </w:p>
    <w:p>
      <w:pPr>
        <w:widowControl/>
        <w:numPr>
          <w:ilvl w:val="0"/>
          <w:numId w:val="17"/>
        </w:numPr>
        <w:adjustRightInd w:val="0"/>
        <w:snapToGrid w:val="0"/>
        <w:spacing w:line="360" w:lineRule="auto"/>
        <w:ind w:left="0" w:firstLine="840" w:firstLineChars="4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谈判响应文件商务及技术部分</w:t>
      </w:r>
    </w:p>
    <w:p>
      <w:pPr>
        <w:widowControl/>
        <w:adjustRightInd w:val="0"/>
        <w:snapToGrid w:val="0"/>
        <w:spacing w:line="360" w:lineRule="auto"/>
        <w:ind w:left="565" w:leftChars="269" w:firstLine="315" w:firstLineChars="150"/>
        <w:jc w:val="lef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上述文件及表格为供应商必须提交的文件，各供应商可以根据实际情况增加内容，但不得擅自减少有关内容。</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35" w:name="_Toc7293"/>
      <w:bookmarkStart w:id="136" w:name="_Toc367780316"/>
      <w:r>
        <w:rPr>
          <w:rFonts w:ascii="宋体" w:hAnsi="宋体"/>
          <w:color w:val="000000" w:themeColor="text1"/>
          <w:sz w:val="21"/>
          <w:szCs w:val="21"/>
          <w:highlight w:val="none"/>
          <w14:textFill>
            <w14:solidFill>
              <w14:schemeClr w14:val="tx1"/>
            </w14:solidFill>
          </w14:textFill>
        </w:rPr>
        <w:t>11</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谈判响应文件格式</w:t>
      </w:r>
      <w:bookmarkEnd w:id="135"/>
      <w:bookmarkEnd w:id="136"/>
    </w:p>
    <w:p>
      <w:p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11.1</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供应商应按照谈判文件中提供的谈判响应文件格式编制谈判响应文件（详见第五部分）。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11.2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供应商应完整地填写谈判文件提供的各种表格，若谈判为工程类或服务类项目的，谈判响应文件中涉及货物的技术参数等可不填写。</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37" w:name="_Toc367780317"/>
      <w:bookmarkStart w:id="138" w:name="_Toc25632"/>
      <w:r>
        <w:rPr>
          <w:rFonts w:hint="eastAsia" w:ascii="宋体" w:hAnsi="宋体"/>
          <w:color w:val="000000" w:themeColor="text1"/>
          <w:sz w:val="21"/>
          <w:szCs w:val="21"/>
          <w:highlight w:val="none"/>
          <w14:textFill>
            <w14:solidFill>
              <w14:schemeClr w14:val="tx1"/>
            </w14:solidFill>
          </w14:textFill>
        </w:rPr>
        <w:t>12</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资格证明文件</w:t>
      </w:r>
      <w:bookmarkEnd w:id="137"/>
      <w:bookmarkEnd w:id="138"/>
    </w:p>
    <w:p>
      <w:pPr>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12.1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供应商应当提供的资格证明文件包括:</w:t>
      </w:r>
    </w:p>
    <w:p>
      <w:pPr>
        <w:tabs>
          <w:tab w:val="left" w:pos="753"/>
          <w:tab w:val="left" w:pos="1113"/>
        </w:tabs>
        <w:adjustRightInd w:val="0"/>
        <w:snapToGrid w:val="0"/>
        <w:spacing w:line="360" w:lineRule="auto"/>
        <w:ind w:left="75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1)营业执照副本复印件（加盖公章）；</w:t>
      </w:r>
    </w:p>
    <w:p>
      <w:pPr>
        <w:tabs>
          <w:tab w:val="left" w:pos="753"/>
          <w:tab w:val="left" w:pos="1113"/>
        </w:tabs>
        <w:adjustRightInd w:val="0"/>
        <w:snapToGrid w:val="0"/>
        <w:spacing w:line="360" w:lineRule="auto"/>
        <w:ind w:left="75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2)如果项目有特殊要求，供应商还应当提供商务要求中列明的其他资格证明文件。</w:t>
      </w:r>
    </w:p>
    <w:p>
      <w:pPr>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12.2   供应商提交的资格证明文件应能够证明其有资格参加谈判，并说明被确定为成交供应商后的合同履行能力：</w:t>
      </w:r>
    </w:p>
    <w:p>
      <w:pPr>
        <w:tabs>
          <w:tab w:val="left" w:pos="1255"/>
          <w:tab w:val="left" w:pos="1638"/>
        </w:tabs>
        <w:adjustRightInd w:val="0"/>
        <w:snapToGrid w:val="0"/>
        <w:spacing w:line="360" w:lineRule="auto"/>
        <w:ind w:firstLine="735" w:firstLineChars="3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1)供应商满足谈判文件商务要求中列出的资格要求；</w:t>
      </w:r>
    </w:p>
    <w:p>
      <w:pPr>
        <w:tabs>
          <w:tab w:val="left" w:pos="1255"/>
          <w:tab w:val="left" w:pos="1638"/>
        </w:tabs>
        <w:adjustRightInd w:val="0"/>
        <w:snapToGrid w:val="0"/>
        <w:spacing w:line="360" w:lineRule="auto"/>
        <w:ind w:firstLine="735" w:firstLineChars="3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2)供应商已具备履行合同所需的财务、技术和服务能力；</w:t>
      </w:r>
    </w:p>
    <w:p>
      <w:pPr>
        <w:tabs>
          <w:tab w:val="left" w:pos="1255"/>
          <w:tab w:val="left" w:pos="1638"/>
        </w:tabs>
        <w:adjustRightInd w:val="0"/>
        <w:snapToGrid w:val="0"/>
        <w:spacing w:line="360" w:lineRule="auto"/>
        <w:ind w:firstLine="735" w:firstLineChars="3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3)供应商有能力按谈判文件中合同条款和技术要求所规定履行的由卖方应履行的义务。</w:t>
      </w:r>
    </w:p>
    <w:p>
      <w:pPr>
        <w:numPr>
          <w:ilvl w:val="1"/>
          <w:numId w:val="18"/>
        </w:numPr>
        <w:adjustRightInd w:val="0"/>
        <w:snapToGrid w:val="0"/>
        <w:spacing w:line="360" w:lineRule="auto"/>
        <w:ind w:left="709" w:hanging="709"/>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供应商提交的资格证明文件不齐全，由此造成的谈判被拒绝的后果由供应商自负。</w:t>
      </w:r>
    </w:p>
    <w:p>
      <w:pPr>
        <w:numPr>
          <w:ilvl w:val="1"/>
          <w:numId w:val="18"/>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供应商对所提供的资格证明文件的真实性负全部责任。即使供应商提交的资格证明文件通过了</w:t>
      </w:r>
    </w:p>
    <w:p>
      <w:p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审核，在谈判过程中乃至定标后，如发现供应商所提供的资格证明文件不合法或不真实，代理</w:t>
      </w:r>
    </w:p>
    <w:p>
      <w:p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采购机构仍可追究供应商的法律责任。</w:t>
      </w:r>
    </w:p>
    <w:p>
      <w:pPr>
        <w:numPr>
          <w:ilvl w:val="1"/>
          <w:numId w:val="18"/>
        </w:numPr>
        <w:tabs>
          <w:tab w:val="left" w:pos="753"/>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如果供应商为联合体，则联合体各方应分别提交资格文件，并提供联合体协议书，以一个供应</w:t>
      </w:r>
    </w:p>
    <w:p>
      <w:pPr>
        <w:tabs>
          <w:tab w:val="left" w:pos="753"/>
        </w:tabs>
        <w:adjustRightInd w:val="0"/>
        <w:snapToGrid w:val="0"/>
        <w:spacing w:line="360" w:lineRule="auto"/>
        <w:ind w:left="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商的身份参加谈判。联合体协议须明确各方的权利与义务。由同一专业的单位组成的联合体，</w:t>
      </w:r>
    </w:p>
    <w:p>
      <w:pPr>
        <w:tabs>
          <w:tab w:val="left" w:pos="753"/>
        </w:tabs>
        <w:adjustRightInd w:val="0"/>
        <w:snapToGrid w:val="0"/>
        <w:spacing w:line="360" w:lineRule="auto"/>
        <w:ind w:left="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按照资质等级较低的单位确定资质等级。联合体成交的联合体各方应当共同与采购人签订合同，</w:t>
      </w:r>
    </w:p>
    <w:p>
      <w:pPr>
        <w:tabs>
          <w:tab w:val="left" w:pos="753"/>
        </w:tabs>
        <w:adjustRightInd w:val="0"/>
        <w:snapToGrid w:val="0"/>
        <w:spacing w:line="360" w:lineRule="auto"/>
        <w:ind w:left="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就成交项目向采购人承担共同责任。</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39" w:name="_Toc5555"/>
      <w:bookmarkStart w:id="140" w:name="_Toc367780318"/>
      <w:r>
        <w:rPr>
          <w:rFonts w:hint="eastAsia" w:ascii="宋体" w:hAnsi="宋体"/>
          <w:color w:val="000000" w:themeColor="text1"/>
          <w:sz w:val="21"/>
          <w:szCs w:val="21"/>
          <w:highlight w:val="none"/>
          <w14:textFill>
            <w14:solidFill>
              <w14:schemeClr w14:val="tx1"/>
            </w14:solidFill>
          </w14:textFill>
        </w:rPr>
        <w:t>13</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货物和服务的证明文件</w:t>
      </w:r>
      <w:bookmarkEnd w:id="139"/>
      <w:bookmarkEnd w:id="140"/>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13.1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供应商应提交其拟供的合同项下的货物和服务的合格性符合谈判文件规定的证明文件，并作为其谈判文件的一部分。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13.2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货物合格性的证明文件包括但不限于授权代理证书、装运货物时出具的运输单据或发票等文件。</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13.3</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供应商提交的货物和服务的证明审核通过后，将成为谈判的重要依据。如供应商提交的证明文件不齐全、不真实、不合法，其将承担被拒绝参加谈判的风险。</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41" w:name="_Toc367780319"/>
      <w:bookmarkStart w:id="142" w:name="_Toc21105"/>
      <w:r>
        <w:rPr>
          <w:rFonts w:ascii="宋体" w:hAnsi="宋体"/>
          <w:color w:val="000000" w:themeColor="text1"/>
          <w:sz w:val="21"/>
          <w:szCs w:val="21"/>
          <w:highlight w:val="none"/>
          <w14:textFill>
            <w14:solidFill>
              <w14:schemeClr w14:val="tx1"/>
            </w14:solidFill>
          </w14:textFill>
        </w:rPr>
        <w:t>14</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投报价格与报价货币</w:t>
      </w:r>
      <w:bookmarkEnd w:id="141"/>
      <w:bookmarkEnd w:id="142"/>
    </w:p>
    <w:p>
      <w:pPr>
        <w:tabs>
          <w:tab w:val="left" w:pos="753"/>
        </w:tabs>
        <w:adjustRightInd w:val="0"/>
        <w:snapToGrid w:val="0"/>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投报价格应按谈判文件第一次报价一览表和最终报价表（谈判时提供）格式填写报价清单。</w:t>
      </w:r>
    </w:p>
    <w:p>
      <w:pPr>
        <w:tabs>
          <w:tab w:val="left" w:pos="753"/>
        </w:tabs>
        <w:adjustRightInd w:val="0"/>
        <w:snapToGrid w:val="0"/>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14.2</w:t>
      </w:r>
      <w:r>
        <w:rPr>
          <w:rFonts w:hint="eastAsia" w:ascii="宋体" w:hAnsi="宋体"/>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供应商所报总价</w:t>
      </w:r>
      <w:r>
        <w:rPr>
          <w:rFonts w:hint="eastAsia" w:ascii="宋体" w:hAnsi="宋体"/>
          <w:color w:val="000000" w:themeColor="text1"/>
          <w:szCs w:val="21"/>
          <w:highlight w:val="none"/>
          <w14:textFill>
            <w14:solidFill>
              <w14:schemeClr w14:val="tx1"/>
            </w14:solidFill>
          </w14:textFill>
        </w:rPr>
        <w:t>应为包括</w:t>
      </w:r>
      <w:r>
        <w:rPr>
          <w:rFonts w:hint="eastAsia" w:ascii="宋体" w:hAnsi="宋体" w:cs="Tahoma"/>
          <w:bCs/>
          <w:color w:val="000000" w:themeColor="text1"/>
          <w:szCs w:val="21"/>
          <w:highlight w:val="none"/>
          <w14:textFill>
            <w14:solidFill>
              <w14:schemeClr w14:val="tx1"/>
            </w14:solidFill>
          </w14:textFill>
        </w:rPr>
        <w:t>完成该项目发生的全部费用（包含高温补贴、岗位津贴、非正常工作时间工资等费用），合同期间内采购人不再另行支付任何费用。</w:t>
      </w:r>
    </w:p>
    <w:p>
      <w:pPr>
        <w:tabs>
          <w:tab w:val="left" w:pos="753"/>
        </w:tabs>
        <w:adjustRightInd w:val="0"/>
        <w:snapToGrid w:val="0"/>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14.3</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报价的评审以最终报价为准；若大写和小写表示的金额之间有差异，则以大写金额为准，并对小写金额作相应的修正。</w:t>
      </w:r>
    </w:p>
    <w:p>
      <w:pPr>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14.4   </w:t>
      </w:r>
      <w:r>
        <w:rPr>
          <w:rFonts w:hint="eastAsia" w:ascii="宋体" w:hAnsi="宋体"/>
          <w:bCs/>
          <w:color w:val="000000" w:themeColor="text1"/>
          <w:szCs w:val="21"/>
          <w:highlight w:val="none"/>
          <w14:textFill>
            <w14:solidFill>
              <w14:schemeClr w14:val="tx1"/>
            </w14:solidFill>
          </w14:textFill>
        </w:rPr>
        <w:t>投报价格一律用人民币填报。</w:t>
      </w:r>
    </w:p>
    <w:p>
      <w:pPr>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14.5   供应商在谈判响应文件中如有任何遗漏，影响到谈判响应文件中规定的范围、质量、性能或限制了采购人的权利和供应商的义务，由此产生的费用由供应商负责。</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43" w:name="_Toc367780320"/>
      <w:bookmarkStart w:id="144" w:name="_Toc9991"/>
      <w:r>
        <w:rPr>
          <w:rFonts w:ascii="宋体" w:hAnsi="宋体"/>
          <w:color w:val="000000" w:themeColor="text1"/>
          <w:sz w:val="21"/>
          <w:szCs w:val="21"/>
          <w:highlight w:val="none"/>
          <w14:textFill>
            <w14:solidFill>
              <w14:schemeClr w14:val="tx1"/>
            </w14:solidFill>
          </w14:textFill>
        </w:rPr>
        <w:t>15</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谈判保证金</w:t>
      </w:r>
      <w:bookmarkEnd w:id="143"/>
      <w:bookmarkEnd w:id="144"/>
    </w:p>
    <w:p>
      <w:pPr>
        <w:widowControl/>
        <w:numPr>
          <w:ilvl w:val="1"/>
          <w:numId w:val="19"/>
        </w:numPr>
        <w:tabs>
          <w:tab w:val="left" w:pos="753"/>
          <w:tab w:val="clear" w:pos="630"/>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谈判保证金为谈判响应文件的重要组成部分之一。</w:t>
      </w:r>
    </w:p>
    <w:p>
      <w:pPr>
        <w:widowControl/>
        <w:numPr>
          <w:ilvl w:val="1"/>
          <w:numId w:val="19"/>
        </w:numPr>
        <w:tabs>
          <w:tab w:val="left" w:pos="753"/>
          <w:tab w:val="clear" w:pos="630"/>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投标供应商在投标时应按照谈判文件商务要求中规定的形式和金额提交投标保证金。</w:t>
      </w:r>
    </w:p>
    <w:p>
      <w:pPr>
        <w:widowControl/>
        <w:numPr>
          <w:ilvl w:val="1"/>
          <w:numId w:val="19"/>
        </w:numPr>
        <w:tabs>
          <w:tab w:val="left" w:pos="753"/>
          <w:tab w:val="clear" w:pos="630"/>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凡未按本须知第15.2条规定提交有效谈判保证金的供应商将被拒绝参加谈判。</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15.</w:t>
      </w:r>
      <w:r>
        <w:rPr>
          <w:rFonts w:hint="eastAsia" w:ascii="宋体" w:hAnsi="宋体"/>
          <w:bCs/>
          <w:color w:val="000000" w:themeColor="text1"/>
          <w:szCs w:val="21"/>
          <w:highlight w:val="none"/>
          <w14:textFill>
            <w14:solidFill>
              <w14:schemeClr w14:val="tx1"/>
            </w14:solidFill>
          </w14:textFill>
        </w:rPr>
        <w:t>4</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未成交的供应商的谈判保证金，采购代理机构</w:t>
      </w:r>
      <w:r>
        <w:rPr>
          <w:rFonts w:hint="eastAsia" w:ascii="宋体" w:hAnsi="宋体"/>
          <w:bCs/>
          <w:color w:val="000000" w:themeColor="text1"/>
          <w:highlight w:val="none"/>
          <w14:textFill>
            <w14:solidFill>
              <w14:schemeClr w14:val="tx1"/>
            </w14:solidFill>
          </w14:textFill>
        </w:rPr>
        <w:t>应当自成交通知书发出之日起5个工作日内无息退还。</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15.</w:t>
      </w:r>
      <w:r>
        <w:rPr>
          <w:rFonts w:hint="eastAsia" w:ascii="宋体" w:hAnsi="宋体"/>
          <w:bCs/>
          <w:color w:val="000000" w:themeColor="text1"/>
          <w:szCs w:val="21"/>
          <w:highlight w:val="none"/>
          <w14:textFill>
            <w14:solidFill>
              <w14:schemeClr w14:val="tx1"/>
            </w14:solidFill>
          </w14:textFill>
        </w:rPr>
        <w:t>5</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成交供应商的谈判保证金</w:t>
      </w:r>
      <w:r>
        <w:rPr>
          <w:rFonts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在签订合同，缴纳采购代理服务费后</w:t>
      </w:r>
      <w:r>
        <w:rPr>
          <w:rFonts w:hint="eastAsia" w:ascii="宋体" w:hAnsi="宋体"/>
          <w:bCs/>
          <w:color w:val="000000" w:themeColor="text1"/>
          <w:highlight w:val="none"/>
          <w14:textFill>
            <w14:solidFill>
              <w14:schemeClr w14:val="tx1"/>
            </w14:solidFill>
          </w14:textFill>
        </w:rPr>
        <w:t>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15.</w:t>
      </w:r>
      <w:r>
        <w:rPr>
          <w:rFonts w:hint="eastAsia" w:ascii="宋体" w:hAnsi="宋体"/>
          <w:bCs/>
          <w:color w:val="000000" w:themeColor="text1"/>
          <w:szCs w:val="21"/>
          <w:highlight w:val="none"/>
          <w14:textFill>
            <w14:solidFill>
              <w14:schemeClr w14:val="tx1"/>
            </w14:solidFill>
          </w14:textFill>
        </w:rPr>
        <w:t>6</w:t>
      </w:r>
      <w:r>
        <w:rPr>
          <w:rFonts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谈判保证金用于保护本次谈判免遭因供应商的行为而蒙受的损失。发生以下情况之一，谈判保证金将被没收：</w:t>
      </w:r>
    </w:p>
    <w:p>
      <w:pPr>
        <w:widowControl/>
        <w:numPr>
          <w:ilvl w:val="2"/>
          <w:numId w:val="20"/>
        </w:numPr>
        <w:tabs>
          <w:tab w:val="left" w:pos="753"/>
          <w:tab w:val="left" w:pos="1255"/>
          <w:tab w:val="clear" w:pos="2838"/>
        </w:tabs>
        <w:adjustRightInd w:val="0"/>
        <w:snapToGrid w:val="0"/>
        <w:spacing w:line="360" w:lineRule="auto"/>
        <w:ind w:left="2087" w:hanging="208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供应商在谈判文件中规定的投标有效期内撤回其报价资料的；</w:t>
      </w:r>
    </w:p>
    <w:p>
      <w:pPr>
        <w:widowControl/>
        <w:numPr>
          <w:ilvl w:val="2"/>
          <w:numId w:val="20"/>
        </w:numPr>
        <w:tabs>
          <w:tab w:val="left" w:pos="753"/>
          <w:tab w:val="left" w:pos="1255"/>
          <w:tab w:val="clear" w:pos="2838"/>
        </w:tabs>
        <w:adjustRightInd w:val="0"/>
        <w:snapToGrid w:val="0"/>
        <w:spacing w:line="360" w:lineRule="auto"/>
        <w:ind w:left="2087" w:hanging="208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成交供应商未能按谈判文件的有关规定交纳采购代理服务费的；</w:t>
      </w:r>
    </w:p>
    <w:p>
      <w:pPr>
        <w:widowControl/>
        <w:numPr>
          <w:ilvl w:val="2"/>
          <w:numId w:val="20"/>
        </w:numPr>
        <w:tabs>
          <w:tab w:val="left" w:pos="753"/>
          <w:tab w:val="left" w:pos="1255"/>
          <w:tab w:val="clear" w:pos="2838"/>
        </w:tabs>
        <w:adjustRightInd w:val="0"/>
        <w:snapToGrid w:val="0"/>
        <w:spacing w:line="360" w:lineRule="auto"/>
        <w:ind w:left="2087" w:hanging="208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成交供应商未能按谈判文件的规定签订合同的；</w:t>
      </w:r>
    </w:p>
    <w:p>
      <w:pPr>
        <w:widowControl/>
        <w:numPr>
          <w:ilvl w:val="2"/>
          <w:numId w:val="20"/>
        </w:numPr>
        <w:tabs>
          <w:tab w:val="left" w:pos="753"/>
          <w:tab w:val="left" w:pos="1255"/>
          <w:tab w:val="clear" w:pos="2838"/>
        </w:tabs>
        <w:adjustRightInd w:val="0"/>
        <w:snapToGrid w:val="0"/>
        <w:spacing w:line="360" w:lineRule="auto"/>
        <w:ind w:left="2087" w:hanging="208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成交供应商以他人名义参加谈判或者以其他方式弄虚作假，骗取成交的。</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45" w:name="_Toc19275"/>
      <w:bookmarkStart w:id="146" w:name="_Toc367780321"/>
      <w:r>
        <w:rPr>
          <w:rFonts w:ascii="宋体" w:hAnsi="宋体"/>
          <w:color w:val="000000" w:themeColor="text1"/>
          <w:sz w:val="21"/>
          <w:szCs w:val="21"/>
          <w:highlight w:val="none"/>
          <w14:textFill>
            <w14:solidFill>
              <w14:schemeClr w14:val="tx1"/>
            </w14:solidFill>
          </w14:textFill>
        </w:rPr>
        <w:t>16</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谈判有效期</w:t>
      </w:r>
      <w:bookmarkEnd w:id="145"/>
      <w:bookmarkEnd w:id="146"/>
    </w:p>
    <w:p>
      <w:pPr>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16.1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谈判有效期应从谈判之日起计算，本项目的投标有效期为90天。</w:t>
      </w:r>
    </w:p>
    <w:p>
      <w:pPr>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16.2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在特殊情况下，代理采购机构可于原谈判有效期截止之前要求供应商同意延长有效期，要求与答复均应为书面形式。供应商可以拒绝上述要求而其谈判保证金不被没收。有关退还和没收谈判保证金的规定在谈判有效期的延长期内继续有效。</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47" w:name="_Toc367780322"/>
      <w:bookmarkStart w:id="148" w:name="_Toc28955"/>
      <w:r>
        <w:rPr>
          <w:rFonts w:ascii="宋体" w:hAnsi="宋体"/>
          <w:color w:val="000000" w:themeColor="text1"/>
          <w:sz w:val="21"/>
          <w:szCs w:val="21"/>
          <w:highlight w:val="none"/>
          <w14:textFill>
            <w14:solidFill>
              <w14:schemeClr w14:val="tx1"/>
            </w14:solidFill>
          </w14:textFill>
        </w:rPr>
        <w:t>17</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谈判响应文件的签署及规定</w:t>
      </w:r>
      <w:bookmarkEnd w:id="147"/>
      <w:bookmarkEnd w:id="148"/>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17.1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供应商应准备正本和副本，在每一份谈判响应文件上要明确标明“正本”或“副本”。如正本的内容和副本不符，以正本为准</w:t>
      </w:r>
      <w:r>
        <w:rPr>
          <w:rFonts w:hint="eastAsia" w:ascii="宋体"/>
          <w:bCs/>
          <w:color w:val="000000" w:themeColor="text1"/>
          <w:highlight w:val="none"/>
          <w14:textFill>
            <w14:solidFill>
              <w14:schemeClr w14:val="tx1"/>
            </w14:solidFill>
          </w14:textFill>
        </w:rPr>
        <w:t>（注：谈判文件副本可为正本的复印件）。</w:t>
      </w:r>
      <w:r>
        <w:rPr>
          <w:rFonts w:hint="eastAsia" w:ascii="宋体" w:hAnsi="宋体"/>
          <w:bCs/>
          <w:color w:val="000000" w:themeColor="text1"/>
          <w:highlight w:val="none"/>
          <w14:textFill>
            <w14:solidFill>
              <w14:schemeClr w14:val="tx1"/>
            </w14:solidFill>
          </w14:textFill>
        </w:rPr>
        <w:t>电子文件</w:t>
      </w:r>
      <w:r>
        <w:rPr>
          <w:rFonts w:hint="eastAsia" w:ascii="宋体" w:hAnsi="宋体"/>
          <w:color w:val="000000" w:themeColor="text1"/>
          <w:szCs w:val="21"/>
          <w:highlight w:val="none"/>
          <w14:textFill>
            <w14:solidFill>
              <w14:schemeClr w14:val="tx1"/>
            </w14:solidFill>
          </w14:textFill>
        </w:rPr>
        <w:t>只接受PDF格式的电子文件</w:t>
      </w:r>
      <w:r>
        <w:rPr>
          <w:rFonts w:hint="eastAsia"/>
          <w:color w:val="000000" w:themeColor="text1"/>
          <w:szCs w:val="21"/>
          <w:highlight w:val="none"/>
          <w14:textFill>
            <w14:solidFill>
              <w14:schemeClr w14:val="tx1"/>
            </w14:solidFill>
          </w14:textFill>
        </w:rPr>
        <w:t>（电子文件须单独密封，在封皮上注明“（公司名称）投标电子版”并加盖公章）。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17.2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响应文件正本和副本均须打印或用不褪色书写工具书写，并由供应商的法定代表人（负责人）或经法定代表人（负责人）正式授权并对供应商有约束力的代表签字。供应商须将以书面形式出具的“法定代表人（负责人）授权委托书”附在谈判响应文件中。谈判响应文件的副本亦可采用正本的复印件。</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17.3</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除供应商对差错处做必要修改外，谈判响应文件中不许有行间插字、涂改或增删，如有修改错漏处，必须由签署谈判响应文件的人签字或盖章</w:t>
      </w:r>
      <w:r>
        <w:rPr>
          <w:rFonts w:hint="eastAsia" w:ascii="宋体"/>
          <w:bCs/>
          <w:color w:val="000000" w:themeColor="text1"/>
          <w:highlight w:val="none"/>
          <w14:textFill>
            <w14:solidFill>
              <w14:schemeClr w14:val="tx1"/>
            </w14:solidFill>
          </w14:textFill>
        </w:rPr>
        <w:t>并在修改错漏处加盖公章</w:t>
      </w:r>
      <w:r>
        <w:rPr>
          <w:rFonts w:hint="eastAsia" w:ascii="宋体" w:hAnsi="宋体"/>
          <w:bCs/>
          <w:color w:val="000000" w:themeColor="text1"/>
          <w:szCs w:val="21"/>
          <w:highlight w:val="none"/>
          <w14:textFill>
            <w14:solidFill>
              <w14:schemeClr w14:val="tx1"/>
            </w14:solidFill>
          </w14:textFill>
        </w:rPr>
        <w:t>，以示负责。</w:t>
      </w:r>
    </w:p>
    <w:p>
      <w:pPr>
        <w:pStyle w:val="3"/>
        <w:numPr>
          <w:ilvl w:val="1"/>
          <w:numId w:val="0"/>
        </w:numPr>
        <w:spacing w:before="240" w:after="240" w:line="360" w:lineRule="auto"/>
        <w:rPr>
          <w:rFonts w:ascii="宋体" w:hAnsi="宋体" w:eastAsia="宋体"/>
          <w:color w:val="000000" w:themeColor="text1"/>
          <w:sz w:val="21"/>
          <w:szCs w:val="21"/>
          <w:highlight w:val="none"/>
          <w14:textFill>
            <w14:solidFill>
              <w14:schemeClr w14:val="tx1"/>
            </w14:solidFill>
          </w14:textFill>
        </w:rPr>
      </w:pPr>
      <w:bookmarkStart w:id="149" w:name="_Toc7620"/>
      <w:bookmarkStart w:id="150" w:name="_Toc367780323"/>
      <w:r>
        <w:rPr>
          <w:rFonts w:hint="eastAsia" w:ascii="宋体" w:hAnsi="宋体" w:eastAsia="宋体"/>
          <w:color w:val="000000" w:themeColor="text1"/>
          <w:sz w:val="21"/>
          <w:szCs w:val="21"/>
          <w:highlight w:val="none"/>
          <w14:textFill>
            <w14:solidFill>
              <w14:schemeClr w14:val="tx1"/>
            </w14:solidFill>
          </w14:textFill>
        </w:rPr>
        <w:t>Ｄ谈判响应文件的递交</w:t>
      </w:r>
      <w:bookmarkEnd w:id="149"/>
      <w:bookmarkEnd w:id="150"/>
    </w:p>
    <w:p>
      <w:pPr>
        <w:pStyle w:val="4"/>
        <w:spacing w:line="360" w:lineRule="auto"/>
        <w:rPr>
          <w:rFonts w:ascii="宋体" w:hAnsi="宋体"/>
          <w:color w:val="000000" w:themeColor="text1"/>
          <w:sz w:val="21"/>
          <w:szCs w:val="21"/>
          <w:highlight w:val="none"/>
          <w14:textFill>
            <w14:solidFill>
              <w14:schemeClr w14:val="tx1"/>
            </w14:solidFill>
          </w14:textFill>
        </w:rPr>
      </w:pPr>
      <w:bookmarkStart w:id="151" w:name="_Toc31660"/>
      <w:bookmarkStart w:id="152" w:name="_Toc367780324"/>
      <w:r>
        <w:rPr>
          <w:rFonts w:ascii="宋体" w:hAnsi="宋体"/>
          <w:color w:val="000000" w:themeColor="text1"/>
          <w:sz w:val="21"/>
          <w:szCs w:val="21"/>
          <w:highlight w:val="none"/>
          <w14:textFill>
            <w14:solidFill>
              <w14:schemeClr w14:val="tx1"/>
            </w14:solidFill>
          </w14:textFill>
        </w:rPr>
        <w:t>18</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谈判响应文件的密封和标记</w:t>
      </w:r>
      <w:bookmarkEnd w:id="151"/>
      <w:bookmarkEnd w:id="152"/>
    </w:p>
    <w:p>
      <w:pPr>
        <w:widowControl/>
        <w:tabs>
          <w:tab w:val="left" w:pos="251"/>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ab/>
      </w:r>
      <w:r>
        <w:rPr>
          <w:rFonts w:hint="eastAsia" w:ascii="黑体" w:eastAsia="黑体"/>
          <w:bCs/>
          <w:color w:val="000000" w:themeColor="text1"/>
          <w:highlight w:val="none"/>
          <w14:textFill>
            <w14:solidFill>
              <w14:schemeClr w14:val="tx1"/>
            </w14:solidFill>
          </w14:textFill>
        </w:rPr>
        <w:t>详见第三部份《报价须知〈投标人须知前附表〉》</w:t>
      </w:r>
      <w:r>
        <w:rPr>
          <w:rFonts w:hint="eastAsia" w:ascii="宋体" w:hAnsi="宋体"/>
          <w:color w:val="000000" w:themeColor="text1"/>
          <w:szCs w:val="21"/>
          <w:highlight w:val="none"/>
          <w14:textFill>
            <w14:solidFill>
              <w14:schemeClr w14:val="tx1"/>
            </w14:solidFill>
          </w14:textFill>
        </w:rPr>
        <w:t>。</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53" w:name="_Toc15293"/>
      <w:bookmarkStart w:id="154" w:name="_Toc367780325"/>
      <w:r>
        <w:rPr>
          <w:rFonts w:hint="eastAsia" w:ascii="宋体" w:hAnsi="宋体"/>
          <w:color w:val="000000" w:themeColor="text1"/>
          <w:sz w:val="21"/>
          <w:szCs w:val="21"/>
          <w:highlight w:val="none"/>
          <w14:textFill>
            <w14:solidFill>
              <w14:schemeClr w14:val="tx1"/>
            </w14:solidFill>
          </w14:textFill>
        </w:rPr>
        <w:t>19</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递交谈判响应文件的时间、地点及截止时间</w:t>
      </w:r>
      <w:bookmarkEnd w:id="153"/>
      <w:bookmarkEnd w:id="154"/>
    </w:p>
    <w:p>
      <w:pPr>
        <w:tabs>
          <w:tab w:val="left" w:pos="753"/>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19.1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递交谈判响应文件的地点与谈判地点为同一地点；谈判响应文件接收截止时间与谈判开始时间为同一时间。</w:t>
      </w:r>
    </w:p>
    <w:p>
      <w:pPr>
        <w:tabs>
          <w:tab w:val="left" w:pos="753"/>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19.2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代理采购机构于投标截止时间前30分钟开始接收谈判响应文件，并于谈判文件规定的谈判时间和谈判地点进行谈判。提前、逾期递交或递交不符合规定的谈判响应文件恕不接受。</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55" w:name="_Toc367780326"/>
      <w:bookmarkStart w:id="156" w:name="_Toc7648"/>
      <w:r>
        <w:rPr>
          <w:rFonts w:ascii="宋体" w:hAnsi="宋体"/>
          <w:color w:val="000000" w:themeColor="text1"/>
          <w:sz w:val="21"/>
          <w:szCs w:val="21"/>
          <w:highlight w:val="none"/>
          <w14:textFill>
            <w14:solidFill>
              <w14:schemeClr w14:val="tx1"/>
            </w14:solidFill>
          </w14:textFill>
        </w:rPr>
        <w:t>20</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迟交的谈判响应文件</w:t>
      </w:r>
      <w:bookmarkEnd w:id="155"/>
      <w:bookmarkEnd w:id="156"/>
    </w:p>
    <w:p>
      <w:pPr>
        <w:widowControl/>
        <w:tabs>
          <w:tab w:val="left" w:pos="753"/>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0</w:t>
      </w:r>
      <w:r>
        <w:rPr>
          <w:rFonts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代理采购机构将拒绝在谈判截止时间后送达的谈判响应文件。</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57" w:name="_Toc16736"/>
      <w:bookmarkStart w:id="158" w:name="_Toc367780327"/>
      <w:r>
        <w:rPr>
          <w:rFonts w:ascii="宋体" w:hAnsi="宋体"/>
          <w:color w:val="000000" w:themeColor="text1"/>
          <w:sz w:val="21"/>
          <w:szCs w:val="21"/>
          <w:highlight w:val="none"/>
          <w14:textFill>
            <w14:solidFill>
              <w14:schemeClr w14:val="tx1"/>
            </w14:solidFill>
          </w14:textFill>
        </w:rPr>
        <w:t>21</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谈判响应文件的修改和撤回</w:t>
      </w:r>
      <w:bookmarkEnd w:id="157"/>
      <w:bookmarkEnd w:id="158"/>
    </w:p>
    <w:p>
      <w:pPr>
        <w:widowControl/>
        <w:tabs>
          <w:tab w:val="left" w:pos="753"/>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21.1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在提交谈判响应文件后，可以修改或撤回其谈判响应文件。但代理采购机构必须在规定的递交谈判响应文件截止时间之前收到供应商发出的书面通知，该通知须有供应商法定代表人（负责人）或其授权代表签字。</w:t>
      </w:r>
    </w:p>
    <w:p>
      <w:pPr>
        <w:widowControl/>
        <w:tabs>
          <w:tab w:val="left" w:pos="753"/>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21.2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供应商对谈判响应文件修改的书面材料或撤销的通知应注明“修改谈判响应文件”或“撤销谈判”字样。</w:t>
      </w:r>
    </w:p>
    <w:p>
      <w:pPr>
        <w:widowControl/>
        <w:tabs>
          <w:tab w:val="left" w:pos="753"/>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21.3</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从谈判截止时间至谈判有效期期满之前，供应商不得撤回其报价资料，否则代理采购机构将按规定没收其谈判保证金。</w:t>
      </w:r>
    </w:p>
    <w:p>
      <w:pPr>
        <w:pStyle w:val="3"/>
        <w:numPr>
          <w:ilvl w:val="1"/>
          <w:numId w:val="0"/>
        </w:numPr>
        <w:spacing w:before="240" w:after="240" w:line="360" w:lineRule="auto"/>
        <w:rPr>
          <w:rFonts w:ascii="宋体" w:hAnsi="宋体" w:eastAsia="宋体"/>
          <w:color w:val="000000" w:themeColor="text1"/>
          <w:sz w:val="21"/>
          <w:szCs w:val="21"/>
          <w:highlight w:val="none"/>
          <w14:textFill>
            <w14:solidFill>
              <w14:schemeClr w14:val="tx1"/>
            </w14:solidFill>
          </w14:textFill>
        </w:rPr>
      </w:pPr>
      <w:bookmarkStart w:id="159" w:name="_Toc9813"/>
      <w:bookmarkStart w:id="160" w:name="_Toc367780328"/>
      <w:r>
        <w:rPr>
          <w:rFonts w:hint="eastAsia" w:ascii="宋体" w:hAnsi="宋体" w:eastAsia="宋体"/>
          <w:color w:val="000000" w:themeColor="text1"/>
          <w:sz w:val="21"/>
          <w:szCs w:val="21"/>
          <w:highlight w:val="none"/>
          <w14:textFill>
            <w14:solidFill>
              <w14:schemeClr w14:val="tx1"/>
            </w14:solidFill>
          </w14:textFill>
        </w:rPr>
        <w:t>Ｅ竞争性谈判采购程序</w:t>
      </w:r>
      <w:bookmarkEnd w:id="159"/>
      <w:bookmarkEnd w:id="160"/>
    </w:p>
    <w:p>
      <w:pPr>
        <w:pStyle w:val="4"/>
        <w:spacing w:line="360" w:lineRule="auto"/>
        <w:rPr>
          <w:rFonts w:ascii="宋体" w:hAnsi="宋体"/>
          <w:color w:val="000000" w:themeColor="text1"/>
          <w:sz w:val="21"/>
          <w:szCs w:val="21"/>
          <w:highlight w:val="none"/>
          <w14:textFill>
            <w14:solidFill>
              <w14:schemeClr w14:val="tx1"/>
            </w14:solidFill>
          </w14:textFill>
        </w:rPr>
      </w:pPr>
      <w:bookmarkStart w:id="161" w:name="_Toc16778"/>
      <w:bookmarkStart w:id="162" w:name="_Toc367780329"/>
      <w:r>
        <w:rPr>
          <w:rFonts w:ascii="宋体" w:hAnsi="宋体"/>
          <w:color w:val="000000" w:themeColor="text1"/>
          <w:sz w:val="21"/>
          <w:szCs w:val="21"/>
          <w:highlight w:val="none"/>
          <w14:textFill>
            <w14:solidFill>
              <w14:schemeClr w14:val="tx1"/>
            </w14:solidFill>
          </w14:textFill>
        </w:rPr>
        <w:t>22</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接收谈判响应文件</w:t>
      </w:r>
      <w:bookmarkEnd w:id="161"/>
      <w:bookmarkEnd w:id="162"/>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22.1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代理采购机构在谈判文件中规定的时间和地点公开接收谈判响应文件。</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22.2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竞争性谈判的第一次投报价格不作公开唱标。</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63" w:name="_Toc367780330"/>
      <w:bookmarkStart w:id="164" w:name="_Toc10331"/>
      <w:r>
        <w:rPr>
          <w:rFonts w:ascii="宋体" w:hAnsi="宋体"/>
          <w:color w:val="000000" w:themeColor="text1"/>
          <w:sz w:val="21"/>
          <w:szCs w:val="21"/>
          <w:highlight w:val="none"/>
          <w14:textFill>
            <w14:solidFill>
              <w14:schemeClr w14:val="tx1"/>
            </w14:solidFill>
          </w14:textFill>
        </w:rPr>
        <w:t>23</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谈判小组</w:t>
      </w:r>
      <w:bookmarkEnd w:id="163"/>
      <w:bookmarkEnd w:id="164"/>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23.1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谈判由代理采购机构依法组建的谈判小组:</w:t>
      </w:r>
      <w:r>
        <w:rPr>
          <w:rFonts w:hint="eastAsia" w:ascii="黑体" w:eastAsia="黑体"/>
          <w:bCs/>
          <w:color w:val="000000" w:themeColor="text1"/>
          <w:highlight w:val="none"/>
          <w14:textFill>
            <w14:solidFill>
              <w14:schemeClr w14:val="tx1"/>
            </w14:solidFill>
          </w14:textFill>
        </w:rPr>
        <w:t>详见第三部份《报价须知〈投标人须知前附表〉》</w:t>
      </w:r>
      <w:r>
        <w:rPr>
          <w:rFonts w:hint="eastAsia" w:ascii="宋体" w:hAnsi="宋体"/>
          <w:color w:val="000000" w:themeColor="text1"/>
          <w:szCs w:val="21"/>
          <w:highlight w:val="none"/>
          <w14:textFill>
            <w14:solidFill>
              <w14:schemeClr w14:val="tx1"/>
            </w14:solidFill>
          </w14:textFill>
        </w:rPr>
        <w:t>。</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23.2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谈判小组专家由政府采购管理部门在专家库中，按照采购活动的特点和需要随机抽取产生。</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23.3</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谈判小组专家与供应商有利害关系的不能进入谈判小组，已经进入的将予以更换。谈判小组专家名单在确定成交供应商之前严格保密。</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23.4</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小组将客观公正地履行职责，遵守职业道德，对所提出的评审意见承担个人责任。谈判小组专家不得私下接触供应商，不得收受供应商的财物或者其他好处。谈判小组和参与评审的有关工作人员不得透露对谈判响应文件的评价和比较、确定供应商情况以及与评审有关的其他情况。</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65" w:name="_Toc18061"/>
      <w:bookmarkStart w:id="166" w:name="_Toc367780331"/>
      <w:r>
        <w:rPr>
          <w:rFonts w:ascii="宋体" w:hAnsi="宋体"/>
          <w:color w:val="000000" w:themeColor="text1"/>
          <w:sz w:val="21"/>
          <w:szCs w:val="21"/>
          <w:highlight w:val="none"/>
          <w14:textFill>
            <w14:solidFill>
              <w14:schemeClr w14:val="tx1"/>
            </w14:solidFill>
          </w14:textFill>
        </w:rPr>
        <w:t>2</w:t>
      </w:r>
      <w:r>
        <w:rPr>
          <w:rFonts w:hint="eastAsia" w:ascii="宋体" w:hAnsi="宋体"/>
          <w:color w:val="000000" w:themeColor="text1"/>
          <w:sz w:val="21"/>
          <w:szCs w:val="21"/>
          <w:highlight w:val="none"/>
          <w14:textFill>
            <w14:solidFill>
              <w14:schemeClr w14:val="tx1"/>
            </w14:solidFill>
          </w14:textFill>
        </w:rPr>
        <w:t>4</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对谈判响应文件的初审</w:t>
      </w:r>
      <w:bookmarkEnd w:id="165"/>
      <w:bookmarkEnd w:id="166"/>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24.1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代理采购机构将组织谈判小组审查谈判响应文件是否完整，有无明显的计算错误，文件签署是否合格，证明文件是否齐全，谈判响应文件的编排是否有序，要求的保证金是否已递交。</w:t>
      </w:r>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24.2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在对谈判响应文件进行详细评审之前，谈判小组将依据谈判文件中规定的合格供应商应提交的“资格审查文件”文件是否通过符合性审查。如果确定供应商无资格履行合同，将拒绝其参加谈判。</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67" w:name="_Toc16438"/>
      <w:bookmarkStart w:id="168" w:name="_Toc367780332"/>
      <w:r>
        <w:rPr>
          <w:rFonts w:hint="eastAsia" w:ascii="宋体" w:hAnsi="宋体"/>
          <w:color w:val="000000" w:themeColor="text1"/>
          <w:sz w:val="21"/>
          <w:szCs w:val="21"/>
          <w:highlight w:val="none"/>
          <w14:textFill>
            <w14:solidFill>
              <w14:schemeClr w14:val="tx1"/>
            </w14:solidFill>
          </w14:textFill>
        </w:rPr>
        <w:t>25</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谈判报价的审核</w:t>
      </w:r>
      <w:bookmarkEnd w:id="167"/>
      <w:bookmarkEnd w:id="168"/>
    </w:p>
    <w:p>
      <w:pPr>
        <w:tabs>
          <w:tab w:val="left" w:pos="753"/>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25.1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供应商的谈判报价应是真实、合理和全面的报价。供应商应该公平竞争，合理报价。谈判小组有权对供应商的任何报价进行单项分析与澄清。任何虚假不实的报价，一经确认，将会导致没收供应商的谈判保证金或导致谈判被拒绝。</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69" w:name="_Toc367780333"/>
      <w:bookmarkStart w:id="170" w:name="_Toc12780"/>
      <w:r>
        <w:rPr>
          <w:rFonts w:ascii="宋体" w:hAnsi="宋体"/>
          <w:color w:val="000000" w:themeColor="text1"/>
          <w:sz w:val="21"/>
          <w:szCs w:val="21"/>
          <w:highlight w:val="none"/>
          <w14:textFill>
            <w14:solidFill>
              <w14:schemeClr w14:val="tx1"/>
            </w14:solidFill>
          </w14:textFill>
        </w:rPr>
        <w:t>2</w:t>
      </w:r>
      <w:r>
        <w:rPr>
          <w:rFonts w:hint="eastAsia" w:ascii="宋体" w:hAnsi="宋体"/>
          <w:color w:val="000000" w:themeColor="text1"/>
          <w:sz w:val="21"/>
          <w:szCs w:val="21"/>
          <w:highlight w:val="none"/>
          <w14:textFill>
            <w14:solidFill>
              <w14:schemeClr w14:val="tx1"/>
            </w14:solidFill>
          </w14:textFill>
        </w:rPr>
        <w:t>6</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谈判</w:t>
      </w:r>
      <w:bookmarkEnd w:id="169"/>
      <w:bookmarkEnd w:id="170"/>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26.1   谈判小组所有成员集中按照递交谈判响应文件从前到后的顺序与单一供应商分别进行谈判。在谈判中，谈判的任何一方不得透露与谈判有关的其他供应商的技术资料、价格和其他信息。谈判文件有实质性变动的，谈判小组应当以书面形式通知所有参加谈判的供应商。</w:t>
      </w:r>
    </w:p>
    <w:p>
      <w:pPr>
        <w:widowControl/>
        <w:tabs>
          <w:tab w:val="left" w:pos="753"/>
        </w:tabs>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26.2 </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谈判中的双方都应对谈判中的重要事项做详细记录。</w:t>
      </w:r>
    </w:p>
    <w:p>
      <w:pPr>
        <w:widowControl/>
        <w:tabs>
          <w:tab w:val="left" w:pos="753"/>
        </w:tabs>
        <w:adjustRightInd w:val="0"/>
        <w:snapToGrid w:val="0"/>
        <w:spacing w:line="360" w:lineRule="auto"/>
        <w:ind w:left="751" w:leftChars="1" w:hanging="749" w:hangingChars="357"/>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26.3</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谈判过程中，谈判小组向参加谈判的供应商提出疑问或要求，供应商必须在规定的时间内做出澄清并提交书面的承诺</w:t>
      </w:r>
      <w:r>
        <w:rPr>
          <w:rFonts w:hint="eastAsia" w:ascii="宋体" w:hAnsi="宋体"/>
          <w:bCs/>
          <w:color w:val="000000" w:themeColor="text1"/>
          <w:szCs w:val="21"/>
          <w:highlight w:val="none"/>
          <w14:textFill>
            <w14:solidFill>
              <w14:schemeClr w14:val="tx1"/>
            </w14:solidFill>
          </w14:textFill>
        </w:rPr>
        <w:t>。</w:t>
      </w:r>
    </w:p>
    <w:p>
      <w:pPr>
        <w:pStyle w:val="22"/>
        <w:widowControl/>
        <w:tabs>
          <w:tab w:val="left" w:pos="753"/>
        </w:tabs>
        <w:adjustRightInd w:val="0"/>
        <w:snapToGrid w:val="0"/>
        <w:spacing w:line="360" w:lineRule="auto"/>
        <w:ind w:left="751" w:leftChars="1" w:hanging="749" w:hangingChars="357"/>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26.4</w:t>
      </w:r>
      <w:r>
        <w:rPr>
          <w:rFonts w:hint="eastAsia" w:hAnsi="宋体"/>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代理采购机构将在谈判时对供应商所作的解释和澄清作书面记录，并归档备查。</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71" w:name="_Toc28268"/>
      <w:bookmarkStart w:id="172" w:name="_Toc367780334"/>
      <w:r>
        <w:rPr>
          <w:rFonts w:ascii="宋体" w:hAnsi="宋体"/>
          <w:color w:val="000000" w:themeColor="text1"/>
          <w:sz w:val="21"/>
          <w:szCs w:val="21"/>
          <w:highlight w:val="none"/>
          <w14:textFill>
            <w14:solidFill>
              <w14:schemeClr w14:val="tx1"/>
            </w14:solidFill>
          </w14:textFill>
        </w:rPr>
        <w:t>27</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评审原则</w:t>
      </w:r>
      <w:bookmarkEnd w:id="171"/>
      <w:bookmarkEnd w:id="172"/>
    </w:p>
    <w:p>
      <w:pPr>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27.1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依据有关法律法规，维护采购当事人的合法权益。</w:t>
      </w:r>
    </w:p>
    <w:p>
      <w:pPr>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27.2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实行科学评估、集体决策。</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73" w:name="_Toc15096"/>
      <w:bookmarkStart w:id="174" w:name="_Toc367780335"/>
      <w:r>
        <w:rPr>
          <w:rFonts w:ascii="宋体" w:hAnsi="宋体"/>
          <w:color w:val="000000" w:themeColor="text1"/>
          <w:sz w:val="21"/>
          <w:szCs w:val="21"/>
          <w:highlight w:val="none"/>
          <w14:textFill>
            <w14:solidFill>
              <w14:schemeClr w14:val="tx1"/>
            </w14:solidFill>
          </w14:textFill>
        </w:rPr>
        <w:t>28</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评审办法</w:t>
      </w:r>
      <w:bookmarkEnd w:id="173"/>
      <w:bookmarkEnd w:id="174"/>
    </w:p>
    <w:p>
      <w:pPr>
        <w:pStyle w:val="22"/>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28.1</w:t>
      </w:r>
      <w:r>
        <w:rPr>
          <w:rFonts w:hint="eastAsia" w:hAns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谈判结束后，谈判小组应当要求所有符合采购需求的供应商在规定时间内进行最后报价，根据符合采购需求、质量和服务相等且最终报价最低的原则确定成交供应商，并将结果通知所有参加谈判的未成交的供应商。</w:t>
      </w:r>
    </w:p>
    <w:p>
      <w:pPr>
        <w:pStyle w:val="22"/>
        <w:tabs>
          <w:tab w:val="left" w:pos="753"/>
        </w:tabs>
        <w:adjustRightInd w:val="0"/>
        <w:snapToGrid w:val="0"/>
        <w:spacing w:line="360" w:lineRule="auto"/>
        <w:ind w:left="751" w:leftChars="1" w:hanging="749" w:hangingChars="357"/>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28.2</w:t>
      </w:r>
      <w:r>
        <w:rPr>
          <w:rFonts w:hint="eastAsia" w:hAns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如果出现两家以上（含两家）供应商的最终报价最低并且金额相同的情况时，报价最低的供应商将进行重新报价，直至只有一家供应商的报价最低。报价最低的供应商为预成交供应商。超出项目预算的报价将不予接受。</w:t>
      </w:r>
    </w:p>
    <w:p>
      <w:pPr>
        <w:pStyle w:val="22"/>
        <w:widowControl/>
        <w:tabs>
          <w:tab w:val="left" w:pos="753"/>
        </w:tabs>
        <w:adjustRightInd w:val="0"/>
        <w:snapToGrid w:val="0"/>
        <w:spacing w:line="360" w:lineRule="auto"/>
        <w:ind w:left="751" w:leftChars="1" w:hanging="749" w:hangingChars="357"/>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 xml:space="preserve">28.3   </w:t>
      </w:r>
      <w:r>
        <w:rPr>
          <w:rFonts w:hint="eastAsia" w:hAnsi="宋体"/>
          <w:color w:val="000000" w:themeColor="text1"/>
          <w:highlight w:val="none"/>
          <w14:textFill>
            <w14:solidFill>
              <w14:schemeClr w14:val="tx1"/>
            </w14:solidFill>
          </w14:textFill>
        </w:rPr>
        <w:t>如果谈判时出现没有供应商参加或者没有符合采购需求供应商的，或符合采购需求的供应商少于三家的情况，依照《中华人民共和国政府采购法》的有关规定，本项目将重新组织谈判或根据政府采购管理部门重新确定的采购方式进行采购。</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75" w:name="_Toc27227"/>
      <w:bookmarkStart w:id="176" w:name="_Toc367780336"/>
      <w:r>
        <w:rPr>
          <w:rFonts w:hint="eastAsia" w:ascii="宋体" w:hAnsi="宋体"/>
          <w:color w:val="000000" w:themeColor="text1"/>
          <w:sz w:val="21"/>
          <w:szCs w:val="21"/>
          <w:highlight w:val="none"/>
          <w14:textFill>
            <w14:solidFill>
              <w14:schemeClr w14:val="tx1"/>
            </w14:solidFill>
          </w14:textFill>
        </w:rPr>
        <w:t>29</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评审注意事项</w:t>
      </w:r>
      <w:bookmarkEnd w:id="175"/>
      <w:bookmarkEnd w:id="176"/>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29.1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评审是竞争性谈判采购工作的重要环节，评审工作在谈判小组内独立进行。谈判小组将遵照评审原则，公正、平等地对待所有供应商。</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29.2</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在谈判期间，供应商不得向谈判小组成员询问评审情况，不得进行旨在影响评审结果的活动。</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29.3</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为保证确定成交供应商的公正性，在评审过程中，谈判小组成员不得与供应商私下交换意见。在谈判工作结束后，凡与谈判情况有接触的任何人，不得也不应将评审情况扩散出谈判小组人员之外。</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77" w:name="_Toc367780337"/>
      <w:bookmarkStart w:id="178" w:name="_Toc2952"/>
      <w:r>
        <w:rPr>
          <w:rFonts w:hint="eastAsia" w:ascii="宋体" w:hAnsi="宋体"/>
          <w:color w:val="000000" w:themeColor="text1"/>
          <w:sz w:val="21"/>
          <w:szCs w:val="21"/>
          <w:highlight w:val="none"/>
          <w14:textFill>
            <w14:solidFill>
              <w14:schemeClr w14:val="tx1"/>
            </w14:solidFill>
          </w14:textFill>
        </w:rPr>
        <w:t>30</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发布成交结果公告和发放成交通知书</w:t>
      </w:r>
      <w:bookmarkEnd w:id="177"/>
      <w:bookmarkEnd w:id="178"/>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30.1   采购人或其授权的谈判小组应按照评标报告中推荐的成交候选供应商排名顺序确定成交供应商。</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成交人确认后，成交结果将在指定媒体上公告：</w:t>
      </w:r>
      <w:r>
        <w:rPr>
          <w:rFonts w:hint="eastAsia" w:ascii="黑体" w:eastAsia="黑体"/>
          <w:bCs/>
          <w:color w:val="000000" w:themeColor="text1"/>
          <w:highlight w:val="none"/>
          <w14:textFill>
            <w14:solidFill>
              <w14:schemeClr w14:val="tx1"/>
            </w14:solidFill>
          </w14:textFill>
        </w:rPr>
        <w:t>详见第三部份《报价须知〈投标人须知前附表〉》</w:t>
      </w:r>
      <w:r>
        <w:rPr>
          <w:rFonts w:hint="eastAsia" w:ascii="宋体" w:hAnsi="宋体"/>
          <w:color w:val="000000" w:themeColor="text1"/>
          <w:szCs w:val="21"/>
          <w:highlight w:val="none"/>
          <w14:textFill>
            <w14:solidFill>
              <w14:schemeClr w14:val="tx1"/>
            </w14:solidFill>
          </w14:textFill>
        </w:rPr>
        <w:t>。发布成交结果公告的同时，代理采购机构向成交人发出成交通知书。</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未成交供应商，</w:t>
      </w: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不再以其它方式另行通知。</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成交通知书发出后，采购人改变成交结果，或者成交供应商放弃成交，应当承担相应的法律责任。</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79" w:name="_Toc3763"/>
      <w:bookmarkStart w:id="180" w:name="_Toc367780338"/>
      <w:r>
        <w:rPr>
          <w:rFonts w:hint="eastAsia" w:ascii="宋体" w:hAnsi="宋体"/>
          <w:color w:val="000000" w:themeColor="text1"/>
          <w:sz w:val="21"/>
          <w:szCs w:val="21"/>
          <w:highlight w:val="none"/>
          <w14:textFill>
            <w14:solidFill>
              <w14:schemeClr w14:val="tx1"/>
            </w14:solidFill>
          </w14:textFill>
        </w:rPr>
        <w:t>31     投标供应商对成交结果的质疑、投诉</w:t>
      </w:r>
      <w:bookmarkEnd w:id="179"/>
      <w:bookmarkEnd w:id="180"/>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投标供应商对成交公告有异议的，应当在成交结果公告发布之日起七个工作日内，以书面形式向采购人或代理采购机构提出质疑。</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采购人或代理采购机构应当在收到投标供应商书面质疑后七个工作日内，对质疑内容作出答复。</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投标供应商对采购人或代理采购机构的答复不满意或者采购人、代理采购机构未在规定时间内答复的，可以在答复期满后十五个工作日内按有关规定，向同级人民政府财政部门投诉。</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投标供应商须对质疑或投诉内容的真实性承担责任。</w:t>
      </w:r>
    </w:p>
    <w:p>
      <w:pPr>
        <w:spacing w:line="360" w:lineRule="auto"/>
        <w:ind w:left="752" w:hanging="751" w:hangingChars="358"/>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质疑函应当署名。质疑供应商为自然人的，应当由本人签字；质疑供应商为法人或其他组织的，应由法定代表人或者主要负责人签字并盖公章。</w:t>
      </w:r>
    </w:p>
    <w:p>
      <w:pPr>
        <w:pStyle w:val="3"/>
        <w:numPr>
          <w:ilvl w:val="1"/>
          <w:numId w:val="0"/>
        </w:numPr>
        <w:spacing w:before="240" w:after="240" w:line="360" w:lineRule="auto"/>
        <w:rPr>
          <w:rFonts w:ascii="宋体" w:hAnsi="宋体" w:eastAsia="宋体"/>
          <w:color w:val="000000" w:themeColor="text1"/>
          <w:sz w:val="21"/>
          <w:szCs w:val="21"/>
          <w:highlight w:val="none"/>
          <w14:textFill>
            <w14:solidFill>
              <w14:schemeClr w14:val="tx1"/>
            </w14:solidFill>
          </w14:textFill>
        </w:rPr>
      </w:pPr>
      <w:bookmarkStart w:id="181" w:name="_Toc13073"/>
      <w:bookmarkStart w:id="182" w:name="_Toc367780339"/>
      <w:r>
        <w:rPr>
          <w:rFonts w:hint="eastAsia" w:ascii="宋体" w:hAnsi="宋体" w:eastAsia="宋体"/>
          <w:color w:val="000000" w:themeColor="text1"/>
          <w:sz w:val="21"/>
          <w:szCs w:val="21"/>
          <w:highlight w:val="none"/>
          <w14:textFill>
            <w14:solidFill>
              <w14:schemeClr w14:val="tx1"/>
            </w14:solidFill>
          </w14:textFill>
        </w:rPr>
        <w:t>Ｆ  授予合同</w:t>
      </w:r>
      <w:bookmarkEnd w:id="181"/>
      <w:bookmarkEnd w:id="182"/>
    </w:p>
    <w:p>
      <w:pPr>
        <w:pStyle w:val="4"/>
        <w:spacing w:line="360" w:lineRule="auto"/>
        <w:rPr>
          <w:rFonts w:ascii="宋体" w:hAnsi="宋体"/>
          <w:color w:val="000000" w:themeColor="text1"/>
          <w:sz w:val="21"/>
          <w:szCs w:val="21"/>
          <w:highlight w:val="none"/>
          <w14:textFill>
            <w14:solidFill>
              <w14:schemeClr w14:val="tx1"/>
            </w14:solidFill>
          </w14:textFill>
        </w:rPr>
      </w:pPr>
      <w:bookmarkStart w:id="183" w:name="_Toc367780340"/>
      <w:bookmarkStart w:id="184" w:name="_Toc22148"/>
      <w:r>
        <w:rPr>
          <w:rFonts w:hint="eastAsia" w:ascii="宋体" w:hAnsi="宋体"/>
          <w:color w:val="000000" w:themeColor="text1"/>
          <w:sz w:val="21"/>
          <w:szCs w:val="21"/>
          <w:highlight w:val="none"/>
          <w14:textFill>
            <w14:solidFill>
              <w14:schemeClr w14:val="tx1"/>
            </w14:solidFill>
          </w14:textFill>
        </w:rPr>
        <w:t>32     接受和拒绝投标的权利</w:t>
      </w:r>
      <w:bookmarkEnd w:id="183"/>
      <w:bookmarkEnd w:id="184"/>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32</w:t>
      </w:r>
      <w:r>
        <w:rPr>
          <w:rFonts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谈判小组经评审认为所有供应商提供的货物或服务都不符合谈判文件要求的，或所有供应商的报价均超过了采购人的预算，且采购人不能支付的，有权否决所有报价资料。</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85" w:name="_Toc11250"/>
      <w:bookmarkStart w:id="186" w:name="_Toc367780341"/>
      <w:r>
        <w:rPr>
          <w:rFonts w:hint="eastAsia" w:ascii="宋体" w:hAnsi="宋体"/>
          <w:color w:val="000000" w:themeColor="text1"/>
          <w:sz w:val="21"/>
          <w:szCs w:val="21"/>
          <w:highlight w:val="none"/>
          <w14:textFill>
            <w14:solidFill>
              <w14:schemeClr w14:val="tx1"/>
            </w14:solidFill>
          </w14:textFill>
        </w:rPr>
        <w:t>33</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 xml:space="preserve">   合同授予标准</w:t>
      </w:r>
      <w:bookmarkEnd w:id="185"/>
      <w:bookmarkEnd w:id="186"/>
    </w:p>
    <w:p>
      <w:pPr>
        <w:widowControl/>
        <w:tabs>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3</w:t>
      </w:r>
      <w:r>
        <w:rPr>
          <w:rFonts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第32条规定之外，采购人将把合同授予此次谈判的成交供应商。</w:t>
      </w:r>
    </w:p>
    <w:p>
      <w:pPr>
        <w:pStyle w:val="4"/>
        <w:spacing w:line="360" w:lineRule="auto"/>
        <w:rPr>
          <w:rFonts w:ascii="宋体" w:hAnsi="宋体"/>
          <w:color w:val="000000" w:themeColor="text1"/>
          <w:sz w:val="21"/>
          <w:szCs w:val="21"/>
          <w:highlight w:val="none"/>
          <w14:textFill>
            <w14:solidFill>
              <w14:schemeClr w14:val="tx1"/>
            </w14:solidFill>
          </w14:textFill>
        </w:rPr>
      </w:pPr>
      <w:bookmarkStart w:id="187" w:name="_Toc22531"/>
      <w:bookmarkStart w:id="188" w:name="_Toc367780342"/>
      <w:r>
        <w:rPr>
          <w:rFonts w:hint="eastAsia" w:ascii="宋体" w:hAnsi="宋体"/>
          <w:color w:val="000000" w:themeColor="text1"/>
          <w:sz w:val="21"/>
          <w:szCs w:val="21"/>
          <w:highlight w:val="none"/>
          <w14:textFill>
            <w14:solidFill>
              <w14:schemeClr w14:val="tx1"/>
            </w14:solidFill>
          </w14:textFill>
        </w:rPr>
        <w:t>34</w:t>
      </w:r>
      <w:r>
        <w:rPr>
          <w:rFonts w:hint="eastAsia" w:ascii="宋体" w:hAnsi="宋体"/>
          <w:color w:val="000000" w:themeColor="text1"/>
          <w:sz w:val="21"/>
          <w:szCs w:val="21"/>
          <w:highlight w:val="none"/>
          <w14:textFill>
            <w14:solidFill>
              <w14:schemeClr w14:val="tx1"/>
            </w14:solidFill>
          </w14:textFill>
        </w:rPr>
        <w:tab/>
      </w:r>
      <w:r>
        <w:rPr>
          <w:rFonts w:hint="eastAsia" w:ascii="宋体" w:hAnsi="宋体"/>
          <w:color w:val="000000" w:themeColor="text1"/>
          <w:sz w:val="21"/>
          <w:szCs w:val="21"/>
          <w:highlight w:val="none"/>
          <w14:textFill>
            <w14:solidFill>
              <w14:schemeClr w14:val="tx1"/>
            </w14:solidFill>
          </w14:textFill>
        </w:rPr>
        <w:t xml:space="preserve">   签订合同</w:t>
      </w:r>
      <w:bookmarkEnd w:id="187"/>
      <w:bookmarkEnd w:id="188"/>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4</w:t>
      </w:r>
      <w:r>
        <w:rPr>
          <w:rFonts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采购人应当按照谈判文件和成交供应商谈判响应文件的约定，与成交供应商签订书面合同。所签订的合同不得对谈判文件和成交供应商谈判响应文件作实质性修改。采购人不得向成交供应商提出任何不合理的要求，作为签订合同的条件，不得与成交供应商私下订立背离合同实质性内容的协议。</w:t>
      </w: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4</w:t>
      </w:r>
      <w:r>
        <w:rPr>
          <w:rFonts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谈判文件、成交供应商的谈判文件及其澄清文件等，均为签订合同的依据。</w:t>
      </w: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4</w:t>
      </w:r>
      <w:r>
        <w:rPr>
          <w:rFonts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采购人应当自采购合同签订之日起七个工作日内，按照有关规定将采购合同副本报同级人民政府财政部门和</w:t>
      </w:r>
      <w:r>
        <w:rPr>
          <w:rFonts w:hint="eastAsia" w:ascii="宋体" w:hAnsi="宋体"/>
          <w:bCs/>
          <w:color w:val="000000" w:themeColor="text1"/>
          <w:szCs w:val="21"/>
          <w:highlight w:val="none"/>
          <w:lang w:eastAsia="zh-CN"/>
          <w14:textFill>
            <w14:solidFill>
              <w14:schemeClr w14:val="tx1"/>
            </w14:solidFill>
          </w14:textFill>
        </w:rPr>
        <w:t>广东业信招标有限公司</w:t>
      </w:r>
      <w:r>
        <w:rPr>
          <w:rFonts w:hint="eastAsia" w:ascii="宋体" w:hAnsi="宋体"/>
          <w:bCs/>
          <w:color w:val="000000" w:themeColor="text1"/>
          <w:szCs w:val="21"/>
          <w:highlight w:val="none"/>
          <w14:textFill>
            <w14:solidFill>
              <w14:schemeClr w14:val="tx1"/>
            </w14:solidFill>
          </w14:textFill>
        </w:rPr>
        <w:t>备案。</w:t>
      </w:r>
      <w:bookmarkStart w:id="189" w:name="_Toc200414511"/>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pStyle w:val="3"/>
        <w:numPr>
          <w:ilvl w:val="0"/>
          <w:numId w:val="0"/>
        </w:numPr>
        <w:jc w:val="center"/>
        <w:rPr>
          <w:color w:val="000000" w:themeColor="text1"/>
          <w:sz w:val="24"/>
          <w:highlight w:val="none"/>
          <w14:textFill>
            <w14:solidFill>
              <w14:schemeClr w14:val="tx1"/>
            </w14:solidFill>
          </w14:textFill>
        </w:rPr>
      </w:pPr>
      <w:bookmarkStart w:id="190" w:name="_Toc432682726"/>
      <w:bookmarkStart w:id="191" w:name="_Toc499041071"/>
      <w:bookmarkStart w:id="192" w:name="_Toc19378"/>
      <w:bookmarkStart w:id="193" w:name="_Toc430771059"/>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90"/>
      <w:bookmarkEnd w:id="191"/>
      <w:bookmarkEnd w:id="192"/>
      <w:bookmarkEnd w:id="193"/>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94" w:name="_Toc430185803"/>
      <w:bookmarkStart w:id="195" w:name="_Toc430771060"/>
      <w:r>
        <w:rPr>
          <w:rFonts w:hint="eastAsia" w:ascii="宋体" w:hAnsi="宋体" w:eastAsia="宋体" w:cs="宋体"/>
          <w:color w:val="000000" w:themeColor="text1"/>
          <w:highlight w:val="none"/>
          <w14:textFill>
            <w14:solidFill>
              <w14:schemeClr w14:val="tx1"/>
            </w14:solidFill>
          </w14:textFill>
        </w:rPr>
        <w:t xml:space="preserve">35     </w:t>
      </w:r>
      <w:bookmarkStart w:id="196"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94"/>
      <w:bookmarkEnd w:id="195"/>
      <w:bookmarkEnd w:id="196"/>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97" w:name="_Toc430185804"/>
      <w:bookmarkStart w:id="198" w:name="_Toc430771061"/>
      <w:r>
        <w:rPr>
          <w:rFonts w:hint="eastAsia" w:ascii="宋体" w:hAnsi="宋体" w:eastAsia="宋体" w:cs="宋体"/>
          <w:color w:val="000000" w:themeColor="text1"/>
          <w:highlight w:val="none"/>
          <w14:textFill>
            <w14:solidFill>
              <w14:schemeClr w14:val="tx1"/>
            </w14:solidFill>
          </w14:textFill>
        </w:rPr>
        <w:t>36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97"/>
      <w:bookmarkEnd w:id="198"/>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99" w:name="_Toc430771062"/>
      <w:bookmarkStart w:id="200" w:name="_Toc430185805"/>
      <w:r>
        <w:rPr>
          <w:rFonts w:hint="eastAsia" w:ascii="宋体" w:hAnsi="宋体" w:eastAsia="宋体" w:cs="宋体"/>
          <w:color w:val="000000" w:themeColor="text1"/>
          <w:highlight w:val="none"/>
          <w14:textFill>
            <w14:solidFill>
              <w14:schemeClr w14:val="tx1"/>
            </w14:solidFill>
          </w14:textFill>
        </w:rPr>
        <w:t>37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99"/>
      <w:bookmarkEnd w:id="200"/>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201" w:name="_Toc430771063"/>
      <w:bookmarkStart w:id="202" w:name="_Toc430185806"/>
      <w:r>
        <w:rPr>
          <w:rFonts w:hint="eastAsia" w:ascii="宋体" w:hAnsi="宋体" w:eastAsia="宋体" w:cs="宋体"/>
          <w:color w:val="000000" w:themeColor="text1"/>
          <w:highlight w:val="none"/>
          <w14:textFill>
            <w14:solidFill>
              <w14:schemeClr w14:val="tx1"/>
            </w14:solidFill>
          </w14:textFill>
        </w:rPr>
        <w:t>38     根据《关于印发《政府采购促进中小企业发展管理方法》的通知》（财库[2020]46号）的规定，投标人投标时需注意：</w:t>
      </w:r>
      <w:bookmarkEnd w:id="201"/>
      <w:bookmarkEnd w:id="202"/>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38.1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38.2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38.3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38.4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38.</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2"/>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eastAsia="宋体" w:cs="宋体"/>
                <w:color w:val="000000" w:themeColor="text1"/>
                <w:szCs w:val="21"/>
                <w:highlight w:val="none"/>
                <w:u w:val="single"/>
                <w14:textFill>
                  <w14:solidFill>
                    <w14:schemeClr w14:val="tx1"/>
                  </w14:solidFill>
                </w14:textFill>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eastAsia="宋体" w:cs="宋体"/>
                <w:color w:val="000000" w:themeColor="text1"/>
                <w:szCs w:val="21"/>
                <w:highlight w:val="none"/>
                <w:u w:val="single"/>
                <w14:textFill>
                  <w14:solidFill>
                    <w14:schemeClr w14:val="tx1"/>
                  </w14:solidFill>
                </w14:textFill>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eastAsia="宋体" w:cs="宋体"/>
                <w:color w:val="000000" w:themeColor="text1"/>
                <w:szCs w:val="21"/>
                <w:highlight w:val="none"/>
                <w:u w:val="single"/>
                <w14:textFill>
                  <w14:solidFill>
                    <w14:schemeClr w14:val="tx1"/>
                  </w14:solidFill>
                </w14:textFill>
              </w:rPr>
              <w:t>6%</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eastAsia="宋体" w:cs="宋体"/>
                <w:color w:val="000000" w:themeColor="text1"/>
                <w:szCs w:val="21"/>
                <w:highlight w:val="none"/>
                <w:u w:val="single"/>
                <w14:textFill>
                  <w14:solidFill>
                    <w14:schemeClr w14:val="tx1"/>
                  </w14:solidFill>
                </w14:textFill>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1-2%</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szCs w:val="21"/>
          <w:highlight w:val="none"/>
          <w14:textFill>
            <w14:solidFill>
              <w14:schemeClr w14:val="tx1"/>
            </w14:solidFill>
          </w14:textFill>
        </w:rPr>
      </w:pPr>
    </w:p>
    <w:p>
      <w:pPr>
        <w:pStyle w:val="2"/>
        <w:numPr>
          <w:ilvl w:val="0"/>
          <w:numId w:val="0"/>
        </w:numPr>
        <w:spacing w:after="120" w:line="360" w:lineRule="auto"/>
        <w:jc w:val="center"/>
        <w:rPr>
          <w:rFonts w:ascii="宋体" w:hAnsi="宋体"/>
          <w:color w:val="000000" w:themeColor="text1"/>
          <w:sz w:val="21"/>
          <w:szCs w:val="21"/>
          <w:highlight w:val="none"/>
          <w14:textFill>
            <w14:solidFill>
              <w14:schemeClr w14:val="tx1"/>
            </w14:solidFill>
          </w14:textFill>
        </w:rPr>
      </w:pPr>
      <w:bookmarkStart w:id="203" w:name="_Toc21043"/>
      <w:r>
        <w:rPr>
          <w:rFonts w:hint="eastAsia" w:ascii="宋体" w:hAnsi="宋体"/>
          <w:color w:val="000000" w:themeColor="text1"/>
          <w:sz w:val="21"/>
          <w:szCs w:val="21"/>
          <w:highlight w:val="none"/>
          <w14:textFill>
            <w14:solidFill>
              <w14:schemeClr w14:val="tx1"/>
            </w14:solidFill>
          </w14:textFill>
        </w:rPr>
        <w:t>第四部分  合同书格式（参考范本）</w:t>
      </w:r>
      <w:bookmarkEnd w:id="189"/>
      <w:bookmarkEnd w:id="203"/>
    </w:p>
    <w:p>
      <w:pPr>
        <w:spacing w:line="360" w:lineRule="auto"/>
        <w:rPr>
          <w:rFonts w:ascii="宋体" w:hAnsi="宋体"/>
          <w:bCs/>
          <w:color w:val="000000" w:themeColor="text1"/>
          <w:szCs w:val="21"/>
          <w:highlight w:val="none"/>
          <w14:textFill>
            <w14:solidFill>
              <w14:schemeClr w14:val="tx1"/>
            </w14:solidFill>
          </w14:textFill>
        </w:rPr>
      </w:pPr>
    </w:p>
    <w:p>
      <w:pPr>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甲方（采购人）：</w:t>
      </w:r>
    </w:p>
    <w:p>
      <w:pPr>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乙方（成交供应商）：</w:t>
      </w:r>
    </w:p>
    <w:p>
      <w:pPr>
        <w:spacing w:line="480" w:lineRule="auto"/>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p>
    <w:p>
      <w:pPr>
        <w:spacing w:line="48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甲乙双方根据</w:t>
      </w:r>
      <w:r>
        <w:rPr>
          <w:rFonts w:ascii="宋体" w:hAnsi="宋体"/>
          <w:bCs/>
          <w:color w:val="000000" w:themeColor="text1"/>
          <w:szCs w:val="21"/>
          <w:highlight w:val="none"/>
          <w14:textFill>
            <w14:solidFill>
              <w14:schemeClr w14:val="tx1"/>
            </w14:solidFill>
          </w14:textFill>
        </w:rPr>
        <w:t>年月日</w:t>
      </w:r>
      <w:r>
        <w:rPr>
          <w:rFonts w:hint="eastAsia" w:ascii="宋体" w:hAnsi="宋体" w:cs="宋体"/>
          <w:color w:val="000000" w:themeColor="text1"/>
          <w:szCs w:val="21"/>
          <w:highlight w:val="none"/>
          <w:u w:val="single"/>
          <w14:textFill>
            <w14:solidFill>
              <w14:schemeClr w14:val="tx1"/>
            </w14:solidFill>
          </w14:textFill>
        </w:rPr>
        <w:t xml:space="preserve">  采购项目名称  </w:t>
      </w: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）招标结果和有关招、报价文件的要求，经双方协商一致，订立以下合同：</w:t>
      </w:r>
    </w:p>
    <w:p>
      <w:pPr>
        <w:tabs>
          <w:tab w:val="left" w:pos="1004"/>
        </w:tabs>
        <w:spacing w:line="48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第一条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项目的名称、单价、总价，项目所包含服务的范围</w:t>
      </w:r>
    </w:p>
    <w:p>
      <w:pPr>
        <w:tabs>
          <w:tab w:val="left" w:pos="1004"/>
        </w:tabs>
        <w:spacing w:line="480" w:lineRule="auto"/>
        <w:ind w:right="31" w:rightChars="15"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项目名称：</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480" w:lineRule="auto"/>
        <w:ind w:right="31" w:rightChars="15"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服务范围：</w:t>
      </w:r>
      <w:r>
        <w:rPr>
          <w:rFonts w:hint="eastAsia" w:ascii="宋体" w:hAnsi="宋体"/>
          <w:bCs/>
          <w:color w:val="000000" w:themeColor="text1"/>
          <w:szCs w:val="21"/>
          <w:highlight w:val="none"/>
          <w:u w:val="single"/>
          <w14:textFill>
            <w14:solidFill>
              <w14:schemeClr w14:val="tx1"/>
            </w14:solidFill>
          </w14:textFill>
        </w:rPr>
        <w:t xml:space="preserve">（另附）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480" w:lineRule="auto"/>
        <w:ind w:right="31" w:rightChars="15" w:firstLine="1003" w:firstLineChars="478"/>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3. 项目总价：</w:t>
      </w:r>
      <w:r>
        <w:rPr>
          <w:rFonts w:hint="eastAsia" w:ascii="宋体" w:hAnsi="宋体"/>
          <w:bCs/>
          <w:color w:val="000000" w:themeColor="text1"/>
          <w:szCs w:val="21"/>
          <w:highlight w:val="none"/>
          <w:u w:val="single"/>
          <w14:textFill>
            <w14:solidFill>
              <w14:schemeClr w14:val="tx1"/>
            </w14:solidFill>
          </w14:textFill>
        </w:rPr>
        <w:t xml:space="preserve">（小写）                               </w:t>
      </w:r>
    </w:p>
    <w:p>
      <w:pPr>
        <w:tabs>
          <w:tab w:val="left" w:pos="1004"/>
        </w:tabs>
        <w:spacing w:line="480" w:lineRule="auto"/>
        <w:ind w:right="31" w:rightChars="15" w:firstLine="2261" w:firstLineChars="1077"/>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u w:val="single"/>
          <w14:textFill>
            <w14:solidFill>
              <w14:schemeClr w14:val="tx1"/>
            </w14:solidFill>
          </w14:textFill>
        </w:rPr>
        <w:t xml:space="preserve">（大写）                               </w:t>
      </w:r>
    </w:p>
    <w:p>
      <w:pPr>
        <w:tabs>
          <w:tab w:val="left" w:pos="1004"/>
        </w:tabs>
        <w:spacing w:line="480" w:lineRule="auto"/>
        <w:ind w:right="31" w:rightChars="15"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甲方不再另付任何费用。项目总价为完成项目含税的全包价。</w:t>
      </w:r>
    </w:p>
    <w:p>
      <w:pPr>
        <w:tabs>
          <w:tab w:val="left" w:pos="1004"/>
        </w:tabs>
        <w:spacing w:line="48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第二条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服务的质量要求、售后服务、培训费用及损害赔偿。</w:t>
      </w:r>
    </w:p>
    <w:p>
      <w:pPr>
        <w:tabs>
          <w:tab w:val="left" w:pos="1004"/>
        </w:tabs>
        <w:spacing w:line="48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第三条</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服务和验收</w:t>
      </w:r>
    </w:p>
    <w:p>
      <w:pPr>
        <w:tabs>
          <w:tab w:val="left" w:pos="1004"/>
        </w:tabs>
        <w:spacing w:line="48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1.服务期：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48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2.服务地点：</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480" w:lineRule="auto"/>
        <w:ind w:left="1361" w:leftChars="428" w:right="31" w:rightChars="15" w:hanging="462" w:hangingChars="2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3.验收时间：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480" w:lineRule="auto"/>
        <w:ind w:right="31" w:rightChars="15"/>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4.服务验收方式：</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spacing w:line="480" w:lineRule="auto"/>
        <w:ind w:right="31" w:rightChars="15" w:firstLine="1050" w:firstLineChars="5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5.验收标准：</w:t>
      </w:r>
    </w:p>
    <w:p>
      <w:pPr>
        <w:numPr>
          <w:ilvl w:val="6"/>
          <w:numId w:val="21"/>
        </w:numPr>
        <w:tabs>
          <w:tab w:val="left" w:pos="1680"/>
        </w:tabs>
        <w:spacing w:line="480" w:lineRule="auto"/>
        <w:ind w:left="1680" w:hanging="315"/>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质量符合报价文件和报价文件的要求；</w:t>
      </w:r>
    </w:p>
    <w:p>
      <w:pPr>
        <w:numPr>
          <w:ilvl w:val="6"/>
          <w:numId w:val="21"/>
        </w:numPr>
        <w:tabs>
          <w:tab w:val="left" w:pos="1680"/>
          <w:tab w:val="clear" w:pos="4830"/>
        </w:tabs>
        <w:spacing w:line="480" w:lineRule="auto"/>
        <w:ind w:left="1680" w:right="31" w:rightChars="15" w:hanging="3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双方约定的其他验收标准。</w:t>
      </w:r>
      <w:r>
        <w:rPr>
          <w:rFonts w:hint="eastAsia" w:ascii="宋体" w:hAnsi="宋体"/>
          <w:bCs/>
          <w:color w:val="000000" w:themeColor="text1"/>
          <w:szCs w:val="21"/>
          <w:highlight w:val="none"/>
          <w14:textFill>
            <w14:solidFill>
              <w14:schemeClr w14:val="tx1"/>
            </w14:solidFill>
          </w14:textFill>
        </w:rPr>
        <w:tab/>
      </w:r>
    </w:p>
    <w:p>
      <w:pPr>
        <w:tabs>
          <w:tab w:val="left" w:pos="1004"/>
        </w:tabs>
        <w:spacing w:line="48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第四条   价款的结算、付款时间</w:t>
      </w:r>
    </w:p>
    <w:p>
      <w:pPr>
        <w:numPr>
          <w:ilvl w:val="0"/>
          <w:numId w:val="22"/>
        </w:numPr>
        <w:tabs>
          <w:tab w:val="left" w:pos="945"/>
        </w:tabs>
        <w:adjustRightInd w:val="0"/>
        <w:snapToGrid w:val="0"/>
        <w:spacing w:line="480" w:lineRule="auto"/>
        <w:ind w:right="31" w:rightChars="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付款方式：</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numPr>
          <w:ilvl w:val="0"/>
          <w:numId w:val="22"/>
        </w:numPr>
        <w:tabs>
          <w:tab w:val="left" w:pos="1155"/>
          <w:tab w:val="clear" w:pos="1203"/>
        </w:tabs>
        <w:adjustRightInd w:val="0"/>
        <w:snapToGrid w:val="0"/>
        <w:spacing w:line="480" w:lineRule="auto"/>
        <w:ind w:right="31" w:rightChars="15"/>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付款时间：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w:t>
      </w:r>
    </w:p>
    <w:p>
      <w:pPr>
        <w:tabs>
          <w:tab w:val="left" w:pos="945"/>
        </w:tabs>
        <w:adjustRightInd w:val="0"/>
        <w:snapToGrid w:val="0"/>
        <w:spacing w:line="480" w:lineRule="auto"/>
        <w:ind w:left="945" w:right="31" w:rightChars="15" w:hanging="945" w:hangingChars="4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第五条   对产品异议的时间和办法</w:t>
      </w:r>
    </w:p>
    <w:p>
      <w:pPr>
        <w:tabs>
          <w:tab w:val="left" w:pos="1255"/>
        </w:tabs>
        <w:spacing w:line="480" w:lineRule="auto"/>
        <w:ind w:left="1258" w:leftChars="429" w:right="31" w:rightChars="15"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甲方在验收中，如果发现乙方所提供的服务质量或相关服务不合规定的，在</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日内向乙方提出书面异议；甲方怠于通知乙方的，视为乙方所提供的服务合乎规定。</w:t>
      </w:r>
    </w:p>
    <w:p>
      <w:pPr>
        <w:tabs>
          <w:tab w:val="left" w:pos="1255"/>
        </w:tabs>
        <w:spacing w:line="480" w:lineRule="auto"/>
        <w:ind w:left="1258" w:leftChars="429" w:right="31" w:rightChars="15"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乙方在接到甲方书面异议后，应在</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日历日内负责处理，否则，即视为默认甲方提出的异议和处理意见。</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第六条   乙方的违约责任</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1. 乙方所提供的服务质量、拟投入人员不符合合同规定的，由乙方负责按照原报价文件、更正公告内容和质疑答疑文件（若有）、报价文件、中标（成交）通知书等实质性内容重新免费提供该项目服务内容。</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2. 每推迟一天按总价的</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罚款。</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第七条</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甲方的违约责任</w:t>
      </w:r>
    </w:p>
    <w:p>
      <w:pPr>
        <w:tabs>
          <w:tab w:val="left" w:pos="1004"/>
        </w:tabs>
        <w:spacing w:line="48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甲方逾期付款的，每日应向乙方偿付合同总额的</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作为违约金。</w:t>
      </w:r>
    </w:p>
    <w:p>
      <w:pPr>
        <w:tabs>
          <w:tab w:val="left" w:pos="1004"/>
        </w:tabs>
        <w:spacing w:line="48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甲方违反合同规定拒绝接货的，应当承担由此对乙方造成的损失。</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第八条    不可抗力</w:t>
      </w:r>
    </w:p>
    <w:p>
      <w:pPr>
        <w:tabs>
          <w:tab w:val="left" w:pos="1004"/>
        </w:tabs>
        <w:spacing w:line="48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1.不可抗力事故系指买卖双方在缔结合同时所不能预见的，并且它的发生及其后果是无法避免和无法克服的事故。受阻一方应在不可抗力事故发生后尽快用电报、传真或电话通知对方，并于事故发生后</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个工作日内将有关当局出具的证明文件用专人递交、特快专递或挂号信寄给对方审阅确认。</w:t>
      </w:r>
    </w:p>
    <w:p>
      <w:pPr>
        <w:tabs>
          <w:tab w:val="left" w:pos="1004"/>
        </w:tabs>
        <w:spacing w:line="48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2.签约双方任一方由于不可抗力事故的影响而不能执行合同时，经确认后，允许延期履行、部分履行或不履行合同，根据情况可部分或全部免予承担违约责任。</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第九条  争议的解决</w:t>
      </w:r>
    </w:p>
    <w:p>
      <w:pPr>
        <w:tabs>
          <w:tab w:val="left" w:pos="1004"/>
        </w:tabs>
        <w:spacing w:line="48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因服务期间质量问题发生争议，由法律及有关规章规定的技术单位进行质量鉴定，双方无条件服从该鉴定的结论。</w:t>
      </w:r>
    </w:p>
    <w:p>
      <w:pPr>
        <w:tabs>
          <w:tab w:val="left" w:pos="1255"/>
        </w:tabs>
        <w:spacing w:line="48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2. </w:t>
      </w:r>
      <w:r>
        <w:rPr>
          <w:rFonts w:hint="eastAsia" w:ascii="宋体" w:hAnsi="宋体"/>
          <w:color w:val="000000" w:themeColor="text1"/>
          <w:szCs w:val="21"/>
          <w:highlight w:val="none"/>
          <w14:textFill>
            <w14:solidFill>
              <w14:schemeClr w14:val="tx1"/>
            </w14:solidFill>
          </w14:textFill>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第十条  监督和管理</w:t>
      </w:r>
    </w:p>
    <w:p>
      <w:pPr>
        <w:tabs>
          <w:tab w:val="left" w:pos="1004"/>
        </w:tabs>
        <w:spacing w:line="48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本项目合同订立后，应提供至</w:t>
      </w:r>
      <w:r>
        <w:rPr>
          <w:rFonts w:hint="eastAsia" w:ascii="宋体" w:hAnsi="宋体"/>
          <w:bCs/>
          <w:color w:val="000000" w:themeColor="text1"/>
          <w:szCs w:val="21"/>
          <w:highlight w:val="none"/>
          <w:u w:val="single"/>
          <w:lang w:eastAsia="zh-CN"/>
          <w14:textFill>
            <w14:solidFill>
              <w14:schemeClr w14:val="tx1"/>
            </w14:solidFill>
          </w14:textFill>
        </w:rPr>
        <w:t>广东业信招标有限公司</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备案；</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第十一条  无效合同</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甲乙双方如因违反国家法律、法规和有关政府采购规定，导致合同无效，责任由过错方承担。</w:t>
      </w:r>
    </w:p>
    <w:p>
      <w:pPr>
        <w:tabs>
          <w:tab w:val="left" w:pos="1004"/>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第十二条  附则   </w:t>
      </w:r>
    </w:p>
    <w:p>
      <w:pPr>
        <w:tabs>
          <w:tab w:val="left" w:pos="1004"/>
        </w:tabs>
        <w:spacing w:line="48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本合同一式</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份，甲乙双方各执</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份。</w:t>
      </w:r>
    </w:p>
    <w:p>
      <w:pPr>
        <w:spacing w:line="480" w:lineRule="auto"/>
        <w:ind w:left="752" w:leftChars="358" w:firstLine="420"/>
        <w:rPr>
          <w:rFonts w:ascii="宋体" w:hAnsi="宋体"/>
          <w:bCs/>
          <w:color w:val="000000" w:themeColor="text1"/>
          <w:szCs w:val="21"/>
          <w:highlight w:val="none"/>
          <w14:textFill>
            <w14:solidFill>
              <w14:schemeClr w14:val="tx1"/>
            </w14:solidFill>
          </w14:textFill>
        </w:rPr>
      </w:pPr>
    </w:p>
    <w:p>
      <w:pPr>
        <w:spacing w:line="480" w:lineRule="auto"/>
        <w:ind w:left="752" w:leftChars="358" w:firstLine="420"/>
        <w:rPr>
          <w:rFonts w:ascii="宋体" w:hAnsi="宋体"/>
          <w:bCs/>
          <w:color w:val="000000" w:themeColor="text1"/>
          <w:szCs w:val="21"/>
          <w:highlight w:val="none"/>
          <w14:textFill>
            <w14:solidFill>
              <w14:schemeClr w14:val="tx1"/>
            </w14:solidFill>
          </w14:textFill>
        </w:rPr>
      </w:pPr>
    </w:p>
    <w:p>
      <w:pPr>
        <w:tabs>
          <w:tab w:val="left" w:pos="4267"/>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甲方：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乙方：</w:t>
      </w:r>
    </w:p>
    <w:p>
      <w:pPr>
        <w:tabs>
          <w:tab w:val="left" w:pos="1004"/>
          <w:tab w:val="left" w:pos="4267"/>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法定代表人：</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法定代表人：</w:t>
      </w:r>
    </w:p>
    <w:p>
      <w:pPr>
        <w:tabs>
          <w:tab w:val="left" w:pos="1004"/>
          <w:tab w:val="left" w:pos="4267"/>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委托代理人：</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委托代理人：</w:t>
      </w:r>
    </w:p>
    <w:p>
      <w:pPr>
        <w:tabs>
          <w:tab w:val="left" w:pos="4267"/>
          <w:tab w:val="left" w:pos="4360"/>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地址：</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地址：</w:t>
      </w:r>
    </w:p>
    <w:p>
      <w:pPr>
        <w:tabs>
          <w:tab w:val="left" w:pos="1004"/>
          <w:tab w:val="left" w:pos="4267"/>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开户银行：</w:t>
      </w:r>
    </w:p>
    <w:p>
      <w:pPr>
        <w:tabs>
          <w:tab w:val="left" w:pos="4267"/>
          <w:tab w:val="left" w:pos="4360"/>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帐号：</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帐号：</w:t>
      </w:r>
    </w:p>
    <w:p>
      <w:pPr>
        <w:tabs>
          <w:tab w:val="left" w:pos="4267"/>
          <w:tab w:val="left" w:pos="4360"/>
        </w:tabs>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电话：</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电话：</w:t>
      </w:r>
    </w:p>
    <w:p>
      <w:pPr>
        <w:tabs>
          <w:tab w:val="left" w:pos="1004"/>
        </w:tabs>
        <w:spacing w:line="480" w:lineRule="auto"/>
        <w:ind w:firstLine="630" w:firstLineChars="3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年  月  日                          年  月  日</w:t>
      </w:r>
    </w:p>
    <w:p>
      <w:pPr>
        <w:tabs>
          <w:tab w:val="left" w:pos="1004"/>
        </w:tabs>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本合同样本仅供参考，具体条款内容由采购人和成交单位协商确定，但不得改变谈判文件、谈判响应文件、成交通知书等实质性内容</w:t>
      </w:r>
      <w:r>
        <w:rPr>
          <w:rFonts w:hint="eastAsia" w:ascii="宋体" w:hAnsi="宋体"/>
          <w:bCs/>
          <w:color w:val="000000" w:themeColor="text1"/>
          <w:szCs w:val="21"/>
          <w:highlight w:val="none"/>
          <w14:textFill>
            <w14:solidFill>
              <w14:schemeClr w14:val="tx1"/>
            </w14:solidFill>
          </w14:textFill>
        </w:rPr>
        <w:t>。</w:t>
      </w: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spacing w:line="360" w:lineRule="auto"/>
        <w:rPr>
          <w:rFonts w:ascii="宋体" w:hAnsi="宋体"/>
          <w:bCs/>
          <w:color w:val="000000" w:themeColor="text1"/>
          <w:szCs w:val="21"/>
          <w:highlight w:val="none"/>
          <w14:textFill>
            <w14:solidFill>
              <w14:schemeClr w14:val="tx1"/>
            </w14:solidFill>
          </w14:textFill>
        </w:rPr>
      </w:pPr>
    </w:p>
    <w:p>
      <w:pPr>
        <w:pStyle w:val="2"/>
        <w:numPr>
          <w:ilvl w:val="0"/>
          <w:numId w:val="0"/>
        </w:numPr>
        <w:spacing w:after="120" w:line="360" w:lineRule="auto"/>
        <w:jc w:val="center"/>
        <w:rPr>
          <w:rFonts w:ascii="宋体" w:hAnsi="宋体"/>
          <w:color w:val="000000" w:themeColor="text1"/>
          <w:sz w:val="21"/>
          <w:szCs w:val="21"/>
          <w:highlight w:val="none"/>
          <w14:textFill>
            <w14:solidFill>
              <w14:schemeClr w14:val="tx1"/>
            </w14:solidFill>
          </w14:textFill>
        </w:rPr>
      </w:pPr>
      <w:bookmarkStart w:id="204" w:name="_Toc200414512"/>
      <w:bookmarkStart w:id="205" w:name="_Toc32372"/>
      <w:r>
        <w:rPr>
          <w:rFonts w:hint="eastAsia" w:ascii="宋体" w:hAnsi="宋体"/>
          <w:color w:val="000000" w:themeColor="text1"/>
          <w:sz w:val="21"/>
          <w:szCs w:val="21"/>
          <w:highlight w:val="none"/>
          <w14:textFill>
            <w14:solidFill>
              <w14:schemeClr w14:val="tx1"/>
            </w14:solidFill>
          </w14:textFill>
        </w:rPr>
        <w:t>第五部分  谈判文件格式</w:t>
      </w:r>
      <w:bookmarkEnd w:id="204"/>
      <w:bookmarkEnd w:id="205"/>
    </w:p>
    <w:p>
      <w:pPr>
        <w:pStyle w:val="3"/>
        <w:numPr>
          <w:ilvl w:val="1"/>
          <w:numId w:val="0"/>
        </w:numPr>
        <w:spacing w:line="360" w:lineRule="auto"/>
        <w:jc w:val="center"/>
        <w:rPr>
          <w:rFonts w:ascii="宋体" w:hAnsi="宋体" w:eastAsia="宋体"/>
          <w:color w:val="000000" w:themeColor="text1"/>
          <w:highlight w:val="none"/>
          <w14:textFill>
            <w14:solidFill>
              <w14:schemeClr w14:val="tx1"/>
            </w14:solidFill>
          </w14:textFill>
        </w:rPr>
      </w:pPr>
      <w:bookmarkStart w:id="206" w:name="_Toc19731"/>
      <w:bookmarkStart w:id="207" w:name="_Toc200414513"/>
      <w:r>
        <w:rPr>
          <w:rFonts w:hint="eastAsia" w:ascii="宋体" w:hAnsi="宋体" w:eastAsia="宋体"/>
          <w:color w:val="000000" w:themeColor="text1"/>
          <w:highlight w:val="none"/>
          <w14:textFill>
            <w14:solidFill>
              <w14:schemeClr w14:val="tx1"/>
            </w14:solidFill>
          </w14:textFill>
        </w:rPr>
        <w:t>封面格式</w:t>
      </w:r>
      <w:bookmarkEnd w:id="206"/>
      <w:bookmarkEnd w:id="207"/>
    </w:p>
    <w:p>
      <w:pPr>
        <w:pStyle w:val="8"/>
        <w:spacing w:line="360" w:lineRule="auto"/>
        <w:rPr>
          <w:rFonts w:ascii="宋体" w:hAnsi="宋体"/>
          <w:bCs/>
          <w:color w:val="000000" w:themeColor="text1"/>
          <w:szCs w:val="24"/>
          <w:highlight w:val="none"/>
          <w14:textFill>
            <w14:solidFill>
              <w14:schemeClr w14:val="tx1"/>
            </w14:solidFill>
          </w14:textFill>
        </w:rPr>
      </w:pPr>
    </w:p>
    <w:p>
      <w:pPr>
        <w:pStyle w:val="8"/>
        <w:spacing w:line="360" w:lineRule="auto"/>
        <w:rPr>
          <w:rFonts w:ascii="宋体" w:hAnsi="宋体"/>
          <w:bCs/>
          <w:color w:val="000000" w:themeColor="text1"/>
          <w:szCs w:val="24"/>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文件内容应当编有目录、页码，按页码排序并装订成册；一切未装订成册的文件在开标、评标过程中若出现缺页、漏页等现象可能影响投标人评审结果的，后果将由投标人本人负责。</w:t>
      </w:r>
    </w:p>
    <w:p>
      <w:pPr>
        <w:pStyle w:val="8"/>
        <w:spacing w:line="360" w:lineRule="auto"/>
        <w:ind w:left="315" w:leftChars="150" w:firstLine="0"/>
        <w:rPr>
          <w:rFonts w:ascii="宋体" w:hAnsi="宋体"/>
          <w:bCs/>
          <w:color w:val="000000" w:themeColor="text1"/>
          <w:szCs w:val="24"/>
          <w:highlight w:val="non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谈判响应文件的封面格式由供应商自拟，并应注明“谈判响应文件、项目编号、项目名称、供应商</w:t>
      </w:r>
    </w:p>
    <w:p>
      <w:pPr>
        <w:pStyle w:val="8"/>
        <w:spacing w:line="360" w:lineRule="auto"/>
        <w:ind w:firstLine="0"/>
        <w:rPr>
          <w:rFonts w:ascii="宋体" w:hAnsi="宋体"/>
          <w:bCs/>
          <w:color w:val="000000" w:themeColor="text1"/>
          <w:szCs w:val="24"/>
          <w:highlight w:val="non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名称及地址、法定代表人（负责人）或授权代理人、联系电话、传真、邮编，并加盖供应商公章。如：</w:t>
      </w:r>
    </w:p>
    <w:p>
      <w:pPr>
        <w:pStyle w:val="8"/>
        <w:spacing w:line="360" w:lineRule="auto"/>
        <w:rPr>
          <w:rFonts w:ascii="宋体" w:hAnsi="宋体"/>
          <w:bCs/>
          <w:color w:val="000000" w:themeColor="text1"/>
          <w:szCs w:val="24"/>
          <w:highlight w:val="none"/>
          <w14:textFill>
            <w14:solidFill>
              <w14:schemeClr w14:val="tx1"/>
            </w14:solidFill>
          </w14:textFill>
        </w:rPr>
      </w:pPr>
    </w:p>
    <w:p>
      <w:pPr>
        <w:pStyle w:val="8"/>
        <w:spacing w:line="360" w:lineRule="auto"/>
        <w:rPr>
          <w:rFonts w:ascii="宋体" w:hAnsi="宋体"/>
          <w:bCs/>
          <w:color w:val="000000" w:themeColor="text1"/>
          <w:szCs w:val="24"/>
          <w:highlight w:val="none"/>
          <w14:textFill>
            <w14:solidFill>
              <w14:schemeClr w14:val="tx1"/>
            </w14:solidFill>
          </w14:textFill>
        </w:rPr>
      </w:pPr>
    </w:p>
    <w:p>
      <w:pPr>
        <w:pStyle w:val="8"/>
        <w:spacing w:line="360" w:lineRule="auto"/>
        <w:rPr>
          <w:rFonts w:ascii="宋体" w:hAnsi="宋体"/>
          <w:bCs/>
          <w:color w:val="000000" w:themeColor="text1"/>
          <w:szCs w:val="24"/>
          <w:highlight w:val="none"/>
          <w14:textFill>
            <w14:solidFill>
              <w14:schemeClr w14:val="tx1"/>
            </w14:solidFill>
          </w14:textFill>
        </w:rPr>
      </w:pPr>
    </w:p>
    <w:p>
      <w:pPr>
        <w:pStyle w:val="8"/>
        <w:spacing w:line="360" w:lineRule="auto"/>
        <w:jc w:val="center"/>
        <w:rPr>
          <w:rFonts w:ascii="宋体" w:hAnsi="宋体"/>
          <w:b/>
          <w:bCs/>
          <w:color w:val="000000" w:themeColor="text1"/>
          <w:sz w:val="44"/>
          <w:szCs w:val="44"/>
          <w:highlight w:val="none"/>
          <w14:textFill>
            <w14:solidFill>
              <w14:schemeClr w14:val="tx1"/>
            </w14:solidFill>
          </w14:textFill>
        </w:rPr>
      </w:pPr>
      <w:r>
        <w:rPr>
          <w:rFonts w:hint="eastAsia" w:ascii="宋体" w:hAnsi="宋体"/>
          <w:b/>
          <w:bCs/>
          <w:color w:val="000000" w:themeColor="text1"/>
          <w:sz w:val="44"/>
          <w:szCs w:val="44"/>
          <w:highlight w:val="none"/>
          <w14:textFill>
            <w14:solidFill>
              <w14:schemeClr w14:val="tx1"/>
            </w14:solidFill>
          </w14:textFill>
        </w:rPr>
        <w:t>谈判响应文件</w:t>
      </w:r>
    </w:p>
    <w:p>
      <w:pPr>
        <w:pStyle w:val="8"/>
        <w:spacing w:line="360" w:lineRule="auto"/>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（□正本、□副本）</w:t>
      </w:r>
    </w:p>
    <w:p>
      <w:pPr>
        <w:pStyle w:val="8"/>
        <w:spacing w:line="360" w:lineRule="auto"/>
        <w:jc w:val="center"/>
        <w:rPr>
          <w:rFonts w:ascii="宋体" w:hAnsi="宋体"/>
          <w:bCs/>
          <w:color w:val="000000" w:themeColor="text1"/>
          <w:szCs w:val="24"/>
          <w:highlight w:val="none"/>
          <w14:textFill>
            <w14:solidFill>
              <w14:schemeClr w14:val="tx1"/>
            </w14:solidFill>
          </w14:textFill>
        </w:rPr>
      </w:pPr>
    </w:p>
    <w:p>
      <w:pPr>
        <w:pStyle w:val="8"/>
        <w:spacing w:line="360" w:lineRule="auto"/>
        <w:jc w:val="center"/>
        <w:rPr>
          <w:rFonts w:ascii="宋体" w:hAnsi="宋体"/>
          <w:bCs/>
          <w:color w:val="000000" w:themeColor="text1"/>
          <w:szCs w:val="24"/>
          <w:highlight w:val="none"/>
          <w14:textFill>
            <w14:solidFill>
              <w14:schemeClr w14:val="tx1"/>
            </w14:solidFill>
          </w14:textFill>
        </w:rPr>
      </w:pPr>
    </w:p>
    <w:p>
      <w:pPr>
        <w:pStyle w:val="8"/>
        <w:spacing w:line="360" w:lineRule="auto"/>
        <w:rPr>
          <w:rFonts w:hint="eastAsia" w:ascii="宋体" w:hAnsi="宋体" w:eastAsia="宋体"/>
          <w:bCs/>
          <w:color w:val="000000" w:themeColor="text1"/>
          <w:szCs w:val="24"/>
          <w:highlight w:val="none"/>
          <w:lang w:eastAsia="zh-CN"/>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项目编号：</w:t>
      </w:r>
      <w:r>
        <w:rPr>
          <w:rFonts w:hint="eastAsia" w:ascii="宋体" w:hAnsi="宋体"/>
          <w:b/>
          <w:bCs/>
          <w:color w:val="000000" w:themeColor="text1"/>
          <w:szCs w:val="24"/>
          <w:highlight w:val="none"/>
          <w:u w:val="single"/>
          <w:lang w:eastAsia="zh-CN"/>
          <w14:textFill>
            <w14:solidFill>
              <w14:schemeClr w14:val="tx1"/>
            </w14:solidFill>
          </w14:textFill>
        </w:rPr>
        <w:t>YXZB-20220610</w:t>
      </w:r>
    </w:p>
    <w:p>
      <w:pPr>
        <w:pStyle w:val="8"/>
        <w:spacing w:line="360" w:lineRule="auto"/>
        <w:rPr>
          <w:rFonts w:ascii="宋体" w:hAnsi="宋体"/>
          <w:bCs/>
          <w:color w:val="000000" w:themeColor="text1"/>
          <w:szCs w:val="24"/>
          <w:highlight w:val="none"/>
          <w:u w:val="singl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项目名称，由供应商填写               </w:t>
      </w:r>
    </w:p>
    <w:p>
      <w:pPr>
        <w:pStyle w:val="8"/>
        <w:spacing w:line="360" w:lineRule="auto"/>
        <w:rPr>
          <w:rFonts w:ascii="宋体" w:hAnsi="宋体"/>
          <w:bCs/>
          <w:color w:val="000000" w:themeColor="text1"/>
          <w:szCs w:val="24"/>
          <w:highlight w:val="none"/>
          <w:u w:val="singl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供应商名称（加盖公章）：</w:t>
      </w:r>
    </w:p>
    <w:p>
      <w:pPr>
        <w:pStyle w:val="8"/>
        <w:spacing w:line="360" w:lineRule="auto"/>
        <w:rPr>
          <w:rFonts w:ascii="宋体" w:hAnsi="宋体"/>
          <w:bCs/>
          <w:color w:val="000000" w:themeColor="text1"/>
          <w:szCs w:val="24"/>
          <w:highlight w:val="none"/>
          <w:u w:val="singl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供应商地址：</w:t>
      </w:r>
    </w:p>
    <w:p>
      <w:pPr>
        <w:pStyle w:val="8"/>
        <w:spacing w:line="360" w:lineRule="auto"/>
        <w:rPr>
          <w:rFonts w:ascii="宋体" w:hAnsi="宋体"/>
          <w:bCs/>
          <w:color w:val="000000" w:themeColor="text1"/>
          <w:szCs w:val="24"/>
          <w:highlight w:val="none"/>
          <w:u w:val="singl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法定代表人（负责人）或授权代理人（签字）</w:t>
      </w:r>
      <w:r>
        <w:rPr>
          <w:rFonts w:ascii="宋体" w:hAnsi="宋体"/>
          <w:bCs/>
          <w:color w:val="000000" w:themeColor="text1"/>
          <w:szCs w:val="24"/>
          <w:highlight w:val="none"/>
          <w14:textFill>
            <w14:solidFill>
              <w14:schemeClr w14:val="tx1"/>
            </w14:solidFill>
          </w14:textFill>
        </w:rPr>
        <w:t>：</w:t>
      </w:r>
    </w:p>
    <w:p>
      <w:pPr>
        <w:pStyle w:val="8"/>
        <w:spacing w:line="360" w:lineRule="auto"/>
        <w:rPr>
          <w:rFonts w:ascii="宋体" w:hAnsi="宋体"/>
          <w:bCs/>
          <w:color w:val="000000" w:themeColor="text1"/>
          <w:szCs w:val="24"/>
          <w:highlight w:val="non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联系</w:t>
      </w:r>
      <w:r>
        <w:rPr>
          <w:rFonts w:ascii="宋体" w:hAnsi="宋体"/>
          <w:bCs/>
          <w:color w:val="000000" w:themeColor="text1"/>
          <w:szCs w:val="24"/>
          <w:highlight w:val="none"/>
          <w14:textFill>
            <w14:solidFill>
              <w14:schemeClr w14:val="tx1"/>
            </w14:solidFill>
          </w14:textFill>
        </w:rPr>
        <w:t>电话：</w:t>
      </w:r>
    </w:p>
    <w:p>
      <w:pPr>
        <w:pStyle w:val="8"/>
        <w:spacing w:line="360" w:lineRule="auto"/>
        <w:ind w:firstLineChars="200"/>
        <w:rPr>
          <w:rFonts w:ascii="宋体" w:hAnsi="宋体"/>
          <w:bCs/>
          <w:color w:val="000000" w:themeColor="text1"/>
          <w:szCs w:val="24"/>
          <w:highlight w:val="none"/>
          <w:u w:val="singl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传真：</w:t>
      </w:r>
    </w:p>
    <w:p>
      <w:pPr>
        <w:pStyle w:val="8"/>
        <w:spacing w:line="360" w:lineRule="auto"/>
        <w:rPr>
          <w:rFonts w:ascii="宋体" w:hAnsi="宋体"/>
          <w:bCs/>
          <w:color w:val="000000" w:themeColor="text1"/>
          <w:szCs w:val="24"/>
          <w:highlight w:val="none"/>
          <w:u w:val="single"/>
          <w14:textFill>
            <w14:solidFill>
              <w14:schemeClr w14:val="tx1"/>
            </w14:solidFill>
          </w14:textFill>
        </w:rPr>
      </w:pPr>
      <w:r>
        <w:rPr>
          <w:rFonts w:ascii="宋体" w:hAnsi="宋体"/>
          <w:bCs/>
          <w:color w:val="000000" w:themeColor="text1"/>
          <w:szCs w:val="24"/>
          <w:highlight w:val="none"/>
          <w14:textFill>
            <w14:solidFill>
              <w14:schemeClr w14:val="tx1"/>
            </w14:solidFill>
          </w14:textFill>
        </w:rPr>
        <w:t>邮编：</w:t>
      </w:r>
    </w:p>
    <w:p>
      <w:pPr>
        <w:pStyle w:val="8"/>
        <w:spacing w:line="360" w:lineRule="auto"/>
        <w:rPr>
          <w:rFonts w:ascii="宋体" w:hAnsi="宋体"/>
          <w:color w:val="000000" w:themeColor="text1"/>
          <w:highlight w:val="none"/>
          <w14:textFill>
            <w14:solidFill>
              <w14:schemeClr w14:val="tx1"/>
            </w14:solidFill>
          </w14:textFill>
        </w:rPr>
      </w:pPr>
      <w:r>
        <w:rPr>
          <w:rFonts w:hint="eastAsia" w:ascii="宋体" w:hAnsi="宋体"/>
          <w:bCs/>
          <w:color w:val="000000" w:themeColor="text1"/>
          <w:szCs w:val="24"/>
          <w:highlight w:val="none"/>
          <w14:textFill>
            <w14:solidFill>
              <w14:schemeClr w14:val="tx1"/>
            </w14:solidFill>
          </w14:textFill>
        </w:rPr>
        <w:t>编制日期：年月日</w:t>
      </w:r>
    </w:p>
    <w:p>
      <w:pPr>
        <w:tabs>
          <w:tab w:val="left" w:pos="1004"/>
          <w:tab w:val="left" w:pos="4267"/>
        </w:tabs>
        <w:spacing w:line="360" w:lineRule="auto"/>
        <w:rPr>
          <w:rFonts w:ascii="宋体" w:hAnsi="宋体"/>
          <w:bCs/>
          <w:color w:val="000000" w:themeColor="text1"/>
          <w:highlight w:val="none"/>
          <w14:textFill>
            <w14:solidFill>
              <w14:schemeClr w14:val="tx1"/>
            </w14:solidFill>
          </w14:textFill>
        </w:rPr>
      </w:pPr>
    </w:p>
    <w:p>
      <w:pPr>
        <w:tabs>
          <w:tab w:val="left" w:pos="1004"/>
          <w:tab w:val="left" w:pos="4267"/>
        </w:tabs>
        <w:spacing w:line="360" w:lineRule="auto"/>
        <w:ind w:firstLine="420" w:firstLineChars="200"/>
        <w:rPr>
          <w:rFonts w:ascii="宋体" w:hAnsi="宋体"/>
          <w:bCs/>
          <w:color w:val="000000" w:themeColor="text1"/>
          <w:highlight w:val="none"/>
          <w14:textFill>
            <w14:solidFill>
              <w14:schemeClr w14:val="tx1"/>
            </w14:solidFill>
          </w14:textFill>
        </w:rPr>
      </w:pPr>
    </w:p>
    <w:p>
      <w:pPr>
        <w:tabs>
          <w:tab w:val="left" w:pos="1004"/>
          <w:tab w:val="left" w:pos="4267"/>
        </w:tabs>
        <w:spacing w:line="360" w:lineRule="auto"/>
        <w:ind w:firstLine="420" w:firstLineChars="200"/>
        <w:rPr>
          <w:rFonts w:ascii="宋体" w:hAnsi="宋体"/>
          <w:bCs/>
          <w:color w:val="000000" w:themeColor="text1"/>
          <w:highlight w:val="none"/>
          <w14:textFill>
            <w14:solidFill>
              <w14:schemeClr w14:val="tx1"/>
            </w14:solidFill>
          </w14:textFill>
        </w:rPr>
      </w:pPr>
    </w:p>
    <w:p>
      <w:pPr>
        <w:tabs>
          <w:tab w:val="left" w:pos="1004"/>
          <w:tab w:val="left" w:pos="4267"/>
        </w:tabs>
        <w:spacing w:line="360" w:lineRule="auto"/>
        <w:ind w:firstLine="420" w:firstLineChars="200"/>
        <w:rPr>
          <w:rFonts w:ascii="宋体" w:hAnsi="宋体"/>
          <w:bCs/>
          <w:color w:val="000000" w:themeColor="text1"/>
          <w:highlight w:val="none"/>
          <w14:textFill>
            <w14:solidFill>
              <w14:schemeClr w14:val="tx1"/>
            </w14:solidFill>
          </w14:textFill>
        </w:rPr>
      </w:pPr>
    </w:p>
    <w:p>
      <w:pPr>
        <w:tabs>
          <w:tab w:val="left" w:pos="1004"/>
          <w:tab w:val="left" w:pos="4267"/>
        </w:tabs>
        <w:spacing w:line="360" w:lineRule="auto"/>
        <w:ind w:firstLine="420" w:firstLineChars="200"/>
        <w:rPr>
          <w:rFonts w:ascii="宋体" w:hAnsi="宋体"/>
          <w:bCs/>
          <w:color w:val="000000" w:themeColor="text1"/>
          <w:highlight w:val="none"/>
          <w14:textFill>
            <w14:solidFill>
              <w14:schemeClr w14:val="tx1"/>
            </w14:solidFill>
          </w14:textFill>
        </w:rPr>
      </w:pPr>
    </w:p>
    <w:p>
      <w:pPr>
        <w:tabs>
          <w:tab w:val="left" w:pos="1004"/>
          <w:tab w:val="left" w:pos="4267"/>
        </w:tabs>
        <w:spacing w:line="360" w:lineRule="auto"/>
        <w:ind w:firstLine="420" w:firstLineChars="200"/>
        <w:rPr>
          <w:rFonts w:ascii="宋体" w:hAnsi="宋体"/>
          <w:bCs/>
          <w:color w:val="000000" w:themeColor="text1"/>
          <w:highlight w:val="none"/>
          <w14:textFill>
            <w14:solidFill>
              <w14:schemeClr w14:val="tx1"/>
            </w14:solidFill>
          </w14:textFill>
        </w:rPr>
      </w:pPr>
    </w:p>
    <w:p>
      <w:pPr>
        <w:tabs>
          <w:tab w:val="left" w:pos="1004"/>
          <w:tab w:val="left" w:pos="4267"/>
        </w:tabs>
        <w:spacing w:line="360" w:lineRule="auto"/>
        <w:ind w:firstLine="420" w:firstLineChars="200"/>
        <w:rPr>
          <w:rFonts w:ascii="宋体" w:hAnsi="宋体"/>
          <w:bCs/>
          <w:color w:val="000000" w:themeColor="text1"/>
          <w:highlight w:val="none"/>
          <w14:textFill>
            <w14:solidFill>
              <w14:schemeClr w14:val="tx1"/>
            </w14:solidFill>
          </w14:textFill>
        </w:rPr>
      </w:pPr>
    </w:p>
    <w:p>
      <w:pPr>
        <w:tabs>
          <w:tab w:val="left" w:pos="1004"/>
          <w:tab w:val="left" w:pos="4267"/>
        </w:tabs>
        <w:spacing w:line="360" w:lineRule="auto"/>
        <w:rPr>
          <w:rFonts w:ascii="宋体" w:hAnsi="宋体"/>
          <w:bCs/>
          <w:color w:val="000000" w:themeColor="text1"/>
          <w:highlight w:val="none"/>
          <w14:textFill>
            <w14:solidFill>
              <w14:schemeClr w14:val="tx1"/>
            </w14:solidFill>
          </w14:textFill>
        </w:rPr>
      </w:pPr>
    </w:p>
    <w:p>
      <w:pPr>
        <w:tabs>
          <w:tab w:val="left" w:pos="1004"/>
          <w:tab w:val="left" w:pos="4267"/>
        </w:tabs>
        <w:spacing w:line="360" w:lineRule="auto"/>
        <w:ind w:firstLine="420" w:firstLineChars="200"/>
        <w:rPr>
          <w:rFonts w:ascii="宋体" w:hAnsi="宋体"/>
          <w:bCs/>
          <w:color w:val="000000" w:themeColor="text1"/>
          <w:highlight w:val="none"/>
          <w14:textFill>
            <w14:solidFill>
              <w14:schemeClr w14:val="tx1"/>
            </w14:solidFill>
          </w14:textFill>
        </w:rPr>
        <w:sectPr>
          <w:pgSz w:w="11906" w:h="16838"/>
          <w:pgMar w:top="1247" w:right="1247" w:bottom="1247" w:left="1247" w:header="851" w:footer="992" w:gutter="0"/>
          <w:cols w:space="720" w:num="1"/>
          <w:docGrid w:linePitch="312" w:charSpace="0"/>
        </w:sectPr>
      </w:pPr>
    </w:p>
    <w:p>
      <w:pPr>
        <w:pStyle w:val="3"/>
        <w:numPr>
          <w:ilvl w:val="1"/>
          <w:numId w:val="0"/>
        </w:numPr>
        <w:spacing w:line="360" w:lineRule="auto"/>
        <w:jc w:val="center"/>
        <w:rPr>
          <w:rFonts w:ascii="宋体" w:hAnsi="宋体" w:eastAsia="宋体"/>
          <w:color w:val="000000" w:themeColor="text1"/>
          <w:sz w:val="21"/>
          <w:szCs w:val="21"/>
          <w:highlight w:val="none"/>
          <w14:textFill>
            <w14:solidFill>
              <w14:schemeClr w14:val="tx1"/>
            </w14:solidFill>
          </w14:textFill>
        </w:rPr>
      </w:pPr>
      <w:bookmarkStart w:id="208" w:name="_Toc200414514"/>
      <w:bookmarkStart w:id="209" w:name="_Toc28417"/>
      <w:r>
        <w:rPr>
          <w:rFonts w:hint="eastAsia" w:ascii="宋体" w:hAnsi="宋体" w:eastAsia="宋体"/>
          <w:color w:val="000000" w:themeColor="text1"/>
          <w:sz w:val="21"/>
          <w:szCs w:val="21"/>
          <w:highlight w:val="none"/>
          <w14:textFill>
            <w14:solidFill>
              <w14:schemeClr w14:val="tx1"/>
            </w14:solidFill>
          </w14:textFill>
        </w:rPr>
        <w:t>第一章  资格性/符合性自查表</w:t>
      </w:r>
      <w:bookmarkEnd w:id="208"/>
      <w:bookmarkEnd w:id="209"/>
    </w:p>
    <w:tbl>
      <w:tblPr>
        <w:tblStyle w:val="42"/>
        <w:tblW w:w="95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2126"/>
        <w:gridCol w:w="241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22"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410"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谈判文件要求</w:t>
            </w:r>
          </w:p>
        </w:tc>
        <w:tc>
          <w:tcPr>
            <w:tcW w:w="1701"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207"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6" w:type="dxa"/>
            <w:vMerge w:val="restart"/>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资格性检查</w:t>
            </w:r>
          </w:p>
        </w:tc>
        <w:tc>
          <w:tcPr>
            <w:tcW w:w="2126" w:type="dxa"/>
            <w:vMerge w:val="restart"/>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投标人要求</w:t>
            </w:r>
          </w:p>
        </w:tc>
        <w:tc>
          <w:tcPr>
            <w:tcW w:w="2410"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rPr>
                <w:rFonts w:ascii="宋体" w:hAnsi="宋体"/>
                <w:b/>
                <w:bCs/>
                <w:color w:val="000000" w:themeColor="text1"/>
                <w:szCs w:val="21"/>
                <w:highlight w:val="none"/>
                <w14:textFill>
                  <w14:solidFill>
                    <w14:schemeClr w14:val="tx1"/>
                  </w14:solidFill>
                </w14:textFill>
              </w:rPr>
            </w:pPr>
          </w:p>
        </w:tc>
        <w:tc>
          <w:tcPr>
            <w:tcW w:w="1701"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见谈判响应文件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要求：提交合法有效的营业执照复印件加盖公章、</w:t>
            </w:r>
            <w:r>
              <w:rPr>
                <w:rFonts w:hint="eastAsia" w:ascii="宋体" w:hAnsi="宋体"/>
                <w:color w:val="000000" w:themeColor="text1"/>
                <w:kern w:val="0"/>
                <w:sz w:val="18"/>
                <w:szCs w:val="18"/>
                <w:highlight w:val="none"/>
                <w14:textFill>
                  <w14:solidFill>
                    <w14:schemeClr w14:val="tx1"/>
                  </w14:solidFill>
                </w14:textFill>
              </w:rPr>
              <w:t>财务报表</w:t>
            </w:r>
            <w:r>
              <w:rPr>
                <w:rFonts w:hint="eastAsia" w:ascii="宋体" w:hAnsi="宋体"/>
                <w:color w:val="000000" w:themeColor="text1"/>
                <w:sz w:val="18"/>
                <w:szCs w:val="18"/>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1096"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2126"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2410"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投标人为分支机构的，必须出具由总公司（总所）给分支机构的授权书</w:t>
            </w:r>
          </w:p>
        </w:tc>
        <w:tc>
          <w:tcPr>
            <w:tcW w:w="1701"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20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见谈判响应文件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6"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126"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完工</w:t>
            </w:r>
            <w:r>
              <w:rPr>
                <w:rFonts w:hint="eastAsia" w:ascii="宋体" w:hAnsi="宋体"/>
                <w:color w:val="000000" w:themeColor="text1"/>
                <w:szCs w:val="21"/>
                <w:highlight w:val="none"/>
                <w14:textFill>
                  <w14:solidFill>
                    <w14:schemeClr w14:val="tx1"/>
                  </w14:solidFill>
                </w14:textFill>
              </w:rPr>
              <w:t>期须满足要求</w:t>
            </w:r>
          </w:p>
        </w:tc>
        <w:tc>
          <w:tcPr>
            <w:tcW w:w="2410"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w:t>
            </w:r>
            <w:r>
              <w:rPr>
                <w:rFonts w:hint="eastAsia" w:ascii="宋体" w:hAnsi="宋体"/>
                <w:bCs/>
                <w:color w:val="000000" w:themeColor="text1"/>
                <w:szCs w:val="21"/>
                <w:highlight w:val="none"/>
                <w14:textFill>
                  <w14:solidFill>
                    <w14:schemeClr w14:val="tx1"/>
                  </w14:solidFill>
                </w14:textFill>
              </w:rPr>
              <w:t>谈判</w:t>
            </w:r>
            <w:r>
              <w:rPr>
                <w:rFonts w:hint="eastAsia" w:ascii="宋体" w:hAnsi="宋体"/>
                <w:color w:val="000000" w:themeColor="text1"/>
                <w:szCs w:val="21"/>
                <w:highlight w:val="none"/>
                <w14:textFill>
                  <w14:solidFill>
                    <w14:schemeClr w14:val="tx1"/>
                  </w14:solidFill>
                </w14:textFill>
              </w:rPr>
              <w:t>文件要求</w:t>
            </w:r>
          </w:p>
        </w:tc>
        <w:tc>
          <w:tcPr>
            <w:tcW w:w="1701"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见谈判响应文件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6"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126"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投标报价未超出报价上限</w:t>
            </w:r>
          </w:p>
        </w:tc>
        <w:tc>
          <w:tcPr>
            <w:tcW w:w="2410"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w:t>
            </w:r>
            <w:r>
              <w:rPr>
                <w:rFonts w:hint="eastAsia" w:ascii="宋体" w:hAnsi="宋体"/>
                <w:bCs/>
                <w:color w:val="000000" w:themeColor="text1"/>
                <w:szCs w:val="21"/>
                <w:highlight w:val="none"/>
                <w14:textFill>
                  <w14:solidFill>
                    <w14:schemeClr w14:val="tx1"/>
                  </w14:solidFill>
                </w14:textFill>
              </w:rPr>
              <w:t>谈判</w:t>
            </w:r>
            <w:r>
              <w:rPr>
                <w:rFonts w:hint="eastAsia" w:ascii="宋体" w:hAnsi="宋体"/>
                <w:color w:val="000000" w:themeColor="text1"/>
                <w:szCs w:val="21"/>
                <w:highlight w:val="none"/>
                <w14:textFill>
                  <w14:solidFill>
                    <w14:schemeClr w14:val="tx1"/>
                  </w14:solidFill>
                </w14:textFill>
              </w:rPr>
              <w:t>文件要求</w:t>
            </w:r>
          </w:p>
        </w:tc>
        <w:tc>
          <w:tcPr>
            <w:tcW w:w="1701"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见谈判响应文件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6"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126"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2410"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w:t>
            </w:r>
            <w:r>
              <w:rPr>
                <w:rFonts w:hint="eastAsia" w:ascii="宋体" w:hAnsi="宋体"/>
                <w:bCs/>
                <w:color w:val="000000" w:themeColor="text1"/>
                <w:szCs w:val="21"/>
                <w:highlight w:val="none"/>
                <w14:textFill>
                  <w14:solidFill>
                    <w14:schemeClr w14:val="tx1"/>
                  </w14:solidFill>
                </w14:textFill>
              </w:rPr>
              <w:t>谈判</w:t>
            </w:r>
            <w:r>
              <w:rPr>
                <w:rFonts w:hint="eastAsia" w:ascii="宋体" w:hAnsi="宋体"/>
                <w:color w:val="000000" w:themeColor="text1"/>
                <w:szCs w:val="21"/>
                <w:highlight w:val="none"/>
                <w14:textFill>
                  <w14:solidFill>
                    <w14:schemeClr w14:val="tx1"/>
                  </w14:solidFill>
                </w14:textFill>
              </w:rPr>
              <w:t>文件要求</w:t>
            </w:r>
          </w:p>
        </w:tc>
        <w:tc>
          <w:tcPr>
            <w:tcW w:w="1701"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20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见谈判响应文件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96"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126"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2410"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701"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20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见谈判响应文件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96"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126"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不接受联合体投标</w:t>
            </w:r>
          </w:p>
        </w:tc>
        <w:tc>
          <w:tcPr>
            <w:tcW w:w="2410"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w:t>
            </w:r>
            <w:r>
              <w:rPr>
                <w:rFonts w:hint="eastAsia" w:ascii="宋体" w:hAnsi="宋体"/>
                <w:bCs/>
                <w:color w:val="000000" w:themeColor="text1"/>
                <w:szCs w:val="21"/>
                <w:highlight w:val="none"/>
                <w14:textFill>
                  <w14:solidFill>
                    <w14:schemeClr w14:val="tx1"/>
                  </w14:solidFill>
                </w14:textFill>
              </w:rPr>
              <w:t>谈判</w:t>
            </w:r>
            <w:r>
              <w:rPr>
                <w:rFonts w:hint="eastAsia" w:ascii="宋体" w:hAnsi="宋体"/>
                <w:color w:val="000000" w:themeColor="text1"/>
                <w:szCs w:val="21"/>
                <w:highlight w:val="none"/>
                <w14:textFill>
                  <w14:solidFill>
                    <w14:schemeClr w14:val="tx1"/>
                  </w14:solidFill>
                </w14:textFill>
              </w:rPr>
              <w:t>文件要求</w:t>
            </w:r>
          </w:p>
        </w:tc>
        <w:tc>
          <w:tcPr>
            <w:tcW w:w="1701"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20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见谈判响应文件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096"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126"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2410"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按资料清单中规定提供“必须提交”的文件资料</w:t>
            </w:r>
          </w:p>
        </w:tc>
        <w:tc>
          <w:tcPr>
            <w:tcW w:w="1701"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0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见谈判响应文件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spacing w:line="360" w:lineRule="auto"/>
        <w:rPr>
          <w:rFonts w:ascii="宋体" w:hAnsi="宋体"/>
          <w:b/>
          <w:bCs/>
          <w:color w:val="000000" w:themeColor="text1"/>
          <w:szCs w:val="21"/>
          <w:highlight w:val="none"/>
          <w14:textFill>
            <w14:solidFill>
              <w14:schemeClr w14:val="tx1"/>
            </w14:solidFill>
          </w14:textFill>
        </w:rPr>
      </w:pPr>
    </w:p>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w:t>
      </w:r>
      <w:r>
        <w:rPr>
          <w:rFonts w:hint="eastAsia" w:ascii="宋体" w:hAnsi="宋体"/>
          <w:bCs/>
          <w:color w:val="000000" w:themeColor="text1"/>
          <w:szCs w:val="21"/>
          <w:highlight w:val="none"/>
          <w14:textFill>
            <w14:solidFill>
              <w14:schemeClr w14:val="tx1"/>
            </w14:solidFill>
          </w14:textFill>
        </w:rPr>
        <w:t>投标供应商</w:t>
      </w:r>
      <w:r>
        <w:rPr>
          <w:rFonts w:hint="eastAsia" w:ascii="宋体" w:hAnsi="宋体"/>
          <w:color w:val="000000" w:themeColor="text1"/>
          <w:szCs w:val="21"/>
          <w:highlight w:val="none"/>
          <w14:textFill>
            <w14:solidFill>
              <w14:schemeClr w14:val="tx1"/>
            </w14:solidFill>
          </w14:textFill>
        </w:rPr>
        <w:t>资格性和符合性审核的重要内容之一，</w:t>
      </w:r>
      <w:r>
        <w:rPr>
          <w:rFonts w:hint="eastAsia" w:ascii="宋体" w:hAnsi="宋体"/>
          <w:bCs/>
          <w:color w:val="000000" w:themeColor="text1"/>
          <w:szCs w:val="21"/>
          <w:highlight w:val="none"/>
          <w14:textFill>
            <w14:solidFill>
              <w14:schemeClr w14:val="tx1"/>
            </w14:solidFill>
          </w14:textFill>
        </w:rPr>
        <w:t>投标供应商</w:t>
      </w:r>
      <w:r>
        <w:rPr>
          <w:rFonts w:hint="eastAsia" w:ascii="宋体" w:hAnsi="宋体"/>
          <w:color w:val="000000" w:themeColor="text1"/>
          <w:szCs w:val="21"/>
          <w:highlight w:val="none"/>
          <w14:textFill>
            <w14:solidFill>
              <w14:schemeClr w14:val="tx1"/>
            </w14:solidFill>
          </w14:textFill>
        </w:rPr>
        <w:t>必须严格按照其内容及序列要求在谈判响应文件中对应如实提供，对缺漏和不符合项或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、投标供应商的</w:t>
      </w:r>
      <w:r>
        <w:rPr>
          <w:rFonts w:hint="eastAsia" w:ascii="宋体" w:hAnsi="宋体"/>
          <w:color w:val="000000" w:themeColor="text1"/>
          <w:szCs w:val="21"/>
          <w:highlight w:val="none"/>
          <w14:textFill>
            <w14:solidFill>
              <w14:schemeClr w14:val="tx1"/>
            </w14:solidFill>
          </w14:textFill>
        </w:rPr>
        <w:t>谈判响应</w:t>
      </w:r>
      <w:r>
        <w:rPr>
          <w:rFonts w:hint="eastAsia" w:ascii="宋体" w:hAnsi="宋体"/>
          <w:bCs/>
          <w:color w:val="000000" w:themeColor="text1"/>
          <w:szCs w:val="21"/>
          <w:highlight w:val="none"/>
          <w14:textFill>
            <w14:solidFill>
              <w14:schemeClr w14:val="tx1"/>
            </w14:solidFill>
          </w14:textFill>
        </w:rPr>
        <w:t>文件为法定代表人（负责人）签署并由法定代表人（负责人）亲自递交</w:t>
      </w:r>
      <w:r>
        <w:rPr>
          <w:rFonts w:hint="eastAsia" w:ascii="宋体" w:hAnsi="宋体"/>
          <w:color w:val="000000" w:themeColor="text1"/>
          <w:szCs w:val="21"/>
          <w:highlight w:val="none"/>
          <w14:textFill>
            <w14:solidFill>
              <w14:schemeClr w14:val="tx1"/>
            </w14:solidFill>
          </w14:textFill>
        </w:rPr>
        <w:t>谈判响应</w:t>
      </w:r>
      <w:r>
        <w:rPr>
          <w:rFonts w:hint="eastAsia" w:ascii="宋体" w:hAnsi="宋体"/>
          <w:bCs/>
          <w:color w:val="000000" w:themeColor="text1"/>
          <w:szCs w:val="21"/>
          <w:highlight w:val="none"/>
          <w14:textFill>
            <w14:solidFill>
              <w14:schemeClr w14:val="tx1"/>
            </w14:solidFill>
          </w14:textFill>
        </w:rPr>
        <w:t>文件和参加</w:t>
      </w:r>
      <w:r>
        <w:rPr>
          <w:rFonts w:hint="eastAsia" w:ascii="宋体" w:hAnsi="宋体"/>
          <w:color w:val="000000" w:themeColor="text1"/>
          <w:szCs w:val="21"/>
          <w:highlight w:val="none"/>
          <w14:textFill>
            <w14:solidFill>
              <w14:schemeClr w14:val="tx1"/>
            </w14:solidFill>
          </w14:textFill>
        </w:rPr>
        <w:t>谈判</w:t>
      </w:r>
      <w:r>
        <w:rPr>
          <w:rFonts w:hint="eastAsia" w:ascii="宋体" w:hAnsi="宋体"/>
          <w:bCs/>
          <w:color w:val="000000" w:themeColor="text1"/>
          <w:szCs w:val="21"/>
          <w:highlight w:val="none"/>
          <w14:textFill>
            <w14:solidFill>
              <w14:schemeClr w14:val="tx1"/>
            </w14:solidFill>
          </w14:textFill>
        </w:rPr>
        <w:t>的，可不提供“法定代表人（负责人）授权书”及“代理人身份证”。</w:t>
      </w: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   月   日</w:t>
      </w: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spacing w:line="360" w:lineRule="auto"/>
        <w:rPr>
          <w:rFonts w:ascii="宋体" w:hAnsi="宋体"/>
          <w:color w:val="000000" w:themeColor="text1"/>
          <w:sz w:val="18"/>
          <w:szCs w:val="18"/>
          <w:highlight w:val="none"/>
          <w14:textFill>
            <w14:solidFill>
              <w14:schemeClr w14:val="tx1"/>
            </w14:solidFill>
          </w14:textFill>
        </w:rPr>
        <w:sectPr>
          <w:headerReference r:id="rId7" w:type="default"/>
          <w:pgSz w:w="11906" w:h="16838"/>
          <w:pgMar w:top="1134" w:right="1418" w:bottom="1134" w:left="1134" w:header="851" w:footer="992" w:gutter="0"/>
          <w:cols w:space="720" w:num="1"/>
          <w:docGrid w:linePitch="312" w:charSpace="0"/>
        </w:sect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10" w:name="_Toc200414515"/>
      <w:bookmarkStart w:id="211" w:name="_Toc2051"/>
      <w:r>
        <w:rPr>
          <w:rFonts w:hint="eastAsia" w:ascii="宋体" w:hAnsi="宋体" w:eastAsia="宋体"/>
          <w:color w:val="000000" w:themeColor="text1"/>
          <w:sz w:val="28"/>
          <w:szCs w:val="28"/>
          <w:highlight w:val="none"/>
          <w14:textFill>
            <w14:solidFill>
              <w14:schemeClr w14:val="tx1"/>
            </w14:solidFill>
          </w14:textFill>
        </w:rPr>
        <w:t>（一）无重大违法记录声明函</w:t>
      </w:r>
      <w:bookmarkEnd w:id="210"/>
      <w:bookmarkEnd w:id="211"/>
    </w:p>
    <w:p>
      <w:pPr>
        <w:pStyle w:val="8"/>
        <w:spacing w:line="360" w:lineRule="auto"/>
        <w:ind w:left="420" w:firstLine="0"/>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致（代理机构）：</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针对贵方组织的（项目名称：</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）（项目编号：</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，我方郑重承诺：</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特此声明。</w:t>
      </w: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ind w:firstLine="660"/>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供应商法定代表人（负责人）或授权代理人（签字）：</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供应商名称（加盖公章）：</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8"/>
        <w:spacing w:line="360" w:lineRule="auto"/>
        <w:ind w:left="420" w:firstLine="0"/>
        <w:rPr>
          <w:rFonts w:ascii="宋体" w:hAnsi="宋体"/>
          <w:color w:val="000000" w:themeColor="text1"/>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kern w:val="0"/>
          <w:sz w:val="28"/>
          <w:szCs w:val="28"/>
          <w:highlight w:val="none"/>
          <w14:textFill>
            <w14:solidFill>
              <w14:schemeClr w14:val="tx1"/>
            </w14:solidFill>
          </w14:textFill>
        </w:rPr>
      </w:pPr>
      <w:bookmarkStart w:id="212" w:name="_Toc200414516"/>
      <w:bookmarkStart w:id="213" w:name="_Toc2059"/>
      <w:r>
        <w:rPr>
          <w:rFonts w:hint="eastAsia" w:ascii="宋体" w:hAnsi="宋体" w:eastAsia="宋体"/>
          <w:color w:val="000000" w:themeColor="text1"/>
          <w:kern w:val="0"/>
          <w:sz w:val="28"/>
          <w:szCs w:val="28"/>
          <w:highlight w:val="none"/>
          <w14:textFill>
            <w14:solidFill>
              <w14:schemeClr w14:val="tx1"/>
            </w14:solidFill>
          </w14:textFill>
        </w:rPr>
        <w:t>（二）法定代表人（负责人）证明书</w:t>
      </w:r>
      <w:bookmarkEnd w:id="212"/>
      <w:bookmarkEnd w:id="213"/>
    </w:p>
    <w:p>
      <w:pPr>
        <w:pStyle w:val="8"/>
        <w:spacing w:line="360" w:lineRule="auto"/>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供应商名称                  </w:t>
      </w:r>
      <w:r>
        <w:rPr>
          <w:rFonts w:hint="eastAsia" w:ascii="宋体" w:hAnsi="宋体"/>
          <w:color w:val="000000" w:themeColor="text1"/>
          <w:highlight w:val="none"/>
          <w14:textFill>
            <w14:solidFill>
              <w14:schemeClr w14:val="tx1"/>
            </w14:solidFill>
          </w14:textFill>
        </w:rPr>
        <w:t xml:space="preserve">的   </w:t>
      </w:r>
      <w:r>
        <w:rPr>
          <w:rFonts w:hint="eastAsia" w:ascii="宋体" w:hAnsi="宋体"/>
          <w:color w:val="000000" w:themeColor="text1"/>
          <w:highlight w:val="none"/>
          <w:u w:val="single"/>
          <w14:textFill>
            <w14:solidFill>
              <w14:schemeClr w14:val="tx1"/>
            </w14:solidFill>
          </w14:textFill>
        </w:rPr>
        <w:t xml:space="preserve">职务    </w:t>
      </w:r>
      <w:r>
        <w:rPr>
          <w:rFonts w:hint="eastAsia" w:ascii="宋体" w:hAnsi="宋体"/>
          <w:color w:val="000000" w:themeColor="text1"/>
          <w:highlight w:val="none"/>
          <w14:textFill>
            <w14:solidFill>
              <w14:schemeClr w14:val="tx1"/>
            </w14:solidFill>
          </w14:textFill>
        </w:rPr>
        <w:t>，为法定代表人（负责人），特此证明。</w:t>
      </w:r>
    </w:p>
    <w:p>
      <w:pPr>
        <w:spacing w:line="360" w:lineRule="auto"/>
        <w:ind w:firstLine="420" w:firstLineChars="200"/>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360" w:lineRule="auto"/>
        <w:ind w:firstLine="420" w:firstLineChars="200"/>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附：代表人性别： 年龄：岁    </w:t>
      </w:r>
    </w:p>
    <w:p>
      <w:pPr>
        <w:spacing w:line="360" w:lineRule="auto"/>
        <w:ind w:firstLine="420" w:firstLineChars="200"/>
        <w:rPr>
          <w:rFonts w:ascii="宋体" w:hAnsi="宋体"/>
          <w:color w:val="000000" w:themeColor="text1"/>
          <w:highlight w:val="none"/>
          <w14:textFill>
            <w14:solidFill>
              <w14:schemeClr w14:val="tx1"/>
            </w14:solidFill>
          </w14:textFill>
        </w:rPr>
      </w:pP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ind w:firstLine="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796925</wp:posOffset>
                </wp:positionH>
                <wp:positionV relativeFrom="paragraph">
                  <wp:posOffset>88265</wp:posOffset>
                </wp:positionV>
                <wp:extent cx="3502660" cy="1781810"/>
                <wp:effectExtent l="5080" t="4445" r="16510" b="23495"/>
                <wp:wrapNone/>
                <wp:docPr id="7" name="自选图形 193"/>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3" o:spid="_x0000_s1026" o:spt="176" type="#_x0000_t176" style="position:absolute;left:0pt;margin-left:62.75pt;margin-top:6.95pt;height:140.3pt;width:275.8pt;z-index:251660288;mso-width-relative:page;mso-height-relative:page;" fillcolor="#FFFFFF" filled="t" stroked="t" coordsize="21600,21600" o:gfxdata="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013vbX&#10;AAAACgEAAA8AAAAAAAAAAQAgAAAAIgAAAGRycy9kb3ducmV2LnhtbFBLAQIUABQAAAAIAIdO4kD5&#10;haJSWgIAAKYEAAAOAAAAAAAAAAEAIAAAACYBAABkcnMvZTJvRG9jLnhtbFBLBQYAAAAABgAGAFkB&#10;AADyBQ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p>
    <w:p>
      <w:pPr>
        <w:pStyle w:val="8"/>
        <w:spacing w:line="360" w:lineRule="auto"/>
        <w:ind w:firstLine="0"/>
        <w:rPr>
          <w:rFonts w:ascii="宋体" w:hAnsi="宋体"/>
          <w:color w:val="000000" w:themeColor="text1"/>
          <w:highlight w:val="none"/>
          <w14:textFill>
            <w14:solidFill>
              <w14:schemeClr w14:val="tx1"/>
            </w14:solidFill>
          </w14:textFill>
        </w:rPr>
      </w:pPr>
    </w:p>
    <w:p>
      <w:pPr>
        <w:pStyle w:val="8"/>
        <w:spacing w:line="360" w:lineRule="auto"/>
        <w:ind w:firstLine="0"/>
        <w:rPr>
          <w:rFonts w:ascii="宋体" w:hAnsi="宋体"/>
          <w:color w:val="000000" w:themeColor="text1"/>
          <w:highlight w:val="none"/>
          <w14:textFill>
            <w14:solidFill>
              <w14:schemeClr w14:val="tx1"/>
            </w14:solidFill>
          </w14:textFill>
        </w:rPr>
      </w:pPr>
    </w:p>
    <w:p>
      <w:pPr>
        <w:pStyle w:val="8"/>
        <w:spacing w:line="360" w:lineRule="auto"/>
        <w:ind w:firstLine="0"/>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ind w:firstLine="0"/>
        <w:rPr>
          <w:rFonts w:ascii="宋体" w:hAnsi="宋体"/>
          <w:color w:val="000000" w:themeColor="text1"/>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14" w:name="_Toc4215"/>
      <w:bookmarkStart w:id="215" w:name="_Toc200414517"/>
      <w:r>
        <w:rPr>
          <w:rFonts w:hint="eastAsia" w:ascii="宋体" w:hAnsi="宋体" w:eastAsia="宋体"/>
          <w:color w:val="000000" w:themeColor="text1"/>
          <w:sz w:val="28"/>
          <w:szCs w:val="28"/>
          <w:highlight w:val="none"/>
          <w14:textFill>
            <w14:solidFill>
              <w14:schemeClr w14:val="tx1"/>
            </w14:solidFill>
          </w14:textFill>
        </w:rPr>
        <w:t>（三）法定代表人（负责人）授权书</w:t>
      </w:r>
      <w:bookmarkEnd w:id="214"/>
      <w:bookmarkEnd w:id="215"/>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本授权委托书声明：我</w:t>
      </w:r>
      <w:r>
        <w:rPr>
          <w:rFonts w:hint="eastAsia" w:ascii="宋体" w:hAnsi="宋体"/>
          <w:bCs/>
          <w:color w:val="000000" w:themeColor="text1"/>
          <w:kern w:val="0"/>
          <w:szCs w:val="21"/>
          <w:highlight w:val="none"/>
          <w:u w:val="single"/>
          <w14:textFill>
            <w14:solidFill>
              <w14:schemeClr w14:val="tx1"/>
            </w14:solidFill>
          </w14:textFill>
        </w:rPr>
        <w:t xml:space="preserve">        （单位</w:t>
      </w:r>
      <w:r>
        <w:rPr>
          <w:rFonts w:hint="eastAsia" w:ascii="宋体" w:hAnsi="宋体" w:cs="宋体"/>
          <w:bCs/>
          <w:color w:val="000000" w:themeColor="text1"/>
          <w:kern w:val="0"/>
          <w:szCs w:val="21"/>
          <w:highlight w:val="none"/>
          <w:u w:val="single"/>
          <w14:textFill>
            <w14:solidFill>
              <w14:schemeClr w14:val="tx1"/>
            </w14:solidFill>
          </w14:textFill>
        </w:rPr>
        <w:t>法定代表人（负责人）</w:t>
      </w:r>
      <w:r>
        <w:rPr>
          <w:rFonts w:hint="eastAsia" w:ascii="宋体" w:hAnsi="宋体"/>
          <w:bCs/>
          <w:color w:val="000000" w:themeColor="text1"/>
          <w:kern w:val="0"/>
          <w:szCs w:val="21"/>
          <w:highlight w:val="none"/>
          <w:u w:val="single"/>
          <w14:textFill>
            <w14:solidFill>
              <w14:schemeClr w14:val="tx1"/>
            </w14:solidFill>
          </w14:textFill>
        </w:rPr>
        <w:t>姓名）</w:t>
      </w:r>
      <w:r>
        <w:rPr>
          <w:rFonts w:hint="eastAsia" w:ascii="宋体" w:hAnsi="宋体"/>
          <w:bCs/>
          <w:color w:val="000000" w:themeColor="text1"/>
          <w:kern w:val="0"/>
          <w:szCs w:val="21"/>
          <w:highlight w:val="none"/>
          <w14:textFill>
            <w14:solidFill>
              <w14:schemeClr w14:val="tx1"/>
            </w14:solidFill>
          </w14:textFill>
        </w:rPr>
        <w:t xml:space="preserve"> 系</w:t>
      </w:r>
      <w:r>
        <w:rPr>
          <w:rFonts w:hint="eastAsia" w:ascii="宋体" w:hAnsi="宋体"/>
          <w:bCs/>
          <w:color w:val="000000" w:themeColor="text1"/>
          <w:kern w:val="0"/>
          <w:szCs w:val="21"/>
          <w:highlight w:val="none"/>
          <w:u w:val="single"/>
          <w14:textFill>
            <w14:solidFill>
              <w14:schemeClr w14:val="tx1"/>
            </w14:solidFill>
          </w14:textFill>
        </w:rPr>
        <w:t xml:space="preserve">       （供应商名称）</w:t>
      </w:r>
      <w:r>
        <w:rPr>
          <w:rFonts w:hint="eastAsia" w:ascii="宋体" w:hAnsi="宋体"/>
          <w:bCs/>
          <w:color w:val="000000" w:themeColor="text1"/>
          <w:kern w:val="0"/>
          <w:szCs w:val="21"/>
          <w:highlight w:val="none"/>
          <w14:textFill>
            <w14:solidFill>
              <w14:schemeClr w14:val="tx1"/>
            </w14:solidFill>
          </w14:textFill>
        </w:rPr>
        <w:t>的法定代表人（负责人），现授权委托</w:t>
      </w:r>
      <w:r>
        <w:rPr>
          <w:rFonts w:hint="eastAsia" w:ascii="宋体" w:hAnsi="宋体"/>
          <w:bCs/>
          <w:color w:val="000000" w:themeColor="text1"/>
          <w:kern w:val="0"/>
          <w:szCs w:val="21"/>
          <w:highlight w:val="none"/>
          <w:u w:val="single"/>
          <w14:textFill>
            <w14:solidFill>
              <w14:schemeClr w14:val="tx1"/>
            </w14:solidFill>
          </w14:textFill>
        </w:rPr>
        <w:t xml:space="preserve">                        （供应商名称）</w:t>
      </w:r>
      <w:r>
        <w:rPr>
          <w:rFonts w:hint="eastAsia" w:ascii="宋体" w:hAnsi="宋体"/>
          <w:bCs/>
          <w:color w:val="000000" w:themeColor="text1"/>
          <w:kern w:val="0"/>
          <w:szCs w:val="21"/>
          <w:highlight w:val="none"/>
          <w14:textFill>
            <w14:solidFill>
              <w14:schemeClr w14:val="tx1"/>
            </w14:solidFill>
          </w14:textFill>
        </w:rPr>
        <w:t>的</w:t>
      </w:r>
      <w:r>
        <w:rPr>
          <w:rFonts w:hint="eastAsia" w:ascii="宋体" w:hAnsi="宋体"/>
          <w:bCs/>
          <w:color w:val="000000" w:themeColor="text1"/>
          <w:kern w:val="0"/>
          <w:szCs w:val="21"/>
          <w:highlight w:val="none"/>
          <w:u w:val="single"/>
          <w14:textFill>
            <w14:solidFill>
              <w14:schemeClr w14:val="tx1"/>
            </w14:solidFill>
          </w14:textFill>
        </w:rPr>
        <w:t xml:space="preserve">            （代理人姓名）</w:t>
      </w:r>
      <w:r>
        <w:rPr>
          <w:rFonts w:hint="eastAsia" w:ascii="宋体" w:hAnsi="宋体"/>
          <w:bCs/>
          <w:color w:val="000000" w:themeColor="text1"/>
          <w:kern w:val="0"/>
          <w:szCs w:val="21"/>
          <w:highlight w:val="none"/>
          <w14:textFill>
            <w14:solidFill>
              <w14:schemeClr w14:val="tx1"/>
            </w14:solidFill>
          </w14:textFill>
        </w:rPr>
        <w:t>为我公司代理人，以本公司的名义参加</w:t>
      </w:r>
      <w:r>
        <w:rPr>
          <w:rFonts w:hint="eastAsia" w:ascii="宋体" w:hAnsi="宋体"/>
          <w:bCs/>
          <w:color w:val="000000" w:themeColor="text1"/>
          <w:kern w:val="0"/>
          <w:szCs w:val="21"/>
          <w:highlight w:val="none"/>
          <w:lang w:eastAsia="zh-CN"/>
          <w14:textFill>
            <w14:solidFill>
              <w14:schemeClr w14:val="tx1"/>
            </w14:solidFill>
          </w14:textFill>
        </w:rPr>
        <w:t>广东业信招标有限公司</w:t>
      </w:r>
      <w:r>
        <w:rPr>
          <w:rFonts w:hint="eastAsia" w:ascii="宋体" w:hAnsi="宋体"/>
          <w:bCs/>
          <w:color w:val="000000" w:themeColor="text1"/>
          <w:kern w:val="0"/>
          <w:szCs w:val="21"/>
          <w:highlight w:val="none"/>
          <w14:textFill>
            <w14:solidFill>
              <w14:schemeClr w14:val="tx1"/>
            </w14:solidFill>
          </w14:textFill>
        </w:rPr>
        <w:t>组织的</w:t>
      </w:r>
      <w:r>
        <w:rPr>
          <w:rFonts w:hint="eastAsia" w:ascii="宋体" w:hAnsi="宋体" w:cs="宋体"/>
          <w:b/>
          <w:color w:val="000000" w:themeColor="text1"/>
          <w:szCs w:val="21"/>
          <w:highlight w:val="none"/>
          <w:u w:val="single"/>
          <w14:textFill>
            <w14:solidFill>
              <w14:schemeClr w14:val="tx1"/>
            </w14:solidFill>
          </w14:textFill>
        </w:rPr>
        <w:t>项目名称，由供应商填写</w:t>
      </w:r>
      <w:r>
        <w:rPr>
          <w:rFonts w:hint="eastAsia" w:ascii="宋体" w:hAnsi="宋体"/>
          <w:bCs/>
          <w:color w:val="000000" w:themeColor="text1"/>
          <w:szCs w:val="21"/>
          <w:highlight w:val="none"/>
          <w14:textFill>
            <w14:solidFill>
              <w14:schemeClr w14:val="tx1"/>
            </w14:solidFill>
          </w14:textFill>
        </w:rPr>
        <w:t>谈判项目（项目编号:）</w:t>
      </w:r>
      <w:r>
        <w:rPr>
          <w:rFonts w:hint="eastAsia" w:ascii="宋体" w:hAnsi="宋体"/>
          <w:bCs/>
          <w:color w:val="000000" w:themeColor="text1"/>
          <w:kern w:val="0"/>
          <w:szCs w:val="21"/>
          <w:highlight w:val="none"/>
          <w14:textFill>
            <w14:solidFill>
              <w14:schemeClr w14:val="tx1"/>
            </w14:solidFill>
          </w14:textFill>
        </w:rPr>
        <w:t>的活动。代理人在开标、评标、合同谈判过程中所签署的一切文件和处理与之有关的一切事务，我均予以承认。本授权委托书自签署之日起生效，特此声明。</w:t>
      </w:r>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代理人无转移委托权。</w:t>
      </w:r>
    </w:p>
    <w:p>
      <w:pPr>
        <w:spacing w:line="360" w:lineRule="auto"/>
        <w:ind w:firstLine="420" w:firstLineChars="200"/>
        <w:rPr>
          <w:rFonts w:ascii="宋体" w:hAnsi="宋体"/>
          <w:bCs/>
          <w:color w:val="000000" w:themeColor="text1"/>
          <w:kern w:val="0"/>
          <w:szCs w:val="21"/>
          <w:highlight w:val="non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特此委托。</w:t>
      </w:r>
    </w:p>
    <w:p>
      <w:pPr>
        <w:autoSpaceDE w:val="0"/>
        <w:autoSpaceDN w:val="0"/>
        <w:adjustRightInd w:val="0"/>
        <w:snapToGrid w:val="0"/>
        <w:spacing w:line="360" w:lineRule="auto"/>
        <w:ind w:firstLine="600"/>
        <w:jc w:val="left"/>
        <w:rPr>
          <w:rFonts w:ascii="宋体" w:hAnsi="宋体"/>
          <w:bCs/>
          <w:color w:val="000000" w:themeColor="text1"/>
          <w:kern w:val="0"/>
          <w:szCs w:val="21"/>
          <w:highlight w:val="none"/>
          <w14:textFill>
            <w14:solidFill>
              <w14:schemeClr w14:val="tx1"/>
            </w14:solidFill>
          </w14:textFill>
        </w:rPr>
      </w:pP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代理人：    性别：   年龄：   职务：</w:t>
      </w: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供应商：</w:t>
      </w:r>
      <w:r>
        <w:rPr>
          <w:rFonts w:hint="eastAsia" w:ascii="宋体" w:hAnsi="宋体"/>
          <w:bCs/>
          <w:color w:val="000000" w:themeColor="text1"/>
          <w:kern w:val="0"/>
          <w:szCs w:val="21"/>
          <w:highlight w:val="none"/>
          <w:u w:val="single"/>
          <w14:textFill>
            <w14:solidFill>
              <w14:schemeClr w14:val="tx1"/>
            </w14:solidFill>
          </w14:textFill>
        </w:rPr>
        <w:t xml:space="preserve">          （名称并加盖公章）                                         </w:t>
      </w:r>
    </w:p>
    <w:p>
      <w:pPr>
        <w:spacing w:line="360" w:lineRule="auto"/>
        <w:ind w:firstLine="420" w:firstLineChars="200"/>
        <w:rPr>
          <w:rFonts w:ascii="宋体" w:hAnsi="宋体"/>
          <w:bCs/>
          <w:color w:val="000000" w:themeColor="text1"/>
          <w:kern w:val="0"/>
          <w:szCs w:val="21"/>
          <w:highlight w:val="none"/>
          <w:u w:val="single"/>
          <w14:textFill>
            <w14:solidFill>
              <w14:schemeClr w14:val="tx1"/>
            </w14:solidFill>
          </w14:textFill>
        </w:rPr>
      </w:pPr>
      <w:r>
        <w:rPr>
          <w:rFonts w:hint="eastAsia" w:ascii="宋体" w:hAnsi="宋体"/>
          <w:bCs/>
          <w:color w:val="000000" w:themeColor="text1"/>
          <w:kern w:val="0"/>
          <w:szCs w:val="21"/>
          <w:highlight w:val="none"/>
          <w14:textFill>
            <w14:solidFill>
              <w14:schemeClr w14:val="tx1"/>
            </w14:solidFill>
          </w14:textFill>
        </w:rPr>
        <w:t>法定代表人（负责人）：</w:t>
      </w:r>
      <w:r>
        <w:rPr>
          <w:rFonts w:hint="eastAsia" w:ascii="宋体" w:hAnsi="宋体"/>
          <w:bCs/>
          <w:color w:val="000000" w:themeColor="text1"/>
          <w:kern w:val="0"/>
          <w:szCs w:val="21"/>
          <w:highlight w:val="none"/>
          <w:u w:val="single"/>
          <w14:textFill>
            <w14:solidFill>
              <w14:schemeClr w14:val="tx1"/>
            </w14:solidFill>
          </w14:textFill>
        </w:rPr>
        <w:t xml:space="preserve">    （签字或盖章）         </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（注：供应商的谈判响应文件为</w:t>
      </w:r>
      <w:r>
        <w:rPr>
          <w:rFonts w:hint="eastAsia" w:ascii="宋体" w:hAnsi="宋体" w:cs="宋体"/>
          <w:b/>
          <w:color w:val="000000" w:themeColor="text1"/>
          <w:szCs w:val="21"/>
          <w:highlight w:val="none"/>
          <w14:textFill>
            <w14:solidFill>
              <w14:schemeClr w14:val="tx1"/>
            </w14:solidFill>
          </w14:textFill>
        </w:rPr>
        <w:t>法定代表人（负责人）</w:t>
      </w:r>
      <w:r>
        <w:rPr>
          <w:rFonts w:hint="eastAsia" w:ascii="宋体" w:hAnsi="宋体"/>
          <w:b/>
          <w:color w:val="000000" w:themeColor="text1"/>
          <w:szCs w:val="21"/>
          <w:highlight w:val="none"/>
          <w14:textFill>
            <w14:solidFill>
              <w14:schemeClr w14:val="tx1"/>
            </w14:solidFill>
          </w14:textFill>
        </w:rPr>
        <w:t>签署并且由</w:t>
      </w:r>
      <w:r>
        <w:rPr>
          <w:rFonts w:hint="eastAsia" w:ascii="宋体" w:hAnsi="宋体" w:cs="宋体"/>
          <w:b/>
          <w:color w:val="000000" w:themeColor="text1"/>
          <w:szCs w:val="21"/>
          <w:highlight w:val="none"/>
          <w14:textFill>
            <w14:solidFill>
              <w14:schemeClr w14:val="tx1"/>
            </w14:solidFill>
          </w14:textFill>
        </w:rPr>
        <w:t>法定代表人（负责人）</w:t>
      </w:r>
      <w:r>
        <w:rPr>
          <w:rFonts w:hint="eastAsia" w:ascii="宋体" w:hAnsi="宋体"/>
          <w:b/>
          <w:color w:val="000000" w:themeColor="text1"/>
          <w:szCs w:val="21"/>
          <w:highlight w:val="none"/>
          <w14:textFill>
            <w14:solidFill>
              <w14:schemeClr w14:val="tx1"/>
            </w14:solidFill>
          </w14:textFill>
        </w:rPr>
        <w:t>亲自递交谈判响应文件和参加谈判的，不须提供该委托书，但需提供法定代表人（负责人）证明书及法定代表人（负责人）的身份证复印件。）</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139065</wp:posOffset>
                </wp:positionV>
                <wp:extent cx="3502660" cy="1781810"/>
                <wp:effectExtent l="5080" t="4445" r="16510" b="23495"/>
                <wp:wrapNone/>
                <wp:docPr id="6" name="自选图形 192"/>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2" o:spid="_x0000_s1026" o:spt="176" type="#_x0000_t176" style="position:absolute;left:0pt;margin-left:99.75pt;margin-top:10.95pt;height:140.3pt;width:275.8pt;z-index:251659264;mso-width-relative:page;mso-height-relative:page;" fillcolor="#FFFFFF" filled="t" stroked="t" coordsize="21600,21600" o:gfxdata="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qxkB&#10;2AAAAAoBAAAPAAAAAAAAAAEAIAAAACIAAABkcnMvZG93bnJldi54bWxQSwECFAAUAAAACACHTuJA&#10;w0jxwloCAACmBAAADgAAAAAAAAABACAAAAAnAQAAZHJzL2Uyb0RvYy54bWxQSwUGAAAAAAYABgBZ&#10;AQAA8wU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16" w:name="_Toc200414522"/>
      <w:bookmarkStart w:id="217" w:name="_Toc24727"/>
      <w:r>
        <w:rPr>
          <w:rFonts w:hint="eastAsia" w:ascii="宋体" w:hAnsi="宋体" w:eastAsia="宋体"/>
          <w:color w:val="000000" w:themeColor="text1"/>
          <w:sz w:val="28"/>
          <w:szCs w:val="28"/>
          <w:highlight w:val="none"/>
          <w14:textFill>
            <w14:solidFill>
              <w14:schemeClr w14:val="tx1"/>
            </w14:solidFill>
          </w14:textFill>
        </w:rPr>
        <w:t>（四）</w:t>
      </w:r>
      <w:bookmarkEnd w:id="216"/>
      <w:r>
        <w:rPr>
          <w:rFonts w:hint="eastAsia" w:ascii="宋体" w:hAnsi="宋体" w:eastAsia="宋体"/>
          <w:color w:val="000000" w:themeColor="text1"/>
          <w:sz w:val="28"/>
          <w:szCs w:val="28"/>
          <w:highlight w:val="none"/>
          <w14:textFill>
            <w14:solidFill>
              <w14:schemeClr w14:val="tx1"/>
            </w14:solidFill>
          </w14:textFill>
        </w:rPr>
        <w:t>资格审查文件要求提交的其它有效证明文件</w:t>
      </w:r>
      <w:bookmarkEnd w:id="217"/>
    </w:p>
    <w:p>
      <w:pPr>
        <w:tabs>
          <w:tab w:val="center" w:pos="4483"/>
        </w:tabs>
        <w:spacing w:line="360" w:lineRule="auto"/>
        <w:rPr>
          <w:rFonts w:ascii="宋体" w:hAnsi="宋体"/>
          <w:color w:val="000000" w:themeColor="text1"/>
          <w:kern w:val="0"/>
          <w:szCs w:val="21"/>
          <w:highlight w:val="none"/>
          <w14:textFill>
            <w14:solidFill>
              <w14:schemeClr w14:val="tx1"/>
            </w14:solidFill>
          </w14:textFill>
        </w:rPr>
      </w:pPr>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p>
    <w:p>
      <w:pPr>
        <w:adjustRightInd w:val="0"/>
        <w:snapToGrid w:val="0"/>
        <w:spacing w:line="360" w:lineRule="auto"/>
        <w:jc w:val="lef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p>
      <w:pPr>
        <w:tabs>
          <w:tab w:val="center" w:pos="4483"/>
        </w:tabs>
        <w:spacing w:line="360" w:lineRule="auto"/>
        <w:ind w:firstLine="1260" w:firstLineChars="600"/>
        <w:rPr>
          <w:rFonts w:ascii="宋体" w:hAnsi="宋体"/>
          <w:bCs/>
          <w:color w:val="000000" w:themeColor="text1"/>
          <w:kern w:val="0"/>
          <w:szCs w:val="21"/>
          <w:highlight w:val="none"/>
          <w14:textFill>
            <w14:solidFill>
              <w14:schemeClr w14:val="tx1"/>
            </w14:solidFill>
          </w14:textFill>
        </w:rPr>
        <w:sectPr>
          <w:headerReference r:id="rId8" w:type="default"/>
          <w:pgSz w:w="11906" w:h="16838"/>
          <w:pgMar w:top="1418" w:right="1474" w:bottom="1418" w:left="1474" w:header="851" w:footer="851" w:gutter="0"/>
          <w:cols w:space="720" w:num="1"/>
          <w:titlePg/>
          <w:docGrid w:linePitch="312" w:charSpace="0"/>
        </w:sectPr>
      </w:pPr>
    </w:p>
    <w:p>
      <w:pPr>
        <w:pStyle w:val="3"/>
        <w:numPr>
          <w:ilvl w:val="1"/>
          <w:numId w:val="0"/>
        </w:numPr>
        <w:spacing w:line="360" w:lineRule="auto"/>
        <w:ind w:firstLine="2249" w:firstLineChars="800"/>
        <w:rPr>
          <w:rFonts w:ascii="宋体" w:hAnsi="宋体" w:eastAsia="宋体"/>
          <w:color w:val="000000" w:themeColor="text1"/>
          <w:sz w:val="28"/>
          <w:szCs w:val="28"/>
          <w:highlight w:val="none"/>
          <w14:textFill>
            <w14:solidFill>
              <w14:schemeClr w14:val="tx1"/>
            </w14:solidFill>
          </w14:textFill>
        </w:rPr>
      </w:pPr>
      <w:bookmarkStart w:id="218" w:name="_Toc27451"/>
      <w:bookmarkStart w:id="219" w:name="_Toc200414524"/>
      <w:r>
        <w:rPr>
          <w:rFonts w:hint="eastAsia" w:ascii="宋体" w:hAnsi="宋体" w:eastAsia="宋体"/>
          <w:color w:val="000000" w:themeColor="text1"/>
          <w:sz w:val="28"/>
          <w:szCs w:val="28"/>
          <w:highlight w:val="none"/>
          <w14:textFill>
            <w14:solidFill>
              <w14:schemeClr w14:val="tx1"/>
            </w14:solidFill>
          </w14:textFill>
        </w:rPr>
        <w:t>第二章  谈判响应文件商务及技术部分</w:t>
      </w:r>
      <w:bookmarkEnd w:id="218"/>
      <w:bookmarkEnd w:id="219"/>
    </w:p>
    <w:p>
      <w:pPr>
        <w:pStyle w:val="3"/>
        <w:numPr>
          <w:ilvl w:val="1"/>
          <w:numId w:val="0"/>
        </w:numPr>
        <w:spacing w:line="360" w:lineRule="auto"/>
        <w:ind w:firstLine="3373" w:firstLineChars="1200"/>
        <w:rPr>
          <w:rFonts w:ascii="宋体" w:hAnsi="宋体" w:eastAsia="宋体"/>
          <w:color w:val="000000" w:themeColor="text1"/>
          <w:sz w:val="28"/>
          <w:szCs w:val="28"/>
          <w:highlight w:val="none"/>
          <w14:textFill>
            <w14:solidFill>
              <w14:schemeClr w14:val="tx1"/>
            </w14:solidFill>
          </w14:textFill>
        </w:rPr>
      </w:pPr>
      <w:bookmarkStart w:id="220" w:name="_Toc29875"/>
      <w:bookmarkStart w:id="221" w:name="_Toc200414525"/>
      <w:r>
        <w:rPr>
          <w:rFonts w:hint="eastAsia" w:ascii="宋体" w:hAnsi="宋体" w:eastAsia="宋体"/>
          <w:color w:val="000000" w:themeColor="text1"/>
          <w:sz w:val="28"/>
          <w:szCs w:val="28"/>
          <w:highlight w:val="none"/>
          <w14:textFill>
            <w14:solidFill>
              <w14:schemeClr w14:val="tx1"/>
            </w14:solidFill>
          </w14:textFill>
        </w:rPr>
        <w:t>附件一：谈判响应函</w:t>
      </w:r>
      <w:bookmarkEnd w:id="220"/>
      <w:bookmarkEnd w:id="221"/>
    </w:p>
    <w:p>
      <w:pPr>
        <w:widowControl/>
        <w:spacing w:line="360" w:lineRule="auto"/>
        <w:jc w:val="left"/>
        <w:rPr>
          <w:rFonts w:ascii="宋体" w:hAnsi="宋体" w:cs="宋体"/>
          <w:color w:val="000000" w:themeColor="text1"/>
          <w:kern w:val="0"/>
          <w:sz w:val="24"/>
          <w:highlight w:val="none"/>
          <w:u w:val="single"/>
          <w14:textFill>
            <w14:solidFill>
              <w14:schemeClr w14:val="tx1"/>
            </w14:solidFill>
          </w14:textFill>
        </w:rPr>
      </w:pPr>
      <w:r>
        <w:rPr>
          <w:rFonts w:ascii="宋体" w:hAnsi="宋体" w:cs="宋体"/>
          <w:color w:val="000000" w:themeColor="text1"/>
          <w:kern w:val="0"/>
          <w:sz w:val="24"/>
          <w:highlight w:val="none"/>
          <w:u w:val="single"/>
          <w14:textFill>
            <w14:solidFill>
              <w14:schemeClr w14:val="tx1"/>
            </w14:solidFill>
          </w14:textFill>
        </w:rPr>
        <w:t>致（采购人</w:t>
      </w:r>
      <w:r>
        <w:rPr>
          <w:rFonts w:hint="eastAsia" w:ascii="宋体" w:hAnsi="宋体" w:cs="宋体"/>
          <w:color w:val="000000" w:themeColor="text1"/>
          <w:kern w:val="0"/>
          <w:sz w:val="24"/>
          <w:highlight w:val="none"/>
          <w:u w:val="single"/>
          <w14:textFill>
            <w14:solidFill>
              <w14:schemeClr w14:val="tx1"/>
            </w14:solidFill>
          </w14:textFill>
        </w:rPr>
        <w:t>名称</w:t>
      </w:r>
      <w:r>
        <w:rPr>
          <w:rFonts w:ascii="宋体" w:hAnsi="宋体" w:cs="宋体"/>
          <w:color w:val="000000" w:themeColor="text1"/>
          <w:kern w:val="0"/>
          <w:sz w:val="24"/>
          <w:highlight w:val="none"/>
          <w:u w:val="single"/>
          <w14:textFill>
            <w14:solidFill>
              <w14:schemeClr w14:val="tx1"/>
            </w14:solidFill>
          </w14:textFill>
        </w:rPr>
        <w:t>）         </w:t>
      </w:r>
      <w:r>
        <w:rPr>
          <w:rFonts w:ascii="宋体" w:hAnsi="宋体" w:cs="宋体"/>
          <w:color w:val="000000" w:themeColor="text1"/>
          <w:kern w:val="0"/>
          <w:sz w:val="24"/>
          <w:highlight w:val="none"/>
          <w14:textFill>
            <w14:solidFill>
              <w14:schemeClr w14:val="tx1"/>
            </w14:solidFill>
          </w14:textFill>
        </w:rPr>
        <w:t xml:space="preserve">： </w:t>
      </w:r>
    </w:p>
    <w:p>
      <w:pPr>
        <w:adjustRightInd w:val="0"/>
        <w:snapToGrid w:val="0"/>
        <w:spacing w:beforeLines="50" w:line="480" w:lineRule="auto"/>
        <w:ind w:firstLine="420"/>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根据贵方就</w:t>
      </w:r>
      <w:r>
        <w:rPr>
          <w:rFonts w:hint="eastAsia" w:ascii="宋体" w:hAnsi="宋体" w:cs="宋体"/>
          <w:b/>
          <w:color w:val="000000" w:themeColor="text1"/>
          <w:szCs w:val="21"/>
          <w:highlight w:val="none"/>
          <w:u w:val="single"/>
          <w14:textFill>
            <w14:solidFill>
              <w14:schemeClr w14:val="tx1"/>
            </w14:solidFill>
          </w14:textFill>
        </w:rPr>
        <w:t xml:space="preserve">项目名称，由供应商填写      </w:t>
      </w:r>
      <w:r>
        <w:rPr>
          <w:rFonts w:hint="eastAsia" w:ascii="宋体" w:hAnsi="宋体"/>
          <w:b/>
          <w:bCs/>
          <w:color w:val="000000" w:themeColor="text1"/>
          <w:szCs w:val="21"/>
          <w:highlight w:val="none"/>
          <w14:textFill>
            <w14:solidFill>
              <w14:schemeClr w14:val="tx1"/>
            </w14:solidFill>
          </w14:textFill>
        </w:rPr>
        <w:t>的投标邀请（项目编号:</w:t>
      </w:r>
      <w:r>
        <w:rPr>
          <w:rFonts w:hint="eastAsia" w:ascii="宋体" w:hAnsi="宋体"/>
          <w:b/>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14:textFill>
            <w14:solidFill>
              <w14:schemeClr w14:val="tx1"/>
            </w14:solidFill>
          </w14:textFill>
        </w:rPr>
        <w:t>，我方正式响应谈判文件内容并提交谈判文件</w:t>
      </w:r>
      <w:r>
        <w:rPr>
          <w:rFonts w:hint="eastAsia" w:ascii="宋体" w:hAnsi="宋体"/>
          <w:b/>
          <w:bCs/>
          <w:color w:val="000000" w:themeColor="text1"/>
          <w:szCs w:val="21"/>
          <w:highlight w:val="none"/>
          <w:u w:val="single"/>
          <w14:textFill>
            <w14:solidFill>
              <w14:schemeClr w14:val="tx1"/>
            </w14:solidFill>
          </w14:textFill>
        </w:rPr>
        <w:t>1份正本</w:t>
      </w:r>
      <w:r>
        <w:rPr>
          <w:rFonts w:hint="eastAsia" w:ascii="宋体" w:hAnsi="宋体"/>
          <w:b/>
          <w:bCs/>
          <w:color w:val="000000" w:themeColor="text1"/>
          <w:szCs w:val="21"/>
          <w:highlight w:val="none"/>
          <w14:textFill>
            <w14:solidFill>
              <w14:schemeClr w14:val="tx1"/>
            </w14:solidFill>
          </w14:textFill>
        </w:rPr>
        <w:t>和</w:t>
      </w:r>
      <w:r>
        <w:rPr>
          <w:rFonts w:hint="eastAsia" w:ascii="宋体" w:hAnsi="宋体"/>
          <w:b/>
          <w:bCs/>
          <w:color w:val="000000" w:themeColor="text1"/>
          <w:szCs w:val="21"/>
          <w:highlight w:val="none"/>
          <w:u w:val="single"/>
          <w14:textFill>
            <w14:solidFill>
              <w14:schemeClr w14:val="tx1"/>
            </w14:solidFill>
          </w14:textFill>
        </w:rPr>
        <w:t>2份副本</w:t>
      </w:r>
      <w:r>
        <w:rPr>
          <w:rFonts w:hint="eastAsia" w:ascii="宋体" w:hAnsi="宋体"/>
          <w:b/>
          <w:bCs/>
          <w:color w:val="000000" w:themeColor="text1"/>
          <w:szCs w:val="21"/>
          <w:highlight w:val="none"/>
          <w14:textFill>
            <w14:solidFill>
              <w14:schemeClr w14:val="tx1"/>
            </w14:solidFill>
          </w14:textFill>
        </w:rPr>
        <w:t>及</w:t>
      </w:r>
      <w:r>
        <w:rPr>
          <w:rFonts w:hint="eastAsia" w:ascii="宋体" w:hAnsi="宋体"/>
          <w:b/>
          <w:bCs/>
          <w:color w:val="000000" w:themeColor="text1"/>
          <w:szCs w:val="21"/>
          <w:highlight w:val="none"/>
          <w:u w:val="single"/>
          <w14:textFill>
            <w14:solidFill>
              <w14:schemeClr w14:val="tx1"/>
            </w14:solidFill>
          </w14:textFill>
        </w:rPr>
        <w:t>电子文件1份</w:t>
      </w:r>
      <w:r>
        <w:rPr>
          <w:rFonts w:hint="eastAsia" w:ascii="宋体" w:hAnsi="宋体"/>
          <w:b/>
          <w:bCs/>
          <w:color w:val="000000" w:themeColor="text1"/>
          <w:szCs w:val="21"/>
          <w:highlight w:val="none"/>
          <w14:textFill>
            <w14:solidFill>
              <w14:schemeClr w14:val="tx1"/>
            </w14:solidFill>
          </w14:textFill>
        </w:rPr>
        <w:t>：</w:t>
      </w:r>
    </w:p>
    <w:p>
      <w:pPr>
        <w:widowControl/>
        <w:tabs>
          <w:tab w:val="left" w:pos="502"/>
        </w:tabs>
        <w:adjustRightInd w:val="0"/>
        <w:snapToGrid w:val="0"/>
        <w:spacing w:line="480" w:lineRule="auto"/>
        <w:ind w:left="374" w:leftChars="178" w:firstLine="316" w:firstLineChars="150"/>
        <w:rPr>
          <w:rFonts w:ascii="宋体" w:hAnsi="宋体"/>
          <w:b/>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以</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14:textFill>
            <w14:solidFill>
              <w14:schemeClr w14:val="tx1"/>
            </w14:solidFill>
          </w14:textFill>
        </w:rPr>
        <w:t>形式提交的谈判保证金，金额为大写</w:t>
      </w:r>
      <w:r>
        <w:rPr>
          <w:rFonts w:hint="eastAsia" w:ascii="宋体" w:hAnsi="宋体"/>
          <w:b/>
          <w:color w:val="000000" w:themeColor="text1"/>
          <w:szCs w:val="21"/>
          <w:highlight w:val="none"/>
          <w14:textFill>
            <w14:solidFill>
              <w14:schemeClr w14:val="tx1"/>
            </w14:solidFill>
          </w14:textFill>
        </w:rPr>
        <w:t>人民币</w:t>
      </w:r>
      <w:r>
        <w:rPr>
          <w:rFonts w:hint="eastAsia" w:ascii="宋体" w:hAnsi="宋体"/>
          <w:b/>
          <w:color w:val="000000" w:themeColor="text1"/>
          <w:szCs w:val="21"/>
          <w:highlight w:val="none"/>
          <w:u w:val="single"/>
          <w14:textFill>
            <w14:solidFill>
              <w14:schemeClr w14:val="tx1"/>
            </w14:solidFill>
          </w14:textFill>
        </w:rPr>
        <w:t xml:space="preserve">                  </w:t>
      </w:r>
      <w:r>
        <w:rPr>
          <w:rFonts w:hint="eastAsia" w:ascii="宋体" w:hAnsi="宋体"/>
          <w:b/>
          <w:color w:val="000000" w:themeColor="text1"/>
          <w:szCs w:val="21"/>
          <w:highlight w:val="none"/>
          <w14:textFill>
            <w14:solidFill>
              <w14:schemeClr w14:val="tx1"/>
            </w14:solidFill>
          </w14:textFill>
        </w:rPr>
        <w:t>（</w:t>
      </w:r>
      <w:r>
        <w:rPr>
          <w:rFonts w:hint="eastAsia" w:ascii="宋体" w:hAnsi="宋体"/>
          <w:b/>
          <w:bCs/>
          <w:color w:val="000000" w:themeColor="text1"/>
          <w:szCs w:val="21"/>
          <w:highlight w:val="none"/>
          <w14:textFill>
            <w14:solidFill>
              <w14:schemeClr w14:val="tx1"/>
            </w14:solidFill>
          </w14:textFill>
        </w:rPr>
        <w:t xml:space="preserve">¥ </w:t>
      </w:r>
      <w:r>
        <w:rPr>
          <w:rFonts w:hint="eastAsia" w:ascii="宋体" w:hAnsi="宋体"/>
          <w:b/>
          <w:bCs/>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szCs w:val="21"/>
          <w:highlight w:val="none"/>
          <w14:textFill>
            <w14:solidFill>
              <w14:schemeClr w14:val="tx1"/>
            </w14:solidFill>
          </w14:textFill>
        </w:rPr>
        <w:t xml:space="preserve"> ）。</w:t>
      </w:r>
    </w:p>
    <w:p>
      <w:pPr>
        <w:widowControl/>
        <w:tabs>
          <w:tab w:val="left" w:pos="502"/>
        </w:tabs>
        <w:adjustRightInd w:val="0"/>
        <w:snapToGrid w:val="0"/>
        <w:spacing w:line="480" w:lineRule="auto"/>
        <w:ind w:left="374" w:leftChars="177" w:hanging="2" w:hangingChars="1"/>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 xml:space="preserve">据此函，签字代表宣布同意如下：   </w:t>
      </w:r>
    </w:p>
    <w:p>
      <w:pPr>
        <w:widowControl/>
        <w:numPr>
          <w:ilvl w:val="0"/>
          <w:numId w:val="23"/>
        </w:numPr>
        <w:tabs>
          <w:tab w:val="left" w:pos="840"/>
        </w:tabs>
        <w:adjustRightInd w:val="0"/>
        <w:snapToGrid w:val="0"/>
        <w:spacing w:line="48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所附投标价格表中规定的应提交和交付的货物投标总价为人民币：</w:t>
      </w:r>
      <w:r>
        <w:rPr>
          <w:rFonts w:hint="eastAsia" w:ascii="宋体" w:hAnsi="宋体"/>
          <w:color w:val="000000" w:themeColor="text1"/>
          <w:szCs w:val="21"/>
          <w:highlight w:val="none"/>
          <w:u w:val="single"/>
          <w14:textFill>
            <w14:solidFill>
              <w14:schemeClr w14:val="tx1"/>
            </w14:solidFill>
          </w14:textFill>
        </w:rPr>
        <w:t xml:space="preserve"> （用文字和数字表示的谈判总价）  </w:t>
      </w:r>
      <w:r>
        <w:rPr>
          <w:rFonts w:hint="eastAsia" w:ascii="宋体" w:hAnsi="宋体"/>
          <w:color w:val="000000" w:themeColor="text1"/>
          <w:szCs w:val="21"/>
          <w:highlight w:val="none"/>
          <w14:textFill>
            <w14:solidFill>
              <w14:schemeClr w14:val="tx1"/>
            </w14:solidFill>
          </w14:textFill>
        </w:rPr>
        <w:t>。</w:t>
      </w:r>
    </w:p>
    <w:p>
      <w:pPr>
        <w:widowControl/>
        <w:numPr>
          <w:ilvl w:val="0"/>
          <w:numId w:val="23"/>
        </w:numPr>
        <w:tabs>
          <w:tab w:val="left" w:pos="840"/>
        </w:tabs>
        <w:adjustRightInd w:val="0"/>
        <w:snapToGrid w:val="0"/>
        <w:spacing w:line="48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本次投标所报内容完全按照谈判文件要求填报，所有内容都是真实、准确的。</w:t>
      </w:r>
    </w:p>
    <w:p>
      <w:pPr>
        <w:widowControl/>
        <w:numPr>
          <w:ilvl w:val="0"/>
          <w:numId w:val="23"/>
        </w:numPr>
        <w:tabs>
          <w:tab w:val="left" w:pos="840"/>
        </w:tabs>
        <w:adjustRightInd w:val="0"/>
        <w:snapToGrid w:val="0"/>
        <w:spacing w:line="48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供应商将按谈判文件的规定履行全部合同责任和义务。</w:t>
      </w:r>
    </w:p>
    <w:p>
      <w:pPr>
        <w:widowControl/>
        <w:numPr>
          <w:ilvl w:val="0"/>
          <w:numId w:val="23"/>
        </w:numPr>
        <w:tabs>
          <w:tab w:val="left" w:pos="840"/>
        </w:tabs>
        <w:adjustRightInd w:val="0"/>
        <w:snapToGrid w:val="0"/>
        <w:spacing w:line="48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供应商已详细审查全部谈判文件，包括修改文件（如有的话）以及全部参考资料和有关附件。我们完全理解并同意放弃对这方面有不明及误解的权利。</w:t>
      </w:r>
    </w:p>
    <w:p>
      <w:pPr>
        <w:widowControl/>
        <w:numPr>
          <w:ilvl w:val="0"/>
          <w:numId w:val="23"/>
        </w:numPr>
        <w:tabs>
          <w:tab w:val="left" w:pos="840"/>
        </w:tabs>
        <w:adjustRightInd w:val="0"/>
        <w:snapToGrid w:val="0"/>
        <w:spacing w:line="48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本次投标自递交谈判响应文件截止之日起有效期为90天。</w:t>
      </w:r>
    </w:p>
    <w:p>
      <w:pPr>
        <w:widowControl/>
        <w:numPr>
          <w:ilvl w:val="0"/>
          <w:numId w:val="23"/>
        </w:numPr>
        <w:tabs>
          <w:tab w:val="left" w:pos="840"/>
        </w:tabs>
        <w:adjustRightInd w:val="0"/>
        <w:snapToGrid w:val="0"/>
        <w:spacing w:line="48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如果在规定的递交谈判响应文件截止之日后，供应商在投标有效期内撤回投标，投标保证金将被贵方没收。</w:t>
      </w:r>
    </w:p>
    <w:p>
      <w:pPr>
        <w:widowControl/>
        <w:numPr>
          <w:ilvl w:val="0"/>
          <w:numId w:val="23"/>
        </w:numPr>
        <w:tabs>
          <w:tab w:val="left" w:pos="840"/>
        </w:tabs>
        <w:adjustRightInd w:val="0"/>
        <w:snapToGrid w:val="0"/>
        <w:spacing w:line="48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供应商同意提供按照贵方可能要求与其投标有关的一切数据或资料，完全理解贵方不一定接受最低价的投标或收到的任何投标。</w:t>
      </w:r>
    </w:p>
    <w:p>
      <w:pPr>
        <w:widowControl/>
        <w:numPr>
          <w:ilvl w:val="0"/>
          <w:numId w:val="23"/>
        </w:numPr>
        <w:tabs>
          <w:tab w:val="left" w:pos="840"/>
        </w:tabs>
        <w:adjustRightInd w:val="0"/>
        <w:snapToGrid w:val="0"/>
        <w:spacing w:line="480" w:lineRule="auto"/>
        <w:ind w:left="840" w:hanging="4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与本投标有关的一切正式往来通讯请寄至谈判响应文件封面指定地址、联系方式。</w:t>
      </w:r>
    </w:p>
    <w:p>
      <w:pPr>
        <w:adjustRightInd w:val="0"/>
        <w:snapToGrid w:val="0"/>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p>
    <w:p>
      <w:pPr>
        <w:adjustRightInd w:val="0"/>
        <w:snapToGrid w:val="0"/>
        <w:spacing w:line="48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adjustRightInd w:val="0"/>
        <w:snapToGrid w:val="0"/>
        <w:spacing w:line="48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日期：年月日</w:t>
      </w:r>
    </w:p>
    <w:p>
      <w:pPr>
        <w:pStyle w:val="22"/>
        <w:spacing w:line="480" w:lineRule="auto"/>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注：本投标函为供应商响应本次谈判项目的郑重承诺，供应商不得改动且必须满足。</w:t>
      </w:r>
    </w:p>
    <w:p>
      <w:pPr>
        <w:pStyle w:val="22"/>
        <w:spacing w:line="360" w:lineRule="auto"/>
        <w:rPr>
          <w:rFonts w:hAnsi="宋体"/>
          <w:color w:val="000000" w:themeColor="text1"/>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22" w:name="_Toc19663"/>
      <w:bookmarkStart w:id="223" w:name="_Toc200414526"/>
      <w:r>
        <w:rPr>
          <w:rFonts w:hint="eastAsia" w:ascii="宋体" w:hAnsi="宋体" w:eastAsia="宋体"/>
          <w:color w:val="000000" w:themeColor="text1"/>
          <w:sz w:val="28"/>
          <w:szCs w:val="28"/>
          <w:highlight w:val="none"/>
          <w14:textFill>
            <w14:solidFill>
              <w14:schemeClr w14:val="tx1"/>
            </w14:solidFill>
          </w14:textFill>
        </w:rPr>
        <w:t>附件二：第一次报价一览表</w:t>
      </w:r>
      <w:bookmarkEnd w:id="222"/>
      <w:bookmarkEnd w:id="223"/>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p>
    <w:p>
      <w:pPr>
        <w:adjustRightInd w:val="0"/>
        <w:snapToGrid w:val="0"/>
        <w:spacing w:line="360" w:lineRule="auto"/>
        <w:jc w:val="lef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p>
      <w:pPr>
        <w:tabs>
          <w:tab w:val="center" w:pos="4483"/>
        </w:tabs>
        <w:spacing w:line="360" w:lineRule="auto"/>
        <w:rPr>
          <w:rFonts w:ascii="宋体" w:hAnsi="宋体"/>
          <w:bCs/>
          <w:color w:val="000000" w:themeColor="text1"/>
          <w:szCs w:val="21"/>
          <w:highlight w:val="none"/>
          <w:u w:val="single"/>
          <w14:textFill>
            <w14:solidFill>
              <w14:schemeClr w14:val="tx1"/>
            </w14:solidFill>
          </w14:textFill>
        </w:rPr>
      </w:pPr>
    </w:p>
    <w:tbl>
      <w:tblPr>
        <w:tblStyle w:val="42"/>
        <w:tblW w:w="8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3713"/>
        <w:gridCol w:w="1501"/>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942"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p>
        </w:tc>
        <w:tc>
          <w:tcPr>
            <w:tcW w:w="3713"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报价（元）</w:t>
            </w:r>
          </w:p>
        </w:tc>
        <w:tc>
          <w:tcPr>
            <w:tcW w:w="1501"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eastAsia="zh-CN"/>
                <w14:textFill>
                  <w14:solidFill>
                    <w14:schemeClr w14:val="tx1"/>
                  </w14:solidFill>
                </w14:textFill>
              </w:rPr>
              <w:t>完工</w:t>
            </w:r>
            <w:r>
              <w:rPr>
                <w:rFonts w:hint="eastAsia" w:ascii="宋体" w:hAnsi="宋体"/>
                <w:bCs/>
                <w:color w:val="000000" w:themeColor="text1"/>
                <w:szCs w:val="21"/>
                <w:highlight w:val="none"/>
                <w14:textFill>
                  <w14:solidFill>
                    <w14:schemeClr w14:val="tx1"/>
                  </w14:solidFill>
                </w14:textFill>
              </w:rPr>
              <w:t>期</w:t>
            </w:r>
          </w:p>
        </w:tc>
        <w:tc>
          <w:tcPr>
            <w:tcW w:w="1476" w:type="dxa"/>
            <w:vAlign w:val="center"/>
          </w:tcPr>
          <w:p>
            <w:pPr>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7" w:hRule="atLeast"/>
          <w:jc w:val="center"/>
        </w:trPr>
        <w:tc>
          <w:tcPr>
            <w:tcW w:w="1942" w:type="dxa"/>
            <w:vAlign w:val="center"/>
          </w:tcPr>
          <w:p>
            <w:pPr>
              <w:spacing w:line="360" w:lineRule="auto"/>
              <w:jc w:val="center"/>
              <w:rPr>
                <w:rFonts w:ascii="宋体" w:hAnsi="宋体"/>
                <w:bCs/>
                <w:color w:val="000000" w:themeColor="text1"/>
                <w:highlight w:val="none"/>
                <w14:textFill>
                  <w14:solidFill>
                    <w14:schemeClr w14:val="tx1"/>
                  </w14:solidFill>
                </w14:textFill>
              </w:rPr>
            </w:pPr>
          </w:p>
        </w:tc>
        <w:tc>
          <w:tcPr>
            <w:tcW w:w="3713" w:type="dxa"/>
            <w:vAlign w:val="center"/>
          </w:tcPr>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大写：人民币</w:t>
            </w:r>
          </w:p>
          <w:p>
            <w:pPr>
              <w:spacing w:line="360" w:lineRule="auto"/>
              <w:rPr>
                <w:rFonts w:ascii="宋体" w:hAnsi="宋体"/>
                <w:bCs/>
                <w:color w:val="000000" w:themeColor="text1"/>
                <w:highlight w:val="none"/>
                <w14:textFill>
                  <w14:solidFill>
                    <w14:schemeClr w14:val="tx1"/>
                  </w14:solidFill>
                </w14:textFill>
              </w:rPr>
            </w:pPr>
          </w:p>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小写：¥ </w:t>
            </w:r>
          </w:p>
          <w:p>
            <w:pPr>
              <w:spacing w:line="360" w:lineRule="auto"/>
              <w:rPr>
                <w:rFonts w:ascii="宋体" w:hAnsi="宋体"/>
                <w:bCs/>
                <w:color w:val="000000" w:themeColor="text1"/>
                <w:highlight w:val="none"/>
                <w14:textFill>
                  <w14:solidFill>
                    <w14:schemeClr w14:val="tx1"/>
                  </w14:solidFill>
                </w14:textFill>
              </w:rPr>
            </w:pPr>
          </w:p>
        </w:tc>
        <w:tc>
          <w:tcPr>
            <w:tcW w:w="1501" w:type="dxa"/>
            <w:vAlign w:val="center"/>
          </w:tcPr>
          <w:p>
            <w:pPr>
              <w:spacing w:line="360" w:lineRule="auto"/>
              <w:jc w:val="center"/>
              <w:rPr>
                <w:rFonts w:ascii="宋体" w:hAnsi="宋体"/>
                <w:bCs/>
                <w:color w:val="000000" w:themeColor="text1"/>
                <w:highlight w:val="none"/>
                <w:u w:val="single"/>
                <w14:textFill>
                  <w14:solidFill>
                    <w14:schemeClr w14:val="tx1"/>
                  </w14:solidFill>
                </w14:textFill>
              </w:rPr>
            </w:pPr>
          </w:p>
        </w:tc>
        <w:tc>
          <w:tcPr>
            <w:tcW w:w="1476" w:type="dxa"/>
            <w:vAlign w:val="center"/>
          </w:tcPr>
          <w:p>
            <w:pPr>
              <w:spacing w:line="360" w:lineRule="auto"/>
              <w:rPr>
                <w:rFonts w:ascii="宋体" w:hAnsi="宋体"/>
                <w:bCs/>
                <w:color w:val="000000" w:themeColor="text1"/>
                <w:szCs w:val="21"/>
                <w:highlight w:val="none"/>
                <w14:textFill>
                  <w14:solidFill>
                    <w14:schemeClr w14:val="tx1"/>
                  </w14:solidFill>
                </w14:textFill>
              </w:rPr>
            </w:pPr>
          </w:p>
        </w:tc>
      </w:tr>
    </w:tbl>
    <w:p>
      <w:pPr>
        <w:spacing w:line="360" w:lineRule="auto"/>
        <w:rPr>
          <w:rFonts w:ascii="宋体" w:hAnsi="宋体"/>
          <w:bCs/>
          <w:color w:val="000000" w:themeColor="text1"/>
          <w:highlight w:val="none"/>
          <w:u w:val="single"/>
          <w14:textFill>
            <w14:solidFill>
              <w14:schemeClr w14:val="tx1"/>
            </w14:solidFill>
          </w14:textFill>
        </w:rPr>
      </w:pPr>
    </w:p>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24"/>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填写此表时不得改变表格的形式。</w:t>
      </w:r>
    </w:p>
    <w:p>
      <w:pPr>
        <w:numPr>
          <w:ilvl w:val="0"/>
          <w:numId w:val="24"/>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本报价表为供应商的第一次报价，谈判后，代理采购机构将向合格的供应商发最终报价表。</w:t>
      </w:r>
    </w:p>
    <w:p>
      <w:pPr>
        <w:numPr>
          <w:ilvl w:val="0"/>
          <w:numId w:val="24"/>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所投项目的内容必须填写完整。</w:t>
      </w:r>
    </w:p>
    <w:p>
      <w:pPr>
        <w:numPr>
          <w:ilvl w:val="0"/>
          <w:numId w:val="24"/>
        </w:numPr>
        <w:tabs>
          <w:tab w:val="left" w:pos="84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如果供应商认为有应当说明而本表中无相应栏目的内容，请在“备注”栏中说明添加说明。</w:t>
      </w:r>
    </w:p>
    <w:p>
      <w:pPr>
        <w:tabs>
          <w:tab w:val="left" w:pos="845"/>
        </w:tabs>
        <w:spacing w:line="360" w:lineRule="auto"/>
        <w:rPr>
          <w:rFonts w:ascii="宋体" w:hAnsi="宋体"/>
          <w:bCs/>
          <w:color w:val="000000" w:themeColor="text1"/>
          <w:highlight w:val="none"/>
          <w14:textFill>
            <w14:solidFill>
              <w14:schemeClr w14:val="tx1"/>
            </w14:solidFill>
          </w14:textFill>
        </w:rPr>
      </w:pPr>
    </w:p>
    <w:p>
      <w:pPr>
        <w:tabs>
          <w:tab w:val="left" w:pos="845"/>
        </w:tabs>
        <w:spacing w:line="360" w:lineRule="auto"/>
        <w:rPr>
          <w:rFonts w:ascii="宋体" w:hAnsi="宋体"/>
          <w:bCs/>
          <w:color w:val="000000" w:themeColor="text1"/>
          <w:highlight w:val="none"/>
          <w14:textFill>
            <w14:solidFill>
              <w14:schemeClr w14:val="tx1"/>
            </w14:solidFill>
          </w14:textFill>
        </w:rPr>
      </w:pPr>
    </w:p>
    <w:p>
      <w:pPr>
        <w:tabs>
          <w:tab w:val="left" w:pos="845"/>
        </w:tabs>
        <w:spacing w:line="360" w:lineRule="auto"/>
        <w:rPr>
          <w:rFonts w:ascii="宋体" w:hAnsi="宋体"/>
          <w:bCs/>
          <w:color w:val="000000" w:themeColor="text1"/>
          <w:highlight w:val="none"/>
          <w14:textFill>
            <w14:solidFill>
              <w14:schemeClr w14:val="tx1"/>
            </w14:solidFill>
          </w14:textFill>
        </w:rPr>
      </w:pPr>
    </w:p>
    <w:p>
      <w:pPr>
        <w:tabs>
          <w:tab w:val="left" w:pos="845"/>
        </w:tabs>
        <w:spacing w:line="360" w:lineRule="auto"/>
        <w:rPr>
          <w:rFonts w:ascii="宋体" w:hAnsi="宋体"/>
          <w:bCs/>
          <w:color w:val="000000" w:themeColor="text1"/>
          <w:highlight w:val="none"/>
          <w14:textFill>
            <w14:solidFill>
              <w14:schemeClr w14:val="tx1"/>
            </w14:solidFill>
          </w14:textFill>
        </w:rPr>
      </w:pPr>
    </w:p>
    <w:p>
      <w:pPr>
        <w:tabs>
          <w:tab w:val="left" w:pos="845"/>
        </w:tabs>
        <w:spacing w:line="360" w:lineRule="auto"/>
        <w:rPr>
          <w:rFonts w:ascii="宋体" w:hAnsi="宋体"/>
          <w:bCs/>
          <w:color w:val="000000" w:themeColor="text1"/>
          <w:highlight w:val="none"/>
          <w14:textFill>
            <w14:solidFill>
              <w14:schemeClr w14:val="tx1"/>
            </w14:solidFill>
          </w14:textFill>
        </w:rPr>
      </w:pPr>
    </w:p>
    <w:p>
      <w:pPr>
        <w:tabs>
          <w:tab w:val="left" w:pos="845"/>
        </w:tabs>
        <w:spacing w:line="360" w:lineRule="auto"/>
        <w:rPr>
          <w:rFonts w:ascii="宋体" w:hAnsi="宋体"/>
          <w:bCs/>
          <w:color w:val="000000" w:themeColor="text1"/>
          <w:highlight w:val="none"/>
          <w14:textFill>
            <w14:solidFill>
              <w14:schemeClr w14:val="tx1"/>
            </w14:solidFill>
          </w14:textFill>
        </w:rPr>
      </w:pPr>
    </w:p>
    <w:p>
      <w:pPr>
        <w:tabs>
          <w:tab w:val="left" w:pos="845"/>
        </w:tabs>
        <w:spacing w:line="360" w:lineRule="auto"/>
        <w:rPr>
          <w:rFonts w:ascii="宋体" w:hAnsi="宋体"/>
          <w:bCs/>
          <w:color w:val="000000" w:themeColor="text1"/>
          <w:highlight w:val="none"/>
          <w14:textFill>
            <w14:solidFill>
              <w14:schemeClr w14:val="tx1"/>
            </w14:solidFill>
          </w14:textFill>
        </w:rPr>
      </w:pPr>
    </w:p>
    <w:p>
      <w:pPr>
        <w:tabs>
          <w:tab w:val="left" w:pos="845"/>
        </w:tabs>
        <w:spacing w:line="360" w:lineRule="auto"/>
        <w:rPr>
          <w:rFonts w:ascii="宋体" w:hAnsi="宋体"/>
          <w:bCs/>
          <w:color w:val="000000" w:themeColor="text1"/>
          <w:highlight w:val="none"/>
          <w14:textFill>
            <w14:solidFill>
              <w14:schemeClr w14:val="tx1"/>
            </w14:solidFill>
          </w14:textFill>
        </w:rPr>
      </w:pPr>
    </w:p>
    <w:p>
      <w:pPr>
        <w:tabs>
          <w:tab w:val="left" w:pos="845"/>
        </w:tabs>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日期：年月日</w:t>
      </w:r>
    </w:p>
    <w:p>
      <w:pPr>
        <w:pStyle w:val="22"/>
        <w:spacing w:line="360" w:lineRule="auto"/>
        <w:rPr>
          <w:rFonts w:hAnsi="宋体"/>
          <w:color w:val="000000" w:themeColor="text1"/>
          <w:highlight w:val="none"/>
          <w14:textFill>
            <w14:solidFill>
              <w14:schemeClr w14:val="tx1"/>
            </w14:solidFill>
          </w14:textFill>
        </w:rPr>
      </w:pPr>
    </w:p>
    <w:p>
      <w:pPr>
        <w:pStyle w:val="22"/>
        <w:spacing w:line="360" w:lineRule="auto"/>
        <w:rPr>
          <w:rFonts w:hAnsi="宋体"/>
          <w:color w:val="000000" w:themeColor="text1"/>
          <w:highlight w:val="none"/>
          <w14:textFill>
            <w14:solidFill>
              <w14:schemeClr w14:val="tx1"/>
            </w14:solidFill>
          </w14:textFill>
        </w:rPr>
        <w:sectPr>
          <w:pgSz w:w="11906" w:h="16838"/>
          <w:pgMar w:top="1418" w:right="1474" w:bottom="1418" w:left="1474" w:header="851" w:footer="851" w:gutter="0"/>
          <w:cols w:space="720" w:num="1"/>
          <w:titlePg/>
          <w:docGrid w:linePitch="462" w:charSpace="0"/>
        </w:sect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24" w:name="_Toc21730"/>
      <w:bookmarkStart w:id="225" w:name="_Toc200414527"/>
      <w:r>
        <w:rPr>
          <w:rFonts w:hint="eastAsia" w:ascii="宋体" w:hAnsi="宋体" w:eastAsia="宋体"/>
          <w:color w:val="000000" w:themeColor="text1"/>
          <w:highlight w:val="none"/>
          <w14:textFill>
            <w14:solidFill>
              <w14:schemeClr w14:val="tx1"/>
            </w14:solidFill>
          </w14:textFill>
        </w:rPr>
        <w:t>附件三：谈判分项报价</w:t>
      </w:r>
      <w:r>
        <w:rPr>
          <w:rFonts w:ascii="宋体" w:hAnsi="宋体" w:eastAsia="宋体"/>
          <w:color w:val="000000" w:themeColor="text1"/>
          <w:highlight w:val="none"/>
          <w14:textFill>
            <w14:solidFill>
              <w14:schemeClr w14:val="tx1"/>
            </w14:solidFill>
          </w14:textFill>
        </w:rPr>
        <w:t>表</w:t>
      </w:r>
      <w:bookmarkEnd w:id="224"/>
      <w:bookmarkEnd w:id="225"/>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p>
    <w:p>
      <w:pPr>
        <w:adjustRightInd w:val="0"/>
        <w:snapToGrid w:val="0"/>
        <w:spacing w:line="360" w:lineRule="auto"/>
        <w:jc w:val="left"/>
        <w:rPr>
          <w:rFonts w:ascii="宋体" w:hAnsi="宋体"/>
          <w:color w:val="000000" w:themeColor="text1"/>
          <w:spacing w:val="1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p>
      <w:pPr>
        <w:adjustRightInd w:val="0"/>
        <w:snapToGrid w:val="0"/>
        <w:spacing w:line="360" w:lineRule="auto"/>
        <w:ind w:firstLine="7665" w:firstLineChars="3650"/>
        <w:jc w:val="lef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（单位：元）</w:t>
      </w:r>
    </w:p>
    <w:tbl>
      <w:tblPr>
        <w:tblStyle w:val="42"/>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2"/>
        <w:gridCol w:w="1281"/>
        <w:gridCol w:w="1281"/>
        <w:gridCol w:w="646"/>
        <w:gridCol w:w="636"/>
        <w:gridCol w:w="1281"/>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内容</w:t>
            </w: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282" w:type="dxa"/>
            <w:gridSpan w:val="2"/>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p>
        </w:tc>
        <w:tc>
          <w:tcPr>
            <w:tcW w:w="1287"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服务内容</w:t>
            </w: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2" w:type="dxa"/>
            <w:gridSpan w:val="2"/>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7"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服务时间</w:t>
            </w: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2" w:type="dxa"/>
            <w:gridSpan w:val="2"/>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7"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w:t>
            </w: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2" w:type="dxa"/>
            <w:gridSpan w:val="2"/>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7"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总价</w:t>
            </w: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2" w:type="dxa"/>
            <w:gridSpan w:val="2"/>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1"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287"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保险费</w:t>
            </w:r>
          </w:p>
        </w:tc>
        <w:tc>
          <w:tcPr>
            <w:tcW w:w="6412" w:type="dxa"/>
            <w:gridSpan w:val="6"/>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税金</w:t>
            </w:r>
          </w:p>
        </w:tc>
        <w:tc>
          <w:tcPr>
            <w:tcW w:w="6412" w:type="dxa"/>
            <w:gridSpan w:val="6"/>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技术服务费</w:t>
            </w:r>
          </w:p>
        </w:tc>
        <w:tc>
          <w:tcPr>
            <w:tcW w:w="6412" w:type="dxa"/>
            <w:gridSpan w:val="6"/>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培训费</w:t>
            </w:r>
          </w:p>
        </w:tc>
        <w:tc>
          <w:tcPr>
            <w:tcW w:w="6412" w:type="dxa"/>
            <w:gridSpan w:val="6"/>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9</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质量保证期内的服务费用</w:t>
            </w:r>
          </w:p>
        </w:tc>
        <w:tc>
          <w:tcPr>
            <w:tcW w:w="6412" w:type="dxa"/>
            <w:gridSpan w:val="6"/>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10</w:t>
            </w:r>
          </w:p>
        </w:tc>
        <w:tc>
          <w:tcPr>
            <w:tcW w:w="1842"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其他费用</w:t>
            </w:r>
          </w:p>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（该表中无体现的费用但本项目有产生的其他费用）</w:t>
            </w:r>
          </w:p>
        </w:tc>
        <w:tc>
          <w:tcPr>
            <w:tcW w:w="6412" w:type="dxa"/>
            <w:gridSpan w:val="6"/>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11</w:t>
            </w:r>
          </w:p>
        </w:tc>
        <w:tc>
          <w:tcPr>
            <w:tcW w:w="1842" w:type="dxa"/>
            <w:vAlign w:val="center"/>
          </w:tcPr>
          <w:p>
            <w:pPr>
              <w:pStyle w:val="8"/>
              <w:snapToGrid w:val="0"/>
              <w:ind w:firstLine="0"/>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报价总价</w:t>
            </w:r>
          </w:p>
        </w:tc>
        <w:tc>
          <w:tcPr>
            <w:tcW w:w="3208" w:type="dxa"/>
            <w:gridSpan w:val="3"/>
            <w:vAlign w:val="center"/>
          </w:tcPr>
          <w:p>
            <w:pPr>
              <w:pStyle w:val="8"/>
              <w:snapToGrid w:val="0"/>
              <w:ind w:firstLine="0"/>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（大写）人民币</w:t>
            </w:r>
          </w:p>
        </w:tc>
        <w:tc>
          <w:tcPr>
            <w:tcW w:w="3204" w:type="dxa"/>
            <w:gridSpan w:val="3"/>
            <w:vAlign w:val="center"/>
          </w:tcPr>
          <w:p>
            <w:pPr>
              <w:pStyle w:val="8"/>
              <w:snapToGrid w:val="0"/>
              <w:ind w:firstLine="0"/>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vAlign w:val="center"/>
          </w:tcPr>
          <w:p>
            <w:pPr>
              <w:pStyle w:val="8"/>
              <w:snapToGrid w:val="0"/>
              <w:ind w:firstLine="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12</w:t>
            </w:r>
          </w:p>
        </w:tc>
        <w:tc>
          <w:tcPr>
            <w:tcW w:w="1842" w:type="dxa"/>
            <w:vAlign w:val="center"/>
          </w:tcPr>
          <w:p>
            <w:pPr>
              <w:pStyle w:val="8"/>
              <w:snapToGrid w:val="0"/>
              <w:ind w:firstLine="0"/>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备注</w:t>
            </w:r>
          </w:p>
        </w:tc>
        <w:tc>
          <w:tcPr>
            <w:tcW w:w="6412" w:type="dxa"/>
            <w:gridSpan w:val="6"/>
            <w:vAlign w:val="center"/>
          </w:tcPr>
          <w:p>
            <w:pPr>
              <w:pStyle w:val="8"/>
              <w:snapToGrid w:val="0"/>
              <w:ind w:firstLine="0"/>
              <w:jc w:val="center"/>
              <w:rPr>
                <w:rFonts w:hint="eastAsia" w:ascii="宋体" w:hAnsi="宋体" w:eastAsia="宋体" w:cs="宋体"/>
                <w:bCs/>
                <w:color w:val="000000" w:themeColor="text1"/>
                <w:sz w:val="21"/>
                <w:szCs w:val="21"/>
                <w:highlight w:val="none"/>
                <w14:textFill>
                  <w14:solidFill>
                    <w14:schemeClr w14:val="tx1"/>
                  </w14:solidFill>
                </w14:textFill>
              </w:rPr>
            </w:pPr>
          </w:p>
        </w:tc>
      </w:tr>
    </w:tbl>
    <w:p>
      <w:pPr>
        <w:adjustRightInd w:val="0"/>
        <w:snapToGrid w:val="0"/>
        <w:spacing w:line="360" w:lineRule="auto"/>
        <w:jc w:val="left"/>
        <w:rPr>
          <w:rFonts w:ascii="宋体" w:hAnsi="宋体"/>
          <w:bCs/>
          <w:color w:val="000000" w:themeColor="text1"/>
          <w:szCs w:val="21"/>
          <w:highlight w:val="none"/>
          <w14:textFill>
            <w14:solidFill>
              <w14:schemeClr w14:val="tx1"/>
            </w14:solidFill>
          </w14:textFill>
        </w:rPr>
      </w:pPr>
    </w:p>
    <w:p>
      <w:pPr>
        <w:spacing w:line="46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注：1、若最终报价在第一次报价的基础上有浮动，则最终报价中的各分项报价须按比例统一浮动。</w:t>
      </w:r>
    </w:p>
    <w:p>
      <w:pPr>
        <w:spacing w:line="4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2、如本表格式内容不能满足需要，供应商可自行划表填写。</w:t>
      </w:r>
    </w:p>
    <w:p>
      <w:pPr>
        <w:adjustRightInd w:val="0"/>
        <w:snapToGrid w:val="0"/>
        <w:spacing w:line="4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供应商法定代表人（负责人）或授权代理人（签字）： </w:t>
      </w:r>
    </w:p>
    <w:p>
      <w:pPr>
        <w:adjustRightInd w:val="0"/>
        <w:snapToGrid w:val="0"/>
        <w:spacing w:line="400" w:lineRule="exact"/>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rPr>
          <w:rFonts w:ascii="宋体" w:hAnsi="宋体"/>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日期：年月日</w:t>
      </w:r>
      <w:bookmarkStart w:id="226" w:name="_Toc200414528"/>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27" w:name="_Toc419"/>
      <w:r>
        <w:rPr>
          <w:rFonts w:hint="eastAsia" w:ascii="宋体" w:hAnsi="宋体" w:eastAsia="宋体"/>
          <w:color w:val="000000" w:themeColor="text1"/>
          <w:sz w:val="28"/>
          <w:szCs w:val="28"/>
          <w:highlight w:val="none"/>
          <w14:textFill>
            <w14:solidFill>
              <w14:schemeClr w14:val="tx1"/>
            </w14:solidFill>
          </w14:textFill>
        </w:rPr>
        <w:t>附件四：商务条款偏离一览表</w:t>
      </w:r>
      <w:bookmarkEnd w:id="226"/>
      <w:bookmarkEnd w:id="227"/>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p>
    <w:p>
      <w:pPr>
        <w:adjustRightInd w:val="0"/>
        <w:snapToGrid w:val="0"/>
        <w:spacing w:line="360" w:lineRule="auto"/>
        <w:jc w:val="left"/>
        <w:rPr>
          <w:rFonts w:ascii="宋体" w:hAnsi="宋体"/>
          <w:color w:val="000000" w:themeColor="text1"/>
          <w:spacing w:val="10"/>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tbl>
      <w:tblPr>
        <w:tblStyle w:val="42"/>
        <w:tblW w:w="9271" w:type="dxa"/>
        <w:jc w:val="center"/>
        <w:tblLayout w:type="fixed"/>
        <w:tblCellMar>
          <w:top w:w="0" w:type="dxa"/>
          <w:left w:w="54" w:type="dxa"/>
          <w:bottom w:w="0" w:type="dxa"/>
          <w:right w:w="54" w:type="dxa"/>
        </w:tblCellMar>
      </w:tblPr>
      <w:tblGrid>
        <w:gridCol w:w="583"/>
        <w:gridCol w:w="850"/>
        <w:gridCol w:w="3189"/>
        <w:gridCol w:w="2906"/>
        <w:gridCol w:w="993"/>
        <w:gridCol w:w="750"/>
      </w:tblGrid>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序号</w:t>
            </w: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谈判文件条目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谈判文件规格</w:t>
            </w: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谈判响应文件规格</w:t>
            </w: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偏离</w:t>
            </w:r>
          </w:p>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情况</w:t>
            </w: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58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w:t>
      </w:r>
      <w:r>
        <w:rPr>
          <w:rFonts w:hint="eastAsia" w:ascii="宋体" w:hAnsi="宋体"/>
          <w:bCs/>
          <w:color w:val="000000" w:themeColor="text1"/>
          <w:highlight w:val="none"/>
          <w14:textFill>
            <w14:solidFill>
              <w14:schemeClr w14:val="tx1"/>
            </w14:solidFill>
          </w14:textFill>
        </w:rPr>
        <w:t>1）对“偏离”一栏，填写“无偏离、正偏离、负偏离”；</w:t>
      </w:r>
    </w:p>
    <w:p>
      <w:pPr>
        <w:adjustRightInd w:val="0"/>
        <w:snapToGrid w:val="0"/>
        <w:spacing w:line="360" w:lineRule="auto"/>
        <w:ind w:firstLine="630" w:firstLineChars="300"/>
        <w:rPr>
          <w:rFonts w:ascii="宋体" w:hAnsi="宋体"/>
          <w:b/>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2）对谈判文件中商务条款按上列格式逐条说明。</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供应商声明：表中未列全的商务条款，我方均表示完全响应谈判文件商务条款的所有要求。</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sectPr>
          <w:pgSz w:w="11906" w:h="16838"/>
          <w:pgMar w:top="1418" w:right="1474" w:bottom="1418" w:left="1474" w:header="851" w:footer="851" w:gutter="0"/>
          <w:cols w:space="720" w:num="1"/>
          <w:titlePg/>
          <w:docGrid w:linePitch="462" w:charSpace="0"/>
        </w:sect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28" w:name="_Toc200414529"/>
      <w:bookmarkStart w:id="229" w:name="_Toc2532"/>
      <w:r>
        <w:rPr>
          <w:rFonts w:hint="eastAsia" w:ascii="宋体" w:hAnsi="宋体" w:eastAsia="宋体"/>
          <w:color w:val="000000" w:themeColor="text1"/>
          <w:sz w:val="28"/>
          <w:szCs w:val="28"/>
          <w:highlight w:val="none"/>
          <w14:textFill>
            <w14:solidFill>
              <w14:schemeClr w14:val="tx1"/>
            </w14:solidFill>
          </w14:textFill>
        </w:rPr>
        <w:t>附件五：技术条款偏离一览表</w:t>
      </w:r>
      <w:bookmarkEnd w:id="228"/>
      <w:bookmarkEnd w:id="229"/>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p>
    <w:p>
      <w:pPr>
        <w:adjustRightInd w:val="0"/>
        <w:snapToGrid w:val="0"/>
        <w:spacing w:line="360" w:lineRule="auto"/>
        <w:jc w:val="lef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tbl>
      <w:tblPr>
        <w:tblStyle w:val="42"/>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谈判文件条目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谈判文件规格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偏离</w:t>
            </w:r>
          </w:p>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000000" w:themeColor="text1"/>
                <w:szCs w:val="21"/>
                <w:highlight w:val="none"/>
                <w14:textFill>
                  <w14:solidFill>
                    <w14:schemeClr w14:val="tx1"/>
                  </w14:solidFill>
                </w14:textFill>
              </w:rPr>
            </w:pPr>
          </w:p>
        </w:tc>
      </w:tr>
    </w:tbl>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说明：</w:t>
      </w:r>
      <w:r>
        <w:rPr>
          <w:rFonts w:hint="eastAsia" w:ascii="宋体" w:hAnsi="宋体"/>
          <w:bCs/>
          <w:color w:val="000000" w:themeColor="text1"/>
          <w:highlight w:val="none"/>
          <w14:textFill>
            <w14:solidFill>
              <w14:schemeClr w14:val="tx1"/>
            </w14:solidFill>
          </w14:textFill>
        </w:rPr>
        <w:t>1）对“偏离”一栏，填写“无偏离、正偏离、负偏离”；</w:t>
      </w:r>
    </w:p>
    <w:p>
      <w:pPr>
        <w:adjustRightInd w:val="0"/>
        <w:snapToGrid w:val="0"/>
        <w:spacing w:line="360" w:lineRule="auto"/>
        <w:ind w:left="-271" w:leftChars="-129" w:right="-384" w:rightChars="-183" w:firstLine="630" w:firstLineChars="300"/>
        <w:rPr>
          <w:rFonts w:ascii="宋体" w:hAnsi="宋体"/>
          <w:b/>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2）对谈判文件中技术条款按上列格式逐条说明</w:t>
      </w:r>
      <w:r>
        <w:rPr>
          <w:rFonts w:hint="eastAsia" w:ascii="宋体" w:hAnsi="宋体"/>
          <w:b/>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供应商声明：表中未列全的技术条款，我方均表示完全响应谈判文件技术条款的所有要求。</w:t>
      </w:r>
    </w:p>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p>
    <w:p>
      <w:pPr>
        <w:adjustRightInd w:val="0"/>
        <w:snapToGrid w:val="0"/>
        <w:spacing w:line="360" w:lineRule="auto"/>
        <w:ind w:left="-271" w:leftChars="-129" w:right="-384" w:rightChars="-183"/>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adjustRightInd w:val="0"/>
        <w:snapToGrid w:val="0"/>
        <w:spacing w:line="360" w:lineRule="auto"/>
        <w:ind w:left="-271" w:leftChars="-129" w:right="-384" w:rightChars="-183"/>
        <w:rPr>
          <w:rFonts w:ascii="宋体" w:hAnsi="宋体"/>
          <w:bCs/>
          <w:color w:val="000000" w:themeColor="text1"/>
          <w:szCs w:val="21"/>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30" w:name="_Toc27967"/>
      <w:r>
        <w:rPr>
          <w:rFonts w:hint="eastAsia" w:ascii="宋体" w:hAnsi="宋体" w:eastAsia="宋体"/>
          <w:color w:val="000000" w:themeColor="text1"/>
          <w:sz w:val="28"/>
          <w:szCs w:val="28"/>
          <w:highlight w:val="none"/>
          <w14:textFill>
            <w14:solidFill>
              <w14:schemeClr w14:val="tx1"/>
            </w14:solidFill>
          </w14:textFill>
        </w:rPr>
        <w:t>附件六：同类业绩一览表</w:t>
      </w:r>
      <w:bookmarkEnd w:id="230"/>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p>
    <w:tbl>
      <w:tblPr>
        <w:tblStyle w:val="42"/>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234"/>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797"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序号</w:t>
            </w:r>
          </w:p>
        </w:tc>
        <w:tc>
          <w:tcPr>
            <w:tcW w:w="1234"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项目名称</w:t>
            </w:r>
          </w:p>
        </w:tc>
        <w:tc>
          <w:tcPr>
            <w:tcW w:w="1267"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内容</w:t>
            </w:r>
          </w:p>
        </w:tc>
        <w:tc>
          <w:tcPr>
            <w:tcW w:w="1117"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数量</w:t>
            </w:r>
          </w:p>
        </w:tc>
        <w:tc>
          <w:tcPr>
            <w:tcW w:w="1400"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成交额（元）</w:t>
            </w:r>
          </w:p>
        </w:tc>
        <w:tc>
          <w:tcPr>
            <w:tcW w:w="1233"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完成日期</w:t>
            </w:r>
          </w:p>
        </w:tc>
        <w:tc>
          <w:tcPr>
            <w:tcW w:w="1183"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用户单位</w:t>
            </w:r>
          </w:p>
        </w:tc>
        <w:tc>
          <w:tcPr>
            <w:tcW w:w="1220"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联系电话</w:t>
            </w:r>
          </w:p>
        </w:tc>
        <w:tc>
          <w:tcPr>
            <w:tcW w:w="817"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p>
        </w:tc>
        <w:tc>
          <w:tcPr>
            <w:tcW w:w="1234"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8"/>
              <w:snapToGrid w:val="0"/>
              <w:ind w:firstLine="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4"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4"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4"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4"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4"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9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4"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8"/>
              <w:snapToGrid w:val="0"/>
              <w:jc w:val="center"/>
              <w:rPr>
                <w:rFonts w:hAnsi="宋体"/>
                <w:bCs/>
                <w:color w:val="000000" w:themeColor="text1"/>
                <w:szCs w:val="24"/>
                <w:highlight w:val="none"/>
                <w14:textFill>
                  <w14:solidFill>
                    <w14:schemeClr w14:val="tx1"/>
                  </w14:solidFill>
                </w14:textFill>
              </w:rPr>
            </w:pPr>
          </w:p>
        </w:tc>
      </w:tr>
    </w:tbl>
    <w:p>
      <w:pPr>
        <w:pStyle w:val="8"/>
        <w:snapToGrid w:val="0"/>
        <w:spacing w:line="360" w:lineRule="auto"/>
        <w:ind w:firstLine="0"/>
        <w:rPr>
          <w:rFonts w:hAnsi="宋体"/>
          <w:bCs/>
          <w:color w:val="000000" w:themeColor="text1"/>
          <w:highlight w:val="none"/>
          <w14:textFill>
            <w14:solidFill>
              <w14:schemeClr w14:val="tx1"/>
            </w14:solidFill>
          </w14:textFill>
        </w:rPr>
      </w:pPr>
    </w:p>
    <w:p>
      <w:pPr>
        <w:pStyle w:val="8"/>
        <w:snapToGrid w:val="0"/>
        <w:spacing w:line="360" w:lineRule="auto"/>
        <w:ind w:firstLine="0"/>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注：如本表格式内容不能满足需要，</w:t>
      </w:r>
      <w:r>
        <w:rPr>
          <w:rFonts w:hint="eastAsia" w:ascii="宋体" w:hAnsi="宋体"/>
          <w:bCs/>
          <w:color w:val="000000" w:themeColor="text1"/>
          <w:highlight w:val="none"/>
          <w14:textFill>
            <w14:solidFill>
              <w14:schemeClr w14:val="tx1"/>
            </w14:solidFill>
          </w14:textFill>
        </w:rPr>
        <w:t>供应商</w:t>
      </w:r>
      <w:r>
        <w:rPr>
          <w:rFonts w:hint="eastAsia" w:hAnsi="宋体"/>
          <w:bCs/>
          <w:color w:val="000000" w:themeColor="text1"/>
          <w:highlight w:val="none"/>
          <w14:textFill>
            <w14:solidFill>
              <w14:schemeClr w14:val="tx1"/>
            </w14:solidFill>
          </w14:textFill>
        </w:rPr>
        <w:t>可自行划表填写，但必须体现以上内容。</w:t>
      </w:r>
    </w:p>
    <w:p>
      <w:pPr>
        <w:pStyle w:val="8"/>
        <w:snapToGrid w:val="0"/>
        <w:spacing w:line="360" w:lineRule="auto"/>
        <w:ind w:firstLine="0"/>
        <w:rPr>
          <w:rFonts w:hAnsi="宋体"/>
          <w:bCs/>
          <w:color w:val="000000" w:themeColor="text1"/>
          <w:highlight w:val="none"/>
          <w14:textFill>
            <w14:solidFill>
              <w14:schemeClr w14:val="tx1"/>
            </w14:solidFill>
          </w14:textFill>
        </w:rPr>
      </w:pPr>
    </w:p>
    <w:p>
      <w:pPr>
        <w:pStyle w:val="8"/>
        <w:snapToGrid w:val="0"/>
        <w:spacing w:line="360" w:lineRule="auto"/>
        <w:ind w:firstLine="0"/>
        <w:rPr>
          <w:rFonts w:hAnsi="宋体"/>
          <w:bCs/>
          <w:color w:val="000000" w:themeColor="text1"/>
          <w:highlight w:val="none"/>
          <w14:textFill>
            <w14:solidFill>
              <w14:schemeClr w14:val="tx1"/>
            </w14:solidFill>
          </w14:textFill>
        </w:rPr>
      </w:pPr>
    </w:p>
    <w:p>
      <w:pPr>
        <w:pStyle w:val="8"/>
        <w:snapToGrid w:val="0"/>
        <w:spacing w:line="360" w:lineRule="auto"/>
        <w:ind w:firstLine="0"/>
        <w:rPr>
          <w:rFonts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供应商法定代表人（负责人）或授权代理人（签字）：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供应商名称（加盖公章）：</w:t>
      </w:r>
    </w:p>
    <w:p>
      <w:pPr>
        <w:pStyle w:val="8"/>
        <w:snapToGrid w:val="0"/>
        <w:spacing w:line="360" w:lineRule="auto"/>
        <w:ind w:firstLine="0"/>
        <w:rPr>
          <w:rFonts w:ascii="宋体" w:hAnsi="宋体"/>
          <w:color w:val="000000" w:themeColor="text1"/>
          <w:highlight w:val="none"/>
          <w14:textFill>
            <w14:solidFill>
              <w14:schemeClr w14:val="tx1"/>
            </w14:solidFill>
          </w14:textFill>
        </w:rPr>
        <w:sectPr>
          <w:pgSz w:w="11906" w:h="16838"/>
          <w:pgMar w:top="1418" w:right="1474" w:bottom="1418" w:left="1474" w:header="851" w:footer="992" w:gutter="0"/>
          <w:cols w:space="720" w:num="1"/>
          <w:docGrid w:linePitch="312" w:charSpace="0"/>
        </w:sectPr>
      </w:pPr>
      <w:r>
        <w:rPr>
          <w:rFonts w:hint="eastAsia" w:ascii="宋体" w:hAnsi="宋体"/>
          <w:bCs/>
          <w:color w:val="000000" w:themeColor="text1"/>
          <w:szCs w:val="21"/>
          <w:highlight w:val="none"/>
          <w14:textFill>
            <w14:solidFill>
              <w14:schemeClr w14:val="tx1"/>
            </w14:solidFill>
          </w14:textFill>
        </w:rPr>
        <w:t>日期： 年月 日</w:t>
      </w:r>
    </w:p>
    <w:p>
      <w:pPr>
        <w:pStyle w:val="3"/>
        <w:numPr>
          <w:ilvl w:val="0"/>
          <w:numId w:val="0"/>
        </w:numPr>
        <w:spacing w:line="400" w:lineRule="exact"/>
        <w:jc w:val="center"/>
        <w:rPr>
          <w:rFonts w:ascii="宋体" w:hAnsi="宋体" w:eastAsia="宋体" w:cs="宋体"/>
          <w:color w:val="000000" w:themeColor="text1"/>
          <w:sz w:val="28"/>
          <w:szCs w:val="28"/>
          <w:highlight w:val="none"/>
          <w14:textFill>
            <w14:solidFill>
              <w14:schemeClr w14:val="tx1"/>
            </w14:solidFill>
          </w14:textFill>
        </w:rPr>
      </w:pPr>
      <w:bookmarkStart w:id="231" w:name="_Toc432695229"/>
      <w:bookmarkStart w:id="232" w:name="_Toc430771089"/>
      <w:bookmarkStart w:id="233" w:name="_Toc432682754"/>
      <w:bookmarkStart w:id="234" w:name="_Toc7149"/>
      <w:bookmarkStart w:id="235" w:name="_Toc6087"/>
      <w:bookmarkStart w:id="236" w:name="_Toc365967105"/>
      <w:bookmarkStart w:id="237" w:name="_Toc340677100"/>
      <w:bookmarkStart w:id="238" w:name="_Toc332206739"/>
      <w:bookmarkStart w:id="239" w:name="_Toc330460016"/>
      <w:bookmarkStart w:id="240" w:name="_Toc350756480"/>
      <w:bookmarkStart w:id="241" w:name="_Toc339020263"/>
      <w:bookmarkStart w:id="242" w:name="_Toc340507472"/>
      <w:bookmarkStart w:id="243" w:name="_Toc341348370"/>
      <w:bookmarkStart w:id="244" w:name="_Toc343248448"/>
      <w:bookmarkStart w:id="245" w:name="_Toc336681610"/>
      <w:bookmarkStart w:id="246" w:name="_Toc333935376"/>
      <w:bookmarkStart w:id="247" w:name="_Toc336681965"/>
      <w:bookmarkStart w:id="248" w:name="_Toc342398160"/>
      <w:bookmarkStart w:id="249" w:name="_Toc366072562"/>
      <w:bookmarkStart w:id="250" w:name="_Toc345312627"/>
      <w:bookmarkStart w:id="251" w:name="_Toc343612950"/>
      <w:bookmarkStart w:id="252" w:name="_Toc331512931"/>
      <w:bookmarkStart w:id="253" w:name="_Toc339020045"/>
      <w:bookmarkStart w:id="254" w:name="_Toc331684072"/>
      <w:bookmarkStart w:id="255" w:name="_Toc339020125"/>
      <w:bookmarkStart w:id="256" w:name="_Toc339019919"/>
      <w:bookmarkStart w:id="257" w:name="_Toc337632388"/>
      <w:bookmarkStart w:id="258" w:name="_Toc333237708"/>
      <w:bookmarkStart w:id="259" w:name="_Toc350438779"/>
      <w:bookmarkStart w:id="260" w:name="_Toc332270377"/>
      <w:bookmarkStart w:id="261" w:name="_Toc333237819"/>
      <w:bookmarkStart w:id="262" w:name="_Toc340672899"/>
      <w:bookmarkStart w:id="263" w:name="_Toc343247130"/>
      <w:bookmarkStart w:id="264" w:name="_Toc333935717"/>
      <w:bookmarkStart w:id="265" w:name="_Toc365985211"/>
      <w:bookmarkStart w:id="266" w:name="_Toc102451601"/>
      <w:bookmarkStart w:id="267" w:name="_Toc333238664"/>
      <w:bookmarkStart w:id="268" w:name="_Toc342312473"/>
      <w:bookmarkStart w:id="269" w:name="_Toc339362330"/>
      <w:bookmarkStart w:id="270" w:name="_Toc342060405"/>
      <w:bookmarkStart w:id="271" w:name="_Toc339441117"/>
      <w:bookmarkStart w:id="272" w:name="_Toc342296791"/>
      <w:bookmarkStart w:id="273" w:name="_Toc200414534"/>
      <w:r>
        <w:rPr>
          <w:rFonts w:hint="eastAsia" w:ascii="宋体" w:hAnsi="宋体" w:eastAsia="宋体" w:cs="宋体"/>
          <w:color w:val="000000" w:themeColor="text1"/>
          <w:sz w:val="28"/>
          <w:szCs w:val="28"/>
          <w:highlight w:val="none"/>
          <w14:textFill>
            <w14:solidFill>
              <w14:schemeClr w14:val="tx1"/>
            </w14:solidFill>
          </w14:textFill>
        </w:rPr>
        <w:t>附件七：中小微企业声明函</w:t>
      </w:r>
      <w:bookmarkEnd w:id="231"/>
      <w:bookmarkEnd w:id="232"/>
      <w:bookmarkEnd w:id="233"/>
      <w:bookmarkEnd w:id="234"/>
      <w:bookmarkEnd w:id="235"/>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本公司郑重声明，根据《政府采购促进中小企业发展管理办法》（财库﹝2020﹞46 号）的规定，本公司为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供应商法定代表人（负责人）或授权代理人（签字）：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供应商名称（加盖公章）：</w:t>
      </w:r>
    </w:p>
    <w:p>
      <w:pPr>
        <w:spacing w:line="360" w:lineRule="auto"/>
        <w:rPr>
          <w:rFonts w:ascii="宋体"/>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8"/>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8"/>
        <w:ind w:firstLine="0"/>
        <w:rPr>
          <w:color w:val="000000" w:themeColor="text1"/>
          <w:highlight w:val="none"/>
          <w14:textFill>
            <w14:solidFill>
              <w14:schemeClr w14:val="tx1"/>
            </w14:solidFill>
          </w14:textFill>
        </w:rPr>
      </w:pPr>
    </w:p>
    <w:p>
      <w:pPr>
        <w:pStyle w:val="8"/>
        <w:rPr>
          <w:color w:val="000000" w:themeColor="text1"/>
          <w:highlight w:val="none"/>
          <w14:textFill>
            <w14:solidFill>
              <w14:schemeClr w14:val="tx1"/>
            </w14:solidFill>
          </w14:textFill>
        </w:rPr>
      </w:pPr>
    </w:p>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Pr>
        <w:pStyle w:val="3"/>
        <w:keepLines w:val="0"/>
        <w:numPr>
          <w:ilvl w:val="0"/>
          <w:numId w:val="0"/>
        </w:numPr>
        <w:tabs>
          <w:tab w:val="left" w:pos="851"/>
        </w:tabs>
        <w:spacing w:before="0" w:after="0" w:line="360" w:lineRule="auto"/>
        <w:jc w:val="center"/>
        <w:rPr>
          <w:rFonts w:ascii="宋体" w:hAnsi="宋体" w:eastAsia="宋体" w:cs="宋体"/>
          <w:color w:val="000000" w:themeColor="text1"/>
          <w:sz w:val="28"/>
          <w:szCs w:val="28"/>
          <w:highlight w:val="none"/>
          <w14:textFill>
            <w14:solidFill>
              <w14:schemeClr w14:val="tx1"/>
            </w14:solidFill>
          </w14:textFill>
        </w:rPr>
      </w:pPr>
      <w:bookmarkStart w:id="274" w:name="_Toc32373"/>
      <w:bookmarkStart w:id="275" w:name="_Toc20242"/>
      <w:bookmarkStart w:id="276" w:name="_Toc32663"/>
      <w:r>
        <w:rPr>
          <w:rFonts w:hint="eastAsia" w:ascii="宋体" w:hAnsi="宋体" w:eastAsia="宋体" w:cs="宋体"/>
          <w:color w:val="000000" w:themeColor="text1"/>
          <w:sz w:val="28"/>
          <w:szCs w:val="28"/>
          <w:highlight w:val="none"/>
          <w14:textFill>
            <w14:solidFill>
              <w14:schemeClr w14:val="tx1"/>
            </w14:solidFill>
          </w14:textFill>
        </w:rPr>
        <w:t>附件八：残疾人福利性单位声明函</w:t>
      </w:r>
      <w:bookmarkEnd w:id="274"/>
      <w:bookmarkEnd w:id="275"/>
      <w:bookmarkEnd w:id="276"/>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pStyle w:val="8"/>
        <w:spacing w:line="360" w:lineRule="auto"/>
        <w:ind w:firstLine="0"/>
        <w:rPr>
          <w:rFonts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 xml:space="preserve">供应商法定代表人（负责人）或授权代理人（签字）： </w:t>
      </w:r>
    </w:p>
    <w:p>
      <w:pPr>
        <w:pStyle w:val="8"/>
        <w:spacing w:line="360" w:lineRule="auto"/>
        <w:ind w:firstLine="0"/>
        <w:rPr>
          <w:rFonts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供应商名称（加盖公章）：</w:t>
      </w:r>
    </w:p>
    <w:p>
      <w:pPr>
        <w:pStyle w:val="8"/>
        <w:spacing w:line="360" w:lineRule="auto"/>
        <w:ind w:firstLine="0"/>
        <w:rPr>
          <w:rFonts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日期： 年月 日</w:t>
      </w: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p>
    <w:p>
      <w:pPr>
        <w:pStyle w:val="8"/>
        <w:rPr>
          <w:color w:val="000000" w:themeColor="text1"/>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77" w:name="_Toc8797"/>
      <w:r>
        <w:rPr>
          <w:rFonts w:hint="eastAsia" w:ascii="宋体" w:hAnsi="宋体" w:eastAsia="宋体"/>
          <w:color w:val="000000" w:themeColor="text1"/>
          <w:sz w:val="28"/>
          <w:szCs w:val="28"/>
          <w:highlight w:val="none"/>
          <w14:textFill>
            <w14:solidFill>
              <w14:schemeClr w14:val="tx1"/>
            </w14:solidFill>
          </w14:textFill>
        </w:rPr>
        <w:t>附件九：成交服务费承诺</w:t>
      </w:r>
      <w:bookmarkEnd w:id="273"/>
      <w:bookmarkEnd w:id="277"/>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致（代理机构）：</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针对贵方组织的（项目名称：</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）谈判项目（</w:t>
      </w:r>
      <w:r>
        <w:rPr>
          <w:rFonts w:hint="eastAsia" w:ascii="宋体" w:hAnsi="宋体"/>
          <w:bCs/>
          <w:color w:val="000000" w:themeColor="text1"/>
          <w:szCs w:val="21"/>
          <w:highlight w:val="none"/>
          <w14:textFill>
            <w14:solidFill>
              <w14:schemeClr w14:val="tx1"/>
            </w14:solidFill>
          </w14:textFill>
        </w:rPr>
        <w:t xml:space="preserve">项目编号: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），我方承诺：</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1.若我方成交，将严格遵照本项目谈判文件的规定向代理采购机构缴纳成交服务费。</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2.若我方成交后拒绝如数缴纳或未按本项目谈判文件规定的期限缴纳成交服务费，则视为我方自动放弃该成交结果，贵方有权没收我方的保证金并重新确定成交结果，我方对此无任何异议。</w:t>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420" w:firstLineChars="200"/>
        <w:rPr>
          <w:rFonts w:ascii="宋体" w:hAnsi="宋体"/>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p>
    <w:p>
      <w:pPr>
        <w:spacing w:line="360" w:lineRule="auto"/>
        <w:ind w:right="-384" w:rightChars="-183"/>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spacing w:line="360" w:lineRule="auto"/>
        <w:ind w:right="-384" w:rightChars="-183"/>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日期：年月日</w:t>
      </w: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spacing w:line="360" w:lineRule="auto"/>
        <w:ind w:right="-384" w:rightChars="-183"/>
        <w:rPr>
          <w:rFonts w:ascii="宋体" w:hAnsi="宋体"/>
          <w:bCs/>
          <w:color w:val="000000" w:themeColor="text1"/>
          <w:highlight w:val="none"/>
          <w:u w:val="singl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28"/>
          <w:szCs w:val="28"/>
          <w:highlight w:val="none"/>
          <w14:textFill>
            <w14:solidFill>
              <w14:schemeClr w14:val="tx1"/>
            </w14:solidFill>
          </w14:textFill>
        </w:rPr>
      </w:pPr>
      <w:bookmarkStart w:id="278" w:name="_Toc200414535"/>
      <w:bookmarkStart w:id="279" w:name="_Toc14879"/>
      <w:r>
        <w:rPr>
          <w:rFonts w:hint="eastAsia" w:ascii="宋体" w:hAnsi="宋体" w:eastAsia="宋体"/>
          <w:color w:val="000000" w:themeColor="text1"/>
          <w:sz w:val="28"/>
          <w:szCs w:val="28"/>
          <w:highlight w:val="none"/>
          <w14:textFill>
            <w14:solidFill>
              <w14:schemeClr w14:val="tx1"/>
            </w14:solidFill>
          </w14:textFill>
        </w:rPr>
        <w:t>附件十：谈判供应商提交的其他资料</w:t>
      </w:r>
      <w:bookmarkEnd w:id="278"/>
      <w:bookmarkEnd w:id="279"/>
    </w:p>
    <w:p>
      <w:pPr>
        <w:adjustRightInd w:val="0"/>
        <w:snapToGrid w:val="0"/>
        <w:spacing w:line="360" w:lineRule="auto"/>
        <w:jc w:val="left"/>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jc w:val="left"/>
        <w:rPr>
          <w:rFonts w:ascii="宋体" w:hAnsi="宋体"/>
          <w:b/>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p>
    <w:p>
      <w:pPr>
        <w:adjustRightInd w:val="0"/>
        <w:snapToGrid w:val="0"/>
        <w:spacing w:line="360" w:lineRule="auto"/>
        <w:jc w:val="lef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项目名称：</w:t>
      </w:r>
    </w:p>
    <w:p>
      <w:pPr>
        <w:adjustRightInd w:val="0"/>
        <w:snapToGrid w:val="0"/>
        <w:spacing w:line="360" w:lineRule="auto"/>
        <w:jc w:val="left"/>
        <w:rPr>
          <w:rFonts w:ascii="宋体" w:hAnsi="宋体"/>
          <w:bCs/>
          <w:color w:val="000000" w:themeColor="text1"/>
          <w:szCs w:val="21"/>
          <w:highlight w:val="none"/>
          <w:u w:val="single"/>
          <w14:textFill>
            <w14:solidFill>
              <w14:schemeClr w14:val="tx1"/>
            </w14:solidFill>
          </w14:textFill>
        </w:rPr>
      </w:pPr>
    </w:p>
    <w:p>
      <w:pPr>
        <w:pStyle w:val="8"/>
        <w:spacing w:line="360" w:lineRule="auto"/>
        <w:rPr>
          <w:rFonts w:ascii="宋体" w:hAnsi="宋体"/>
          <w:color w:val="000000" w:themeColor="text1"/>
          <w:szCs w:val="21"/>
          <w:highlight w:val="none"/>
          <w14:textFill>
            <w14:solidFill>
              <w14:schemeClr w14:val="tx1"/>
            </w14:solidFill>
          </w14:textFill>
        </w:rPr>
      </w:pPr>
    </w:p>
    <w:p>
      <w:pPr>
        <w:pStyle w:val="8"/>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本节无格式要求，供应商可根据自身实际情况以及谈判文件规定的“谈判采购项目要求”等进行编制。</w:t>
      </w:r>
    </w:p>
    <w:p>
      <w:pPr>
        <w:pStyle w:val="8"/>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一、</w:t>
      </w:r>
    </w:p>
    <w:p>
      <w:pPr>
        <w:pStyle w:val="8"/>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二、</w:t>
      </w:r>
    </w:p>
    <w:p>
      <w:pPr>
        <w:pStyle w:val="8"/>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三、</w:t>
      </w:r>
      <w:r>
        <w:rPr>
          <w:rFonts w:ascii="宋体" w:hAnsi="宋体"/>
          <w:bCs/>
          <w:color w:val="000000" w:themeColor="text1"/>
          <w:szCs w:val="21"/>
          <w:highlight w:val="none"/>
          <w14:textFill>
            <w14:solidFill>
              <w14:schemeClr w14:val="tx1"/>
            </w14:solidFill>
          </w14:textFill>
        </w:rPr>
        <w:t>...</w:t>
      </w:r>
    </w:p>
    <w:p>
      <w:pPr>
        <w:pStyle w:val="8"/>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四、</w:t>
      </w:r>
      <w:r>
        <w:rPr>
          <w:rFonts w:ascii="宋体" w:hAnsi="宋体"/>
          <w:bCs/>
          <w:color w:val="000000" w:themeColor="text1"/>
          <w:szCs w:val="21"/>
          <w:highlight w:val="none"/>
          <w14:textFill>
            <w14:solidFill>
              <w14:schemeClr w14:val="tx1"/>
            </w14:solidFill>
          </w14:textFill>
        </w:rPr>
        <w:t>...</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pStyle w:val="8"/>
        <w:spacing w:line="360" w:lineRule="auto"/>
        <w:rPr>
          <w:rFonts w:ascii="宋体" w:hAnsi="宋体"/>
          <w:color w:val="000000" w:themeColor="text1"/>
          <w:szCs w:val="21"/>
          <w:highlight w:val="none"/>
          <w14:textFill>
            <w14:solidFill>
              <w14:schemeClr w14:val="tx1"/>
            </w14:solidFill>
          </w14:textFill>
        </w:rPr>
      </w:pPr>
    </w:p>
    <w:p>
      <w:pPr>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（供应商认为本节无须提交的，应当注明“本节空白”字样）。</w:t>
      </w: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8"/>
        <w:spacing w:line="360" w:lineRule="auto"/>
        <w:rPr>
          <w:rFonts w:ascii="宋体" w:hAnsi="宋体"/>
          <w:color w:val="000000" w:themeColor="text1"/>
          <w:highlight w:val="none"/>
          <w14:textFill>
            <w14:solidFill>
              <w14:schemeClr w14:val="tx1"/>
            </w14:solidFill>
          </w14:textFill>
        </w:rPr>
      </w:pPr>
    </w:p>
    <w:p>
      <w:pPr>
        <w:pStyle w:val="3"/>
        <w:numPr>
          <w:ilvl w:val="1"/>
          <w:numId w:val="0"/>
        </w:numPr>
        <w:spacing w:line="360" w:lineRule="auto"/>
        <w:jc w:val="center"/>
        <w:rPr>
          <w:rFonts w:ascii="宋体" w:hAnsi="宋体" w:eastAsia="宋体"/>
          <w:color w:val="000000" w:themeColor="text1"/>
          <w:sz w:val="52"/>
          <w:highlight w:val="none"/>
          <w14:textFill>
            <w14:solidFill>
              <w14:schemeClr w14:val="tx1"/>
            </w14:solidFill>
          </w14:textFill>
        </w:rPr>
      </w:pPr>
      <w:bookmarkStart w:id="280" w:name="_Toc434832511"/>
      <w:bookmarkStart w:id="281" w:name="_Toc1676"/>
      <w:r>
        <w:rPr>
          <w:rFonts w:hint="eastAsia" w:ascii="宋体" w:hAnsi="宋体" w:eastAsia="宋体"/>
          <w:color w:val="000000" w:themeColor="text1"/>
          <w:sz w:val="52"/>
          <w:highlight w:val="none"/>
          <w14:textFill>
            <w14:solidFill>
              <w14:schemeClr w14:val="tx1"/>
            </w14:solidFill>
          </w14:textFill>
        </w:rPr>
        <w:t>其 他 格 式</w:t>
      </w:r>
      <w:bookmarkEnd w:id="280"/>
      <w:bookmarkEnd w:id="281"/>
    </w:p>
    <w:p>
      <w:pPr>
        <w:spacing w:line="360" w:lineRule="auto"/>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（以下文件勿装订在谈判文件内</w:t>
      </w:r>
      <w:r>
        <w:rPr>
          <w:rFonts w:ascii="宋体" w:hAnsi="宋体"/>
          <w:b/>
          <w:color w:val="000000" w:themeColor="text1"/>
          <w:sz w:val="36"/>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pStyle w:val="4"/>
        <w:spacing w:afterLines="50" w:line="360" w:lineRule="auto"/>
        <w:jc w:val="center"/>
        <w:rPr>
          <w:rFonts w:ascii="宋体" w:hAnsi="宋体"/>
          <w:color w:val="000000" w:themeColor="text1"/>
          <w:sz w:val="28"/>
          <w:highlight w:val="none"/>
          <w14:textFill>
            <w14:solidFill>
              <w14:schemeClr w14:val="tx1"/>
            </w14:solidFill>
          </w14:textFill>
        </w:rPr>
      </w:pPr>
      <w:bookmarkStart w:id="282" w:name="_Toc27225"/>
      <w:r>
        <w:rPr>
          <w:rFonts w:hint="eastAsia" w:ascii="宋体" w:hAnsi="宋体"/>
          <w:color w:val="000000" w:themeColor="text1"/>
          <w:sz w:val="28"/>
          <w:highlight w:val="none"/>
          <w14:textFill>
            <w14:solidFill>
              <w14:schemeClr w14:val="tx1"/>
            </w14:solidFill>
          </w14:textFill>
        </w:rPr>
        <w:t>投标保证金退付书</w:t>
      </w:r>
      <w:bookmarkEnd w:id="282"/>
    </w:p>
    <w:p>
      <w:pPr>
        <w:spacing w:line="360" w:lineRule="auto"/>
        <w:rPr>
          <w:rFonts w:hint="eastAsia" w:ascii="宋体" w:hAnsi="宋体" w:eastAsia="宋体"/>
          <w:b/>
          <w:color w:val="000000" w:themeColor="text1"/>
          <w:highlight w:val="none"/>
          <w:lang w:eastAsia="zh-CN"/>
          <w14:textFill>
            <w14:solidFill>
              <w14:schemeClr w14:val="tx1"/>
            </w14:solidFill>
          </w14:textFill>
        </w:rPr>
      </w:pPr>
      <w:r>
        <w:rPr>
          <w:rFonts w:hint="eastAsia" w:ascii="宋体" w:hAnsi="宋体"/>
          <w:b/>
          <w:color w:val="000000" w:themeColor="text1"/>
          <w:highlight w:val="none"/>
          <w14:textFill>
            <w14:solidFill>
              <w14:schemeClr w14:val="tx1"/>
            </w14:solidFill>
          </w14:textFill>
        </w:rPr>
        <w:t>致：</w:t>
      </w:r>
      <w:r>
        <w:rPr>
          <w:rFonts w:hint="eastAsia" w:ascii="宋体" w:hAnsi="宋体"/>
          <w:b/>
          <w:color w:val="000000" w:themeColor="text1"/>
          <w:highlight w:val="none"/>
          <w:lang w:eastAsia="zh-CN"/>
          <w14:textFill>
            <w14:solidFill>
              <w14:schemeClr w14:val="tx1"/>
            </w14:solidFill>
          </w14:textFill>
        </w:rPr>
        <w:t>广东业信招标有限公司</w:t>
      </w:r>
    </w:p>
    <w:p>
      <w:pPr>
        <w:spacing w:line="360" w:lineRule="auto"/>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本公司为本项目的投标已提交了足额投标保证金，请贵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在符合退还条件时请代划入下列账户：</w:t>
      </w:r>
    </w:p>
    <w:tbl>
      <w:tblPr>
        <w:tblStyle w:val="42"/>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收款单位</w:t>
            </w:r>
          </w:p>
        </w:tc>
        <w:tc>
          <w:tcPr>
            <w:tcW w:w="2836" w:type="dxa"/>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spacing w:line="360" w:lineRule="auto"/>
              <w:ind w:right="206" w:rightChars="98"/>
              <w:jc w:val="center"/>
              <w:rPr>
                <w:rStyle w:val="79"/>
                <w:rFonts w:ascii="宋体" w:hAnsi="宋体" w:eastAsia="宋体"/>
                <w:color w:val="000000" w:themeColor="text1"/>
                <w:spacing w:val="10"/>
                <w:sz w:val="21"/>
                <w:szCs w:val="21"/>
                <w:highlight w:val="none"/>
                <w:u w:val="single"/>
                <w:lang w:val="zh-CN"/>
                <w14:textFill>
                  <w14:solidFill>
                    <w14:schemeClr w14:val="tx1"/>
                  </w14:solidFill>
                </w14:textFill>
              </w:rPr>
            </w:pPr>
            <w:r>
              <w:rPr>
                <w:rStyle w:val="79"/>
                <w:rFonts w:ascii="宋体" w:hAnsi="宋体" w:eastAsia="宋体"/>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spacing w:line="360" w:lineRule="auto"/>
              <w:ind w:right="206" w:rightChars="98"/>
              <w:jc w:val="center"/>
              <w:rPr>
                <w:rStyle w:val="79"/>
                <w:rFonts w:ascii="宋体" w:hAnsi="宋体" w:eastAsia="宋体"/>
                <w:color w:val="000000" w:themeColor="text1"/>
                <w:spacing w:val="10"/>
                <w:sz w:val="21"/>
                <w:szCs w:val="21"/>
                <w:highlight w:val="none"/>
                <w:lang w:val="zh-CN"/>
                <w14:textFill>
                  <w14:solidFill>
                    <w14:schemeClr w14:val="tx1"/>
                  </w14:solidFill>
                </w14:textFill>
              </w:rPr>
            </w:pPr>
            <w:r>
              <w:rPr>
                <w:rStyle w:val="79"/>
                <w:rFonts w:ascii="宋体" w:hAnsi="宋体" w:eastAsia="宋体"/>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Align w:val="center"/>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开户银行</w:t>
            </w:r>
            <w:r>
              <w:rPr>
                <w:rStyle w:val="79"/>
                <w:rFonts w:ascii="宋体" w:hAnsi="宋体" w:eastAsia="宋体"/>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spacing w:line="360" w:lineRule="auto"/>
              <w:ind w:right="206" w:rightChars="98" w:firstLine="460" w:firstLineChars="200"/>
              <w:rPr>
                <w:rStyle w:val="79"/>
                <w:rFonts w:ascii="宋体" w:hAnsi="宋体" w:eastAsia="宋体"/>
                <w:color w:val="000000" w:themeColor="text1"/>
                <w:spacing w:val="10"/>
                <w:sz w:val="21"/>
                <w:szCs w:val="21"/>
                <w:highlight w:val="none"/>
                <w:lang w:val="zh-CN"/>
                <w14:textFill>
                  <w14:solidFill>
                    <w14:schemeClr w14:val="tx1"/>
                  </w14:solidFill>
                </w14:textFill>
              </w:rPr>
            </w:pPr>
            <w:r>
              <w:rPr>
                <w:rStyle w:val="79"/>
                <w:rFonts w:ascii="宋体" w:hAnsi="宋体" w:eastAsia="宋体"/>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Align w:val="center"/>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spacing w:line="360" w:lineRule="auto"/>
              <w:ind w:right="206" w:rightChars="98"/>
              <w:jc w:val="center"/>
              <w:rPr>
                <w:rStyle w:val="79"/>
                <w:rFonts w:ascii="宋体" w:hAnsi="宋体" w:eastAsia="宋体"/>
                <w:color w:val="000000" w:themeColor="text1"/>
                <w:spacing w:val="10"/>
                <w:sz w:val="21"/>
                <w:szCs w:val="21"/>
                <w:highlight w:val="none"/>
                <w:u w:val="single"/>
                <w:lang w:val="zh-CN"/>
                <w14:textFill>
                  <w14:solidFill>
                    <w14:schemeClr w14:val="tx1"/>
                  </w14:solidFill>
                </w14:textFill>
              </w:rPr>
            </w:pPr>
            <w:r>
              <w:rPr>
                <w:rStyle w:val="79"/>
                <w:rFonts w:ascii="宋体" w:hAnsi="宋体" w:eastAsia="宋体"/>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Align w:val="center"/>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spacing w:line="360" w:lineRule="auto"/>
              <w:ind w:right="206" w:rightChars="98"/>
              <w:jc w:val="center"/>
              <w:rPr>
                <w:rStyle w:val="79"/>
                <w:rFonts w:ascii="宋体" w:hAnsi="宋体" w:eastAsia="宋体"/>
                <w:color w:val="000000" w:themeColor="text1"/>
                <w:spacing w:val="10"/>
                <w:sz w:val="21"/>
                <w:szCs w:val="21"/>
                <w:highlight w:val="none"/>
                <w:lang w:val="zh-CN"/>
                <w14:textFill>
                  <w14:solidFill>
                    <w14:schemeClr w14:val="tx1"/>
                  </w14:solidFill>
                </w14:textFill>
              </w:rPr>
            </w:pPr>
            <w:r>
              <w:rPr>
                <w:rFonts w:ascii="宋体" w:hAnsi="宋体"/>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r>
              <w:rPr>
                <w:rStyle w:val="79"/>
                <w:rFonts w:ascii="宋体" w:hAnsi="宋体" w:eastAsia="宋体"/>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c>
          <w:tcPr>
            <w:tcW w:w="1481" w:type="dxa"/>
            <w:vAlign w:val="center"/>
          </w:tcPr>
          <w:p>
            <w:pPr>
              <w:spacing w:line="360" w:lineRule="auto"/>
              <w:ind w:right="206" w:rightChars="98"/>
              <w:jc w:val="center"/>
              <w:rPr>
                <w:rStyle w:val="79"/>
                <w:rFonts w:ascii="宋体" w:hAnsi="宋体" w:eastAsia="宋体"/>
                <w:color w:val="000000" w:themeColor="text1"/>
                <w:spacing w:val="10"/>
                <w:sz w:val="21"/>
                <w:szCs w:val="21"/>
                <w:highlight w:val="none"/>
                <w:lang w:val="zh-CN"/>
                <w14:textFill>
                  <w14:solidFill>
                    <w14:schemeClr w14:val="tx1"/>
                  </w14:solidFill>
                </w14:textFill>
              </w:rPr>
            </w:pPr>
            <w:r>
              <w:rPr>
                <w:rStyle w:val="79"/>
                <w:rFonts w:ascii="宋体" w:hAnsi="宋体" w:eastAsia="宋体"/>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c>
          <w:tcPr>
            <w:tcW w:w="2836" w:type="dxa"/>
            <w:vMerge w:val="continue"/>
          </w:tcPr>
          <w:p>
            <w:pPr>
              <w:spacing w:line="360" w:lineRule="auto"/>
              <w:ind w:right="206" w:rightChars="98"/>
              <w:jc w:val="center"/>
              <w:rPr>
                <w:rStyle w:val="79"/>
                <w:rFonts w:ascii="宋体" w:hAnsi="宋体" w:eastAsia="宋体"/>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c>
          <w:tcPr>
            <w:tcW w:w="1481" w:type="dxa"/>
            <w:vAlign w:val="center"/>
          </w:tcPr>
          <w:p>
            <w:pPr>
              <w:spacing w:line="360" w:lineRule="auto"/>
              <w:ind w:right="206" w:rightChars="98"/>
              <w:jc w:val="center"/>
              <w:rPr>
                <w:rStyle w:val="79"/>
                <w:rFonts w:ascii="宋体" w:hAnsi="宋体" w:eastAsia="宋体"/>
                <w:color w:val="000000" w:themeColor="text1"/>
                <w:spacing w:val="10"/>
                <w:sz w:val="21"/>
                <w:szCs w:val="21"/>
                <w:highlight w:val="none"/>
                <w:lang w:val="zh-CN"/>
                <w14:textFill>
                  <w14:solidFill>
                    <w14:schemeClr w14:val="tx1"/>
                  </w14:solidFill>
                </w14:textFill>
              </w:rPr>
            </w:pPr>
            <w:r>
              <w:rPr>
                <w:rStyle w:val="79"/>
                <w:rFonts w:ascii="宋体" w:hAnsi="宋体" w:eastAsia="宋体"/>
                <w:color w:val="000000" w:themeColor="text1"/>
                <w:spacing w:val="10"/>
                <w:sz w:val="21"/>
                <w:szCs w:val="21"/>
                <w:highlight w:val="none"/>
                <w:lang w:val="zh-CN"/>
                <w14:textFill>
                  <w14:solidFill>
                    <w14:schemeClr w14:val="tx1"/>
                  </w14:solidFill>
                </w14:textFill>
              </w:rPr>
              <w:t>传真</w:t>
            </w:r>
          </w:p>
        </w:tc>
        <w:tc>
          <w:tcPr>
            <w:tcW w:w="3116" w:type="dxa"/>
            <w:vAlign w:val="center"/>
          </w:tcPr>
          <w:p>
            <w:pPr>
              <w:spacing w:line="360" w:lineRule="auto"/>
              <w:ind w:right="206" w:rightChars="98"/>
              <w:rPr>
                <w:rStyle w:val="79"/>
                <w:rFonts w:ascii="宋体" w:hAnsi="宋体" w:eastAsia="宋体"/>
                <w:color w:val="000000" w:themeColor="text1"/>
                <w:spacing w:val="10"/>
                <w:sz w:val="21"/>
                <w:szCs w:val="21"/>
                <w:highlight w:val="none"/>
                <w:lang w:val="zh-CN"/>
                <w14:textFill>
                  <w14:solidFill>
                    <w14:schemeClr w14:val="tx1"/>
                  </w14:solidFill>
                </w14:textFill>
              </w:rPr>
            </w:pPr>
          </w:p>
        </w:tc>
      </w:tr>
    </w:tbl>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2"/>
        <w:tblW w:w="8429"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429"/>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8429" w:type="dxa"/>
            <w:vAlign w:val="center"/>
          </w:tcPr>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投标保证金银行汇款单复印件</w:t>
            </w:r>
          </w:p>
          <w:p>
            <w:pPr>
              <w:spacing w:line="36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hint="eastAsia" w:ascii="宋体" w:hAnsi="宋体"/>
          <w:color w:val="000000" w:themeColor="text1"/>
          <w:szCs w:val="21"/>
          <w:highlight w:val="none"/>
          <w:u w:val="single"/>
          <w14:textFill>
            <w14:solidFill>
              <w14:schemeClr w14:val="tx1"/>
            </w14:solidFill>
          </w14:textFill>
        </w:rPr>
        <w:t xml:space="preserve">         （公司名称）          </w:t>
      </w:r>
      <w:r>
        <w:rPr>
          <w:rFonts w:hint="eastAsia" w:ascii="宋体" w:hAnsi="宋体"/>
          <w:color w:val="000000" w:themeColor="text1"/>
          <w:szCs w:val="21"/>
          <w:highlight w:val="none"/>
          <w14:textFill>
            <w14:solidFill>
              <w14:schemeClr w14:val="tx1"/>
            </w14:solidFill>
          </w14:textFill>
        </w:rPr>
        <w:t>（盖公章）</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日期：年    月    日</w:t>
      </w:r>
    </w:p>
    <w:p>
      <w:pPr>
        <w:spacing w:line="360"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注：本退付书原件须放入唱标信封内。</w:t>
      </w:r>
    </w:p>
    <w:p>
      <w:pPr>
        <w:spacing w:line="360" w:lineRule="auto"/>
        <w:rPr>
          <w:rFonts w:ascii="宋体" w:hAnsi="宋体"/>
          <w:b/>
          <w:color w:val="000000" w:themeColor="text1"/>
          <w:szCs w:val="21"/>
          <w:highlight w:val="none"/>
          <w14:textFill>
            <w14:solidFill>
              <w14:schemeClr w14:val="tx1"/>
            </w14:solidFill>
          </w14:textFill>
        </w:rPr>
      </w:pPr>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2"/>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pStyle w:val="8"/>
        <w:rPr>
          <w:rFonts w:hint="eastAsia" w:ascii="宋体" w:hAnsi="宋体"/>
          <w:b/>
          <w:color w:val="000000" w:themeColor="text1"/>
          <w:sz w:val="24"/>
          <w:highlight w:val="none"/>
          <w14:textFill>
            <w14:solidFill>
              <w14:schemeClr w14:val="tx1"/>
            </w14:solidFill>
          </w14:textFill>
        </w:rPr>
      </w:pPr>
    </w:p>
    <w:p>
      <w:pPr>
        <w:pStyle w:val="8"/>
        <w:rPr>
          <w:rFonts w:hint="eastAsia" w:ascii="宋体" w:hAnsi="宋体"/>
          <w:b/>
          <w:color w:val="000000" w:themeColor="text1"/>
          <w:sz w:val="24"/>
          <w:highlight w:val="none"/>
          <w14:textFill>
            <w14:solidFill>
              <w14:schemeClr w14:val="tx1"/>
            </w14:solidFill>
          </w14:textFill>
        </w:rPr>
      </w:pPr>
    </w:p>
    <w:p>
      <w:pPr>
        <w:pStyle w:val="8"/>
        <w:rPr>
          <w:rFonts w:hint="eastAsia" w:ascii="宋体" w:hAnsi="宋体"/>
          <w:b/>
          <w:color w:val="000000" w:themeColor="text1"/>
          <w:sz w:val="24"/>
          <w:highlight w:val="none"/>
          <w14:textFill>
            <w14:solidFill>
              <w14:schemeClr w14:val="tx1"/>
            </w14:solidFill>
          </w14:textFill>
        </w:rPr>
      </w:pPr>
    </w:p>
    <w:p>
      <w:pPr>
        <w:pStyle w:val="8"/>
        <w:rPr>
          <w:rFonts w:hint="eastAsia" w:ascii="宋体" w:hAnsi="宋体"/>
          <w:b/>
          <w:color w:val="000000" w:themeColor="text1"/>
          <w:sz w:val="24"/>
          <w:highlight w:val="none"/>
          <w14:textFill>
            <w14:solidFill>
              <w14:schemeClr w14:val="tx1"/>
            </w14:solidFill>
          </w14:textFill>
        </w:rPr>
      </w:pPr>
    </w:p>
    <w:p>
      <w:pPr>
        <w:pStyle w:val="8"/>
        <w:rPr>
          <w:rFonts w:hint="eastAsia" w:ascii="宋体" w:hAnsi="宋体"/>
          <w:b/>
          <w:color w:val="000000" w:themeColor="text1"/>
          <w:sz w:val="24"/>
          <w:highlight w:val="none"/>
          <w14:textFill>
            <w14:solidFill>
              <w14:schemeClr w14:val="tx1"/>
            </w14:solidFill>
          </w14:textFill>
        </w:rPr>
      </w:pPr>
    </w:p>
    <w:p>
      <w:pPr>
        <w:pStyle w:val="8"/>
        <w:rPr>
          <w:rFonts w:hint="eastAsia" w:ascii="宋体" w:hAnsi="宋体"/>
          <w:b/>
          <w:color w:val="000000" w:themeColor="text1"/>
          <w:sz w:val="24"/>
          <w:highlight w:val="none"/>
          <w14:textFill>
            <w14:solidFill>
              <w14:schemeClr w14:val="tx1"/>
            </w14:solidFill>
          </w14:textFill>
        </w:rPr>
      </w:pPr>
    </w:p>
    <w:p>
      <w:pPr>
        <w:pStyle w:val="8"/>
        <w:rPr>
          <w:rFonts w:hint="eastAsia" w:ascii="宋体" w:hAnsi="宋体"/>
          <w:b/>
          <w:color w:val="000000" w:themeColor="text1"/>
          <w:sz w:val="24"/>
          <w:highlight w:val="none"/>
          <w14:textFill>
            <w14:solidFill>
              <w14:schemeClr w14:val="tx1"/>
            </w14:solidFill>
          </w14:textFill>
        </w:rPr>
      </w:pPr>
    </w:p>
    <w:p>
      <w:pPr>
        <w:pStyle w:val="8"/>
        <w:ind w:left="0" w:leftChars="0" w:firstLine="0" w:firstLineChars="0"/>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38"/>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38"/>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38"/>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38"/>
        <w:spacing w:before="0" w:beforeAutospacing="0" w:after="0" w:afterAutospacing="0" w:line="360" w:lineRule="auto"/>
        <w:jc w:val="center"/>
        <w:rPr>
          <w:rStyle w:val="45"/>
          <w:color w:val="000000" w:themeColor="text1"/>
          <w:highlight w:val="none"/>
          <w14:textFill>
            <w14:solidFill>
              <w14:schemeClr w14:val="tx1"/>
            </w14:solidFill>
          </w14:textFill>
        </w:rPr>
      </w:pPr>
      <w:r>
        <w:rPr>
          <w:rStyle w:val="45"/>
          <w:rFonts w:hint="eastAsia"/>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广东业信招标有限公司</w:t>
      </w: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38"/>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38"/>
        <w:spacing w:before="0" w:beforeAutospacing="0" w:after="0" w:afterAutospacing="0" w:line="360" w:lineRule="auto"/>
        <w:jc w:val="center"/>
        <w:rPr>
          <w:rStyle w:val="45"/>
          <w:color w:val="000000" w:themeColor="text1"/>
          <w:highlight w:val="none"/>
          <w14:textFill>
            <w14:solidFill>
              <w14:schemeClr w14:val="tx1"/>
            </w14:solidFill>
          </w14:textFill>
        </w:rPr>
      </w:pPr>
      <w:r>
        <w:rPr>
          <w:rStyle w:val="45"/>
          <w:rFonts w:hint="eastAsia"/>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pPr>
        <w:spacing w:line="360" w:lineRule="auto"/>
        <w:jc w:val="left"/>
        <w:rPr>
          <w:rFonts w:ascii="仿宋_GB2312" w:hAnsi="仿宋" w:eastAsia="仿宋_GB2312"/>
          <w:color w:val="000000" w:themeColor="text1"/>
          <w:sz w:val="24"/>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p>
    <w:p>
      <w:pPr>
        <w:spacing w:line="360" w:lineRule="auto"/>
        <w:rPr>
          <w:rFonts w:ascii="宋体" w:hAnsi="宋体"/>
          <w:b/>
          <w:color w:val="000000" w:themeColor="text1"/>
          <w:szCs w:val="21"/>
          <w:highlight w:val="none"/>
          <w14:textFill>
            <w14:solidFill>
              <w14:schemeClr w14:val="tx1"/>
            </w14:solidFill>
          </w14:textFill>
        </w:rPr>
      </w:pPr>
    </w:p>
    <w:sectPr>
      <w:headerReference r:id="rId9"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iti SC Light">
    <w:altName w:val="Times New Roman"/>
    <w:panose1 w:val="00000000000000000000"/>
    <w:charset w:val="00"/>
    <w:family w:val="roman"/>
    <w:pitch w:val="default"/>
    <w:sig w:usb0="00000000" w:usb1="00000000" w:usb2="00000000"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长城仿宋">
    <w:altName w:val="黑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6"/>
      </w:rPr>
    </w:pPr>
    <w:r>
      <w:fldChar w:fldCharType="begin"/>
    </w:r>
    <w:r>
      <w:rPr>
        <w:rStyle w:val="46"/>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33</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150"/>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1">
    <w:nsid w:val="04E751C0"/>
    <w:multiLevelType w:val="multilevel"/>
    <w:tmpl w:val="04E751C0"/>
    <w:lvl w:ilvl="0" w:tentative="0">
      <w:start w:val="2"/>
      <w:numFmt w:val="decimal"/>
      <w:pStyle w:val="14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B75301F"/>
    <w:multiLevelType w:val="multilevel"/>
    <w:tmpl w:val="0B7530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C176FFB"/>
    <w:multiLevelType w:val="singleLevel"/>
    <w:tmpl w:val="0C176FFB"/>
    <w:lvl w:ilvl="0" w:tentative="0">
      <w:start w:val="1"/>
      <w:numFmt w:val="chineseCounting"/>
      <w:suff w:val="nothing"/>
      <w:lvlText w:val="（%1）"/>
      <w:lvlJc w:val="left"/>
      <w:pPr>
        <w:ind w:left="0" w:firstLine="420"/>
      </w:pPr>
      <w:rPr>
        <w:rFonts w:hint="eastAsia"/>
      </w:rPr>
    </w:lvl>
  </w:abstractNum>
  <w:abstractNum w:abstractNumId="4">
    <w:nsid w:val="105A0FD2"/>
    <w:multiLevelType w:val="multilevel"/>
    <w:tmpl w:val="105A0FD2"/>
    <w:lvl w:ilvl="0" w:tentative="0">
      <w:start w:val="1"/>
      <w:numFmt w:val="chineseCountingThousand"/>
      <w:pStyle w:val="142"/>
      <w:lvlText w:val="%1、"/>
      <w:lvlJc w:val="left"/>
      <w:pPr>
        <w:tabs>
          <w:tab w:val="left" w:pos="420"/>
        </w:tabs>
        <w:ind w:left="420" w:hanging="420"/>
      </w:pPr>
      <w:rPr>
        <w:lang w:val="en-US"/>
      </w:rPr>
    </w:lvl>
    <w:lvl w:ilvl="1" w:tentative="0">
      <w:start w:val="1"/>
      <w:numFmt w:val="lowerLetter"/>
      <w:lvlText w:val="%2)"/>
      <w:lvlJc w:val="left"/>
      <w:pPr>
        <w:tabs>
          <w:tab w:val="left" w:pos="840"/>
        </w:tabs>
        <w:ind w:left="840" w:hanging="420"/>
      </w:pPr>
    </w:lvl>
    <w:lvl w:ilvl="2" w:tentative="0">
      <w:start w:val="4"/>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10FB16B7"/>
    <w:multiLevelType w:val="multilevel"/>
    <w:tmpl w:val="10FB16B7"/>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6">
    <w:nsid w:val="163653A3"/>
    <w:multiLevelType w:val="multilevel"/>
    <w:tmpl w:val="163653A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F3007FA"/>
    <w:multiLevelType w:val="multilevel"/>
    <w:tmpl w:val="2F3007F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1"/>
      <w:numFmt w:val="decimal"/>
      <w:lvlText w:val="（%3）"/>
      <w:lvlJc w:val="left"/>
      <w:pPr>
        <w:tabs>
          <w:tab w:val="left" w:pos="2838"/>
        </w:tabs>
        <w:ind w:left="2838" w:hanging="720"/>
      </w:pPr>
      <w:rPr>
        <w:rFonts w:hint="eastAsia"/>
      </w:rPr>
    </w:lvl>
    <w:lvl w:ilvl="3" w:tentative="0">
      <w:start w:val="1"/>
      <w:numFmt w:val="decimal"/>
      <w:lvlText w:val="%4."/>
      <w:lvlJc w:val="left"/>
      <w:pPr>
        <w:tabs>
          <w:tab w:val="left" w:pos="2958"/>
        </w:tabs>
        <w:ind w:left="2958" w:hanging="420"/>
      </w:p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9">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10">
    <w:nsid w:val="37E05C58"/>
    <w:multiLevelType w:val="multilevel"/>
    <w:tmpl w:val="37E05C58"/>
    <w:lvl w:ilvl="0" w:tentative="0">
      <w:start w:val="2"/>
      <w:numFmt w:val="decimal"/>
      <w:lvlText w:val="%1"/>
      <w:lvlJc w:val="left"/>
      <w:pPr>
        <w:tabs>
          <w:tab w:val="left" w:pos="630"/>
        </w:tabs>
        <w:ind w:left="630" w:hanging="630"/>
      </w:pPr>
      <w:rPr>
        <w:rFonts w:hint="eastAsia"/>
      </w:rPr>
    </w:lvl>
    <w:lvl w:ilvl="1" w:tentative="0">
      <w:start w:val="1"/>
      <w:numFmt w:val="decimal"/>
      <w:lvlText w:val="%1.%2"/>
      <w:lvlJc w:val="left"/>
      <w:pPr>
        <w:tabs>
          <w:tab w:val="left" w:pos="630"/>
        </w:tabs>
        <w:ind w:left="630" w:hanging="630"/>
      </w:pPr>
      <w:rPr>
        <w:rFonts w:hint="eastAsia" w:ascii="宋体" w:hAnsi="宋体" w:eastAsia="宋体"/>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11">
    <w:nsid w:val="442616A1"/>
    <w:multiLevelType w:val="multilevel"/>
    <w:tmpl w:val="442616A1"/>
    <w:lvl w:ilvl="0" w:tentative="0">
      <w:start w:val="6"/>
      <w:numFmt w:val="decimal"/>
      <w:lvlText w:val="%1"/>
      <w:lvlJc w:val="left"/>
      <w:pPr>
        <w:tabs>
          <w:tab w:val="left" w:pos="360"/>
        </w:tabs>
        <w:ind w:left="360" w:hanging="360"/>
      </w:pPr>
      <w:rPr>
        <w:rFonts w:hint="eastAsia" w:hAnsi="Times New Roman"/>
        <w:color w:val="000000"/>
      </w:rPr>
    </w:lvl>
    <w:lvl w:ilvl="1" w:tentative="0">
      <w:start w:val="2"/>
      <w:numFmt w:val="decimal"/>
      <w:lvlText w:val="%1.%2"/>
      <w:lvlJc w:val="left"/>
      <w:pPr>
        <w:tabs>
          <w:tab w:val="left" w:pos="360"/>
        </w:tabs>
        <w:ind w:left="360" w:hanging="360"/>
      </w:pPr>
      <w:rPr>
        <w:rFonts w:hint="eastAsia" w:hAnsi="Times New Roman"/>
        <w:color w:val="000000"/>
      </w:rPr>
    </w:lvl>
    <w:lvl w:ilvl="2" w:tentative="0">
      <w:start w:val="1"/>
      <w:numFmt w:val="decimal"/>
      <w:lvlText w:val="%1.%2.%3"/>
      <w:lvlJc w:val="left"/>
      <w:pPr>
        <w:tabs>
          <w:tab w:val="left" w:pos="720"/>
        </w:tabs>
        <w:ind w:left="720" w:hanging="720"/>
      </w:pPr>
      <w:rPr>
        <w:rFonts w:hint="eastAsia" w:hAnsi="Times New Roman"/>
        <w:color w:val="000000"/>
      </w:rPr>
    </w:lvl>
    <w:lvl w:ilvl="3" w:tentative="0">
      <w:start w:val="1"/>
      <w:numFmt w:val="decimal"/>
      <w:lvlText w:val="%1.%2.%3.%4"/>
      <w:lvlJc w:val="left"/>
      <w:pPr>
        <w:tabs>
          <w:tab w:val="left" w:pos="1080"/>
        </w:tabs>
        <w:ind w:left="1080" w:hanging="1080"/>
      </w:pPr>
      <w:rPr>
        <w:rFonts w:hint="eastAsia" w:hAnsi="Times New Roman"/>
        <w:color w:val="000000"/>
      </w:rPr>
    </w:lvl>
    <w:lvl w:ilvl="4" w:tentative="0">
      <w:start w:val="1"/>
      <w:numFmt w:val="decimal"/>
      <w:lvlText w:val="%1.%2.%3.%4.%5"/>
      <w:lvlJc w:val="left"/>
      <w:pPr>
        <w:tabs>
          <w:tab w:val="left" w:pos="1080"/>
        </w:tabs>
        <w:ind w:left="1080" w:hanging="1080"/>
      </w:pPr>
      <w:rPr>
        <w:rFonts w:hint="eastAsia" w:hAnsi="Times New Roman"/>
        <w:color w:val="000000"/>
      </w:rPr>
    </w:lvl>
    <w:lvl w:ilvl="5" w:tentative="0">
      <w:start w:val="1"/>
      <w:numFmt w:val="decimal"/>
      <w:lvlText w:val="%1.%2.%3.%4.%5.%6"/>
      <w:lvlJc w:val="left"/>
      <w:pPr>
        <w:tabs>
          <w:tab w:val="left" w:pos="1440"/>
        </w:tabs>
        <w:ind w:left="1440" w:hanging="1440"/>
      </w:pPr>
      <w:rPr>
        <w:rFonts w:hint="eastAsia" w:hAnsi="Times New Roman"/>
        <w:color w:val="000000"/>
      </w:rPr>
    </w:lvl>
    <w:lvl w:ilvl="6" w:tentative="0">
      <w:start w:val="1"/>
      <w:numFmt w:val="decimal"/>
      <w:lvlText w:val="%1.%2.%3.%4.%5.%6.%7"/>
      <w:lvlJc w:val="left"/>
      <w:pPr>
        <w:tabs>
          <w:tab w:val="left" w:pos="1440"/>
        </w:tabs>
        <w:ind w:left="1440" w:hanging="1440"/>
      </w:pPr>
      <w:rPr>
        <w:rFonts w:hint="eastAsia" w:hAnsi="Times New Roman"/>
        <w:color w:val="000000"/>
      </w:rPr>
    </w:lvl>
    <w:lvl w:ilvl="7" w:tentative="0">
      <w:start w:val="1"/>
      <w:numFmt w:val="decimal"/>
      <w:lvlText w:val="%1.%2.%3.%4.%5.%6.%7.%8"/>
      <w:lvlJc w:val="left"/>
      <w:pPr>
        <w:tabs>
          <w:tab w:val="left" w:pos="1800"/>
        </w:tabs>
        <w:ind w:left="1800" w:hanging="1800"/>
      </w:pPr>
      <w:rPr>
        <w:rFonts w:hint="eastAsia" w:hAnsi="Times New Roman"/>
        <w:color w:val="000000"/>
      </w:rPr>
    </w:lvl>
    <w:lvl w:ilvl="8" w:tentative="0">
      <w:start w:val="1"/>
      <w:numFmt w:val="decimal"/>
      <w:lvlText w:val="%1.%2.%3.%4.%5.%6.%7.%8.%9"/>
      <w:lvlJc w:val="left"/>
      <w:pPr>
        <w:tabs>
          <w:tab w:val="left" w:pos="1800"/>
        </w:tabs>
        <w:ind w:left="1800" w:hanging="1800"/>
      </w:pPr>
      <w:rPr>
        <w:rFonts w:hint="eastAsia" w:hAnsi="Times New Roman"/>
        <w:color w:val="000000"/>
      </w:rPr>
    </w:lvl>
  </w:abstractNum>
  <w:abstractNum w:abstractNumId="12">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297251B"/>
    <w:multiLevelType w:val="multilevel"/>
    <w:tmpl w:val="529725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29C5F43"/>
    <w:multiLevelType w:val="multilevel"/>
    <w:tmpl w:val="529C5F43"/>
    <w:lvl w:ilvl="0" w:tentative="0">
      <w:start w:val="15"/>
      <w:numFmt w:val="decimal"/>
      <w:lvlText w:val="%1"/>
      <w:lvlJc w:val="left"/>
      <w:pPr>
        <w:tabs>
          <w:tab w:val="left" w:pos="630"/>
        </w:tabs>
        <w:ind w:left="630" w:hanging="630"/>
      </w:pPr>
      <w:rPr>
        <w:rFonts w:hint="eastAsia"/>
      </w:rPr>
    </w:lvl>
    <w:lvl w:ilvl="1" w:tentative="0">
      <w:start w:val="1"/>
      <w:numFmt w:val="decimal"/>
      <w:lvlText w:val="%1.%2"/>
      <w:lvlJc w:val="left"/>
      <w:pPr>
        <w:tabs>
          <w:tab w:val="left" w:pos="630"/>
        </w:tabs>
        <w:ind w:left="630" w:hanging="630"/>
      </w:pPr>
      <w:rPr>
        <w:rFonts w:hint="eastAsia" w:ascii="宋体" w:hAnsi="宋体" w:eastAsia="宋体"/>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16">
    <w:nsid w:val="544F16D6"/>
    <w:multiLevelType w:val="multilevel"/>
    <w:tmpl w:val="544F16D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807494E"/>
    <w:multiLevelType w:val="multilevel"/>
    <w:tmpl w:val="5807494E"/>
    <w:lvl w:ilvl="0" w:tentative="0">
      <w:start w:val="7"/>
      <w:numFmt w:val="decimal"/>
      <w:lvlText w:val="%1"/>
      <w:lvlJc w:val="left"/>
      <w:pPr>
        <w:tabs>
          <w:tab w:val="left" w:pos="360"/>
        </w:tabs>
        <w:ind w:left="360" w:hanging="360"/>
      </w:pPr>
      <w:rPr>
        <w:rFonts w:hint="eastAsia" w:hAnsi="Times New Roman"/>
        <w:color w:val="000000"/>
      </w:rPr>
    </w:lvl>
    <w:lvl w:ilvl="1" w:tentative="0">
      <w:start w:val="3"/>
      <w:numFmt w:val="decimal"/>
      <w:lvlText w:val="%1.%2"/>
      <w:lvlJc w:val="left"/>
      <w:pPr>
        <w:tabs>
          <w:tab w:val="left" w:pos="360"/>
        </w:tabs>
        <w:ind w:left="360" w:hanging="360"/>
      </w:pPr>
      <w:rPr>
        <w:rFonts w:hint="eastAsia" w:hAnsi="Times New Roman"/>
        <w:color w:val="000000"/>
      </w:rPr>
    </w:lvl>
    <w:lvl w:ilvl="2" w:tentative="0">
      <w:start w:val="1"/>
      <w:numFmt w:val="decimal"/>
      <w:lvlText w:val="%1.%2.%3"/>
      <w:lvlJc w:val="left"/>
      <w:pPr>
        <w:tabs>
          <w:tab w:val="left" w:pos="720"/>
        </w:tabs>
        <w:ind w:left="720" w:hanging="720"/>
      </w:pPr>
      <w:rPr>
        <w:rFonts w:hint="eastAsia" w:hAnsi="Times New Roman"/>
        <w:color w:val="000000"/>
      </w:rPr>
    </w:lvl>
    <w:lvl w:ilvl="3" w:tentative="0">
      <w:start w:val="1"/>
      <w:numFmt w:val="decimal"/>
      <w:lvlText w:val="%1.%2.%3.%4"/>
      <w:lvlJc w:val="left"/>
      <w:pPr>
        <w:tabs>
          <w:tab w:val="left" w:pos="1080"/>
        </w:tabs>
        <w:ind w:left="1080" w:hanging="1080"/>
      </w:pPr>
      <w:rPr>
        <w:rFonts w:hint="eastAsia" w:hAnsi="Times New Roman"/>
        <w:color w:val="000000"/>
      </w:rPr>
    </w:lvl>
    <w:lvl w:ilvl="4" w:tentative="0">
      <w:start w:val="1"/>
      <w:numFmt w:val="decimal"/>
      <w:lvlText w:val="%1.%2.%3.%4.%5"/>
      <w:lvlJc w:val="left"/>
      <w:pPr>
        <w:tabs>
          <w:tab w:val="left" w:pos="1080"/>
        </w:tabs>
        <w:ind w:left="1080" w:hanging="1080"/>
      </w:pPr>
      <w:rPr>
        <w:rFonts w:hint="eastAsia" w:hAnsi="Times New Roman"/>
        <w:color w:val="000000"/>
      </w:rPr>
    </w:lvl>
    <w:lvl w:ilvl="5" w:tentative="0">
      <w:start w:val="1"/>
      <w:numFmt w:val="decimal"/>
      <w:lvlText w:val="%1.%2.%3.%4.%5.%6"/>
      <w:lvlJc w:val="left"/>
      <w:pPr>
        <w:tabs>
          <w:tab w:val="left" w:pos="1440"/>
        </w:tabs>
        <w:ind w:left="1440" w:hanging="1440"/>
      </w:pPr>
      <w:rPr>
        <w:rFonts w:hint="eastAsia" w:hAnsi="Times New Roman"/>
        <w:color w:val="000000"/>
      </w:rPr>
    </w:lvl>
    <w:lvl w:ilvl="6" w:tentative="0">
      <w:start w:val="1"/>
      <w:numFmt w:val="decimal"/>
      <w:lvlText w:val="%1.%2.%3.%4.%5.%6.%7"/>
      <w:lvlJc w:val="left"/>
      <w:pPr>
        <w:tabs>
          <w:tab w:val="left" w:pos="1440"/>
        </w:tabs>
        <w:ind w:left="1440" w:hanging="1440"/>
      </w:pPr>
      <w:rPr>
        <w:rFonts w:hint="eastAsia" w:hAnsi="Times New Roman"/>
        <w:color w:val="000000"/>
      </w:rPr>
    </w:lvl>
    <w:lvl w:ilvl="7" w:tentative="0">
      <w:start w:val="1"/>
      <w:numFmt w:val="decimal"/>
      <w:lvlText w:val="%1.%2.%3.%4.%5.%6.%7.%8"/>
      <w:lvlJc w:val="left"/>
      <w:pPr>
        <w:tabs>
          <w:tab w:val="left" w:pos="1800"/>
        </w:tabs>
        <w:ind w:left="1800" w:hanging="1800"/>
      </w:pPr>
      <w:rPr>
        <w:rFonts w:hint="eastAsia" w:hAnsi="Times New Roman"/>
        <w:color w:val="000000"/>
      </w:rPr>
    </w:lvl>
    <w:lvl w:ilvl="8" w:tentative="0">
      <w:start w:val="1"/>
      <w:numFmt w:val="decimal"/>
      <w:lvlText w:val="%1.%2.%3.%4.%5.%6.%7.%8.%9"/>
      <w:lvlJc w:val="left"/>
      <w:pPr>
        <w:tabs>
          <w:tab w:val="left" w:pos="1800"/>
        </w:tabs>
        <w:ind w:left="1800" w:hanging="1800"/>
      </w:pPr>
      <w:rPr>
        <w:rFonts w:hint="eastAsia" w:hAnsi="Times New Roman"/>
        <w:color w:val="000000"/>
      </w:rPr>
    </w:lvl>
  </w:abstractNum>
  <w:abstractNum w:abstractNumId="18">
    <w:nsid w:val="6624502B"/>
    <w:multiLevelType w:val="multilevel"/>
    <w:tmpl w:val="6624502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676D1F6B"/>
    <w:multiLevelType w:val="multilevel"/>
    <w:tmpl w:val="676D1F6B"/>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90B1CDA"/>
    <w:multiLevelType w:val="multilevel"/>
    <w:tmpl w:val="690B1CDA"/>
    <w:lvl w:ilvl="0" w:tentative="0">
      <w:start w:val="1"/>
      <w:numFmt w:val="japaneseCounting"/>
      <w:pStyle w:val="132"/>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1">
    <w:nsid w:val="749B2552"/>
    <w:multiLevelType w:val="singleLevel"/>
    <w:tmpl w:val="749B2552"/>
    <w:lvl w:ilvl="0" w:tentative="0">
      <w:start w:val="1"/>
      <w:numFmt w:val="decimal"/>
      <w:lvlText w:val="%1."/>
      <w:lvlJc w:val="left"/>
      <w:pPr>
        <w:tabs>
          <w:tab w:val="left" w:pos="425"/>
        </w:tabs>
        <w:ind w:left="425" w:hanging="425"/>
      </w:pPr>
      <w:rPr>
        <w:rFonts w:hint="eastAsia" w:ascii="宋体" w:hAnsi="宋体" w:eastAsia="宋体"/>
      </w:rPr>
    </w:lvl>
  </w:abstractNum>
  <w:abstractNum w:abstractNumId="22">
    <w:nsid w:val="77096936"/>
    <w:multiLevelType w:val="multilevel"/>
    <w:tmpl w:val="77096936"/>
    <w:lvl w:ilvl="0" w:tentative="0">
      <w:start w:val="1"/>
      <w:numFmt w:val="decimal"/>
      <w:lvlText w:val="%1."/>
      <w:lvlJc w:val="left"/>
      <w:pPr>
        <w:ind w:left="420" w:hanging="420"/>
      </w:pPr>
    </w:lvl>
    <w:lvl w:ilvl="1" w:tentative="0">
      <w:start w:val="0"/>
      <w:numFmt w:val="bullet"/>
      <w:lvlText w:val="★"/>
      <w:lvlJc w:val="left"/>
      <w:pPr>
        <w:ind w:left="780" w:hanging="360"/>
      </w:pPr>
      <w:rPr>
        <w:rFonts w:hint="eastAsia" w:ascii="宋体" w:hAnsi="宋体" w:eastAsia="宋体" w:cs="宋体"/>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78314949"/>
    <w:multiLevelType w:val="multilevel"/>
    <w:tmpl w:val="78314949"/>
    <w:lvl w:ilvl="0" w:tentative="0">
      <w:start w:val="12"/>
      <w:numFmt w:val="decimal"/>
      <w:lvlText w:val="%1"/>
      <w:lvlJc w:val="left"/>
      <w:pPr>
        <w:ind w:left="420" w:hanging="420"/>
      </w:pPr>
      <w:rPr>
        <w:rFonts w:hint="default"/>
      </w:rPr>
    </w:lvl>
    <w:lvl w:ilvl="1" w:tentative="0">
      <w:start w:val="3"/>
      <w:numFmt w:val="decimal"/>
      <w:lvlText w:val="%1.%2"/>
      <w:lvlJc w:val="left"/>
      <w:pPr>
        <w:ind w:left="420" w:hanging="4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num w:numId="1">
    <w:abstractNumId w:val="5"/>
  </w:num>
  <w:num w:numId="2">
    <w:abstractNumId w:val="20"/>
  </w:num>
  <w:num w:numId="3">
    <w:abstractNumId w:val="4"/>
  </w:num>
  <w:num w:numId="4">
    <w:abstractNumId w:val="1"/>
  </w:num>
  <w:num w:numId="5">
    <w:abstractNumId w:val="0"/>
  </w:num>
  <w:num w:numId="6">
    <w:abstractNumId w:val="7"/>
  </w:num>
  <w:num w:numId="7">
    <w:abstractNumId w:val="3"/>
  </w:num>
  <w:num w:numId="8">
    <w:abstractNumId w:val="18"/>
  </w:num>
  <w:num w:numId="9">
    <w:abstractNumId w:val="2"/>
  </w:num>
  <w:num w:numId="10">
    <w:abstractNumId w:val="14"/>
  </w:num>
  <w:num w:numId="11">
    <w:abstractNumId w:val="22"/>
  </w:num>
  <w:num w:numId="12">
    <w:abstractNumId w:val="6"/>
  </w:num>
  <w:num w:numId="13">
    <w:abstractNumId w:val="16"/>
  </w:num>
  <w:num w:numId="14">
    <w:abstractNumId w:val="10"/>
  </w:num>
  <w:num w:numId="15">
    <w:abstractNumId w:val="11"/>
  </w:num>
  <w:num w:numId="16">
    <w:abstractNumId w:val="17"/>
  </w:num>
  <w:num w:numId="17">
    <w:abstractNumId w:val="13"/>
  </w:num>
  <w:num w:numId="18">
    <w:abstractNumId w:val="23"/>
  </w:num>
  <w:num w:numId="19">
    <w:abstractNumId w:val="15"/>
  </w:num>
  <w:num w:numId="20">
    <w:abstractNumId w:val="8"/>
  </w:num>
  <w:num w:numId="21">
    <w:abstractNumId w:val="9"/>
  </w:num>
  <w:num w:numId="22">
    <w:abstractNumId w:val="12"/>
  </w:num>
  <w:num w:numId="23">
    <w:abstractNumId w:val="19"/>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2Zjc5NzZhNWNmMDhhN2NiYjQ5NjNiNzUyYWQ2ZTQifQ=="/>
  </w:docVars>
  <w:rsids>
    <w:rsidRoot w:val="009833EC"/>
    <w:rsid w:val="00000C7F"/>
    <w:rsid w:val="00000CDA"/>
    <w:rsid w:val="00000E9F"/>
    <w:rsid w:val="000012B3"/>
    <w:rsid w:val="000013AE"/>
    <w:rsid w:val="000018DB"/>
    <w:rsid w:val="000019D4"/>
    <w:rsid w:val="000020EE"/>
    <w:rsid w:val="000030EC"/>
    <w:rsid w:val="0000339F"/>
    <w:rsid w:val="0000391B"/>
    <w:rsid w:val="0000392E"/>
    <w:rsid w:val="00003DE4"/>
    <w:rsid w:val="000049BA"/>
    <w:rsid w:val="00004A27"/>
    <w:rsid w:val="00005FCB"/>
    <w:rsid w:val="000062F0"/>
    <w:rsid w:val="000065AA"/>
    <w:rsid w:val="00007C9D"/>
    <w:rsid w:val="00007D36"/>
    <w:rsid w:val="00010614"/>
    <w:rsid w:val="00011381"/>
    <w:rsid w:val="00011688"/>
    <w:rsid w:val="000120FB"/>
    <w:rsid w:val="000127D7"/>
    <w:rsid w:val="00012CEB"/>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DA"/>
    <w:rsid w:val="000216E1"/>
    <w:rsid w:val="00021C76"/>
    <w:rsid w:val="00021CA5"/>
    <w:rsid w:val="00022C80"/>
    <w:rsid w:val="00022FCF"/>
    <w:rsid w:val="00023F2E"/>
    <w:rsid w:val="00024523"/>
    <w:rsid w:val="00024860"/>
    <w:rsid w:val="000248E7"/>
    <w:rsid w:val="000268CD"/>
    <w:rsid w:val="00026FC3"/>
    <w:rsid w:val="000278C1"/>
    <w:rsid w:val="00027BD5"/>
    <w:rsid w:val="00027E73"/>
    <w:rsid w:val="0003063D"/>
    <w:rsid w:val="00030865"/>
    <w:rsid w:val="00031768"/>
    <w:rsid w:val="00032300"/>
    <w:rsid w:val="0003240C"/>
    <w:rsid w:val="00032A2C"/>
    <w:rsid w:val="0003413E"/>
    <w:rsid w:val="00034518"/>
    <w:rsid w:val="00034573"/>
    <w:rsid w:val="00034E6E"/>
    <w:rsid w:val="00036ABE"/>
    <w:rsid w:val="000377F0"/>
    <w:rsid w:val="00040462"/>
    <w:rsid w:val="00040736"/>
    <w:rsid w:val="0004087D"/>
    <w:rsid w:val="0004093F"/>
    <w:rsid w:val="00040FEE"/>
    <w:rsid w:val="000413C6"/>
    <w:rsid w:val="000415D4"/>
    <w:rsid w:val="00041A63"/>
    <w:rsid w:val="0004277B"/>
    <w:rsid w:val="00043105"/>
    <w:rsid w:val="00043EBB"/>
    <w:rsid w:val="000453A8"/>
    <w:rsid w:val="0004611C"/>
    <w:rsid w:val="00046265"/>
    <w:rsid w:val="00046FB6"/>
    <w:rsid w:val="00047144"/>
    <w:rsid w:val="00047B7B"/>
    <w:rsid w:val="00050048"/>
    <w:rsid w:val="000502DE"/>
    <w:rsid w:val="00051247"/>
    <w:rsid w:val="00051476"/>
    <w:rsid w:val="00055140"/>
    <w:rsid w:val="00055BE2"/>
    <w:rsid w:val="00055E36"/>
    <w:rsid w:val="00055F28"/>
    <w:rsid w:val="000562D3"/>
    <w:rsid w:val="000571EB"/>
    <w:rsid w:val="0005770B"/>
    <w:rsid w:val="00057B85"/>
    <w:rsid w:val="00057F61"/>
    <w:rsid w:val="00060245"/>
    <w:rsid w:val="0006027D"/>
    <w:rsid w:val="0006054E"/>
    <w:rsid w:val="00060689"/>
    <w:rsid w:val="000614F6"/>
    <w:rsid w:val="00061ADA"/>
    <w:rsid w:val="00062546"/>
    <w:rsid w:val="00063214"/>
    <w:rsid w:val="00064185"/>
    <w:rsid w:val="00064276"/>
    <w:rsid w:val="000642CD"/>
    <w:rsid w:val="00064416"/>
    <w:rsid w:val="000649DE"/>
    <w:rsid w:val="000652FF"/>
    <w:rsid w:val="00066B7A"/>
    <w:rsid w:val="000673CC"/>
    <w:rsid w:val="0007084F"/>
    <w:rsid w:val="00070D3D"/>
    <w:rsid w:val="00070DCE"/>
    <w:rsid w:val="0007120B"/>
    <w:rsid w:val="00071508"/>
    <w:rsid w:val="00072509"/>
    <w:rsid w:val="00072C00"/>
    <w:rsid w:val="00075961"/>
    <w:rsid w:val="00075BA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5D86"/>
    <w:rsid w:val="0008670A"/>
    <w:rsid w:val="000874DB"/>
    <w:rsid w:val="00087F54"/>
    <w:rsid w:val="00090CB0"/>
    <w:rsid w:val="000911A1"/>
    <w:rsid w:val="00091739"/>
    <w:rsid w:val="000936BB"/>
    <w:rsid w:val="00093E9C"/>
    <w:rsid w:val="00093F6F"/>
    <w:rsid w:val="000940E1"/>
    <w:rsid w:val="000945D5"/>
    <w:rsid w:val="00094C2A"/>
    <w:rsid w:val="000950C1"/>
    <w:rsid w:val="00095BE6"/>
    <w:rsid w:val="000960A6"/>
    <w:rsid w:val="000A025A"/>
    <w:rsid w:val="000A040E"/>
    <w:rsid w:val="000A1A04"/>
    <w:rsid w:val="000A1AD0"/>
    <w:rsid w:val="000A24B9"/>
    <w:rsid w:val="000A2BBF"/>
    <w:rsid w:val="000A4F7A"/>
    <w:rsid w:val="000A54CF"/>
    <w:rsid w:val="000A588E"/>
    <w:rsid w:val="000A70BC"/>
    <w:rsid w:val="000A7472"/>
    <w:rsid w:val="000A7A96"/>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2E4"/>
    <w:rsid w:val="000C23B2"/>
    <w:rsid w:val="000C2A07"/>
    <w:rsid w:val="000C3069"/>
    <w:rsid w:val="000C41BC"/>
    <w:rsid w:val="000C4379"/>
    <w:rsid w:val="000C4614"/>
    <w:rsid w:val="000C464F"/>
    <w:rsid w:val="000C63CB"/>
    <w:rsid w:val="000C6B06"/>
    <w:rsid w:val="000C6E00"/>
    <w:rsid w:val="000D0D31"/>
    <w:rsid w:val="000D0E1F"/>
    <w:rsid w:val="000D11B4"/>
    <w:rsid w:val="000D1822"/>
    <w:rsid w:val="000D2AA9"/>
    <w:rsid w:val="000D2F76"/>
    <w:rsid w:val="000D3682"/>
    <w:rsid w:val="000D3D03"/>
    <w:rsid w:val="000D3D55"/>
    <w:rsid w:val="000D3F6A"/>
    <w:rsid w:val="000D4196"/>
    <w:rsid w:val="000D47B2"/>
    <w:rsid w:val="000D4CC4"/>
    <w:rsid w:val="000D53F2"/>
    <w:rsid w:val="000D5955"/>
    <w:rsid w:val="000D5A26"/>
    <w:rsid w:val="000D5DB7"/>
    <w:rsid w:val="000D5FCC"/>
    <w:rsid w:val="000D5FFF"/>
    <w:rsid w:val="000D675C"/>
    <w:rsid w:val="000D693D"/>
    <w:rsid w:val="000D69E5"/>
    <w:rsid w:val="000D75D0"/>
    <w:rsid w:val="000D7675"/>
    <w:rsid w:val="000E07CB"/>
    <w:rsid w:val="000E0DA9"/>
    <w:rsid w:val="000E1026"/>
    <w:rsid w:val="000E19C9"/>
    <w:rsid w:val="000E1BC0"/>
    <w:rsid w:val="000E1F01"/>
    <w:rsid w:val="000E3AD6"/>
    <w:rsid w:val="000E479C"/>
    <w:rsid w:val="000E5AA4"/>
    <w:rsid w:val="000E6271"/>
    <w:rsid w:val="000E659F"/>
    <w:rsid w:val="000E6769"/>
    <w:rsid w:val="000E6DDE"/>
    <w:rsid w:val="000E6EB5"/>
    <w:rsid w:val="000E7227"/>
    <w:rsid w:val="000E72E6"/>
    <w:rsid w:val="000E7602"/>
    <w:rsid w:val="000E7755"/>
    <w:rsid w:val="000F02D5"/>
    <w:rsid w:val="000F02E4"/>
    <w:rsid w:val="000F0471"/>
    <w:rsid w:val="000F079F"/>
    <w:rsid w:val="000F0819"/>
    <w:rsid w:val="000F21A3"/>
    <w:rsid w:val="000F2C2E"/>
    <w:rsid w:val="000F2E56"/>
    <w:rsid w:val="000F35D4"/>
    <w:rsid w:val="000F37D8"/>
    <w:rsid w:val="000F3B33"/>
    <w:rsid w:val="000F3FC1"/>
    <w:rsid w:val="000F4808"/>
    <w:rsid w:val="000F5823"/>
    <w:rsid w:val="000F623B"/>
    <w:rsid w:val="000F67BA"/>
    <w:rsid w:val="000F6885"/>
    <w:rsid w:val="00100929"/>
    <w:rsid w:val="00100A59"/>
    <w:rsid w:val="00100A85"/>
    <w:rsid w:val="00100B16"/>
    <w:rsid w:val="001013B4"/>
    <w:rsid w:val="001017F3"/>
    <w:rsid w:val="00101823"/>
    <w:rsid w:val="001028F3"/>
    <w:rsid w:val="00103847"/>
    <w:rsid w:val="00104089"/>
    <w:rsid w:val="00104A82"/>
    <w:rsid w:val="00104AF0"/>
    <w:rsid w:val="00104ED8"/>
    <w:rsid w:val="00105209"/>
    <w:rsid w:val="00105FB8"/>
    <w:rsid w:val="00106103"/>
    <w:rsid w:val="00106113"/>
    <w:rsid w:val="00106A6A"/>
    <w:rsid w:val="00106EB1"/>
    <w:rsid w:val="0010713D"/>
    <w:rsid w:val="00107366"/>
    <w:rsid w:val="001101C6"/>
    <w:rsid w:val="00110AD0"/>
    <w:rsid w:val="0011110A"/>
    <w:rsid w:val="001116CC"/>
    <w:rsid w:val="00112609"/>
    <w:rsid w:val="001126F0"/>
    <w:rsid w:val="001132C8"/>
    <w:rsid w:val="00113B4C"/>
    <w:rsid w:val="00113D8F"/>
    <w:rsid w:val="00113E15"/>
    <w:rsid w:val="00114861"/>
    <w:rsid w:val="001149BA"/>
    <w:rsid w:val="00114B2A"/>
    <w:rsid w:val="00114E2F"/>
    <w:rsid w:val="001151E8"/>
    <w:rsid w:val="00115967"/>
    <w:rsid w:val="00116191"/>
    <w:rsid w:val="00116441"/>
    <w:rsid w:val="00116E35"/>
    <w:rsid w:val="0011743D"/>
    <w:rsid w:val="00120686"/>
    <w:rsid w:val="00120C3C"/>
    <w:rsid w:val="00122AC9"/>
    <w:rsid w:val="00122C12"/>
    <w:rsid w:val="001234B2"/>
    <w:rsid w:val="00123A44"/>
    <w:rsid w:val="00123B84"/>
    <w:rsid w:val="00124863"/>
    <w:rsid w:val="0012494A"/>
    <w:rsid w:val="00125117"/>
    <w:rsid w:val="00126702"/>
    <w:rsid w:val="00126736"/>
    <w:rsid w:val="00126B17"/>
    <w:rsid w:val="00126D44"/>
    <w:rsid w:val="001279A1"/>
    <w:rsid w:val="00127CAC"/>
    <w:rsid w:val="00130F99"/>
    <w:rsid w:val="0013184E"/>
    <w:rsid w:val="00132520"/>
    <w:rsid w:val="00133F8F"/>
    <w:rsid w:val="00134075"/>
    <w:rsid w:val="0013457A"/>
    <w:rsid w:val="00134979"/>
    <w:rsid w:val="001351C4"/>
    <w:rsid w:val="00135655"/>
    <w:rsid w:val="00135C63"/>
    <w:rsid w:val="001370A8"/>
    <w:rsid w:val="00137668"/>
    <w:rsid w:val="00137F56"/>
    <w:rsid w:val="00140886"/>
    <w:rsid w:val="001414EF"/>
    <w:rsid w:val="00141762"/>
    <w:rsid w:val="00141B7E"/>
    <w:rsid w:val="00141BF3"/>
    <w:rsid w:val="0014226C"/>
    <w:rsid w:val="00142861"/>
    <w:rsid w:val="00142EAA"/>
    <w:rsid w:val="00142F3D"/>
    <w:rsid w:val="001433B9"/>
    <w:rsid w:val="00143A78"/>
    <w:rsid w:val="00144079"/>
    <w:rsid w:val="00144588"/>
    <w:rsid w:val="00144CD2"/>
    <w:rsid w:val="00144D40"/>
    <w:rsid w:val="00144F28"/>
    <w:rsid w:val="00145EED"/>
    <w:rsid w:val="00146D08"/>
    <w:rsid w:val="00146D6C"/>
    <w:rsid w:val="001473FF"/>
    <w:rsid w:val="001477D2"/>
    <w:rsid w:val="00151956"/>
    <w:rsid w:val="00152D75"/>
    <w:rsid w:val="00152F7E"/>
    <w:rsid w:val="00152FC5"/>
    <w:rsid w:val="00153598"/>
    <w:rsid w:val="001536B6"/>
    <w:rsid w:val="00153A47"/>
    <w:rsid w:val="00153D3E"/>
    <w:rsid w:val="001542D0"/>
    <w:rsid w:val="0015536E"/>
    <w:rsid w:val="00155726"/>
    <w:rsid w:val="001579F5"/>
    <w:rsid w:val="00157AE2"/>
    <w:rsid w:val="001605FD"/>
    <w:rsid w:val="001606C6"/>
    <w:rsid w:val="00160CE5"/>
    <w:rsid w:val="00161266"/>
    <w:rsid w:val="00161C97"/>
    <w:rsid w:val="001622D6"/>
    <w:rsid w:val="00162583"/>
    <w:rsid w:val="00162800"/>
    <w:rsid w:val="0016298B"/>
    <w:rsid w:val="00162F9F"/>
    <w:rsid w:val="00163B25"/>
    <w:rsid w:val="001647AE"/>
    <w:rsid w:val="00164921"/>
    <w:rsid w:val="00165DE8"/>
    <w:rsid w:val="00165F41"/>
    <w:rsid w:val="00166BB6"/>
    <w:rsid w:val="001670A5"/>
    <w:rsid w:val="001701A8"/>
    <w:rsid w:val="00170898"/>
    <w:rsid w:val="00170C45"/>
    <w:rsid w:val="00170DB2"/>
    <w:rsid w:val="00170DC2"/>
    <w:rsid w:val="001714A7"/>
    <w:rsid w:val="00171E3A"/>
    <w:rsid w:val="00172551"/>
    <w:rsid w:val="001726A5"/>
    <w:rsid w:val="00172DDC"/>
    <w:rsid w:val="001732F4"/>
    <w:rsid w:val="00173594"/>
    <w:rsid w:val="001736A9"/>
    <w:rsid w:val="001737DA"/>
    <w:rsid w:val="0017486E"/>
    <w:rsid w:val="00174D50"/>
    <w:rsid w:val="001754BA"/>
    <w:rsid w:val="0017611F"/>
    <w:rsid w:val="0017628C"/>
    <w:rsid w:val="001762E0"/>
    <w:rsid w:val="001776D9"/>
    <w:rsid w:val="00177FE0"/>
    <w:rsid w:val="00180774"/>
    <w:rsid w:val="00180F42"/>
    <w:rsid w:val="0018109B"/>
    <w:rsid w:val="0018128C"/>
    <w:rsid w:val="00181532"/>
    <w:rsid w:val="00181599"/>
    <w:rsid w:val="00181779"/>
    <w:rsid w:val="00181BCB"/>
    <w:rsid w:val="00182320"/>
    <w:rsid w:val="00182C90"/>
    <w:rsid w:val="00182DCA"/>
    <w:rsid w:val="00182E13"/>
    <w:rsid w:val="00183342"/>
    <w:rsid w:val="00183AF6"/>
    <w:rsid w:val="001844B7"/>
    <w:rsid w:val="00184690"/>
    <w:rsid w:val="001849A5"/>
    <w:rsid w:val="00185CE7"/>
    <w:rsid w:val="00185F4E"/>
    <w:rsid w:val="00187221"/>
    <w:rsid w:val="00187246"/>
    <w:rsid w:val="00187FEA"/>
    <w:rsid w:val="00190B17"/>
    <w:rsid w:val="00190C79"/>
    <w:rsid w:val="00191702"/>
    <w:rsid w:val="001918F2"/>
    <w:rsid w:val="00191E15"/>
    <w:rsid w:val="00193677"/>
    <w:rsid w:val="00193AF0"/>
    <w:rsid w:val="00193CE8"/>
    <w:rsid w:val="00193E58"/>
    <w:rsid w:val="00194FA0"/>
    <w:rsid w:val="0019546E"/>
    <w:rsid w:val="001958E5"/>
    <w:rsid w:val="00195A0D"/>
    <w:rsid w:val="00195BF0"/>
    <w:rsid w:val="00195F54"/>
    <w:rsid w:val="001966FC"/>
    <w:rsid w:val="00196738"/>
    <w:rsid w:val="00196EC4"/>
    <w:rsid w:val="00197045"/>
    <w:rsid w:val="001975F6"/>
    <w:rsid w:val="00197AF4"/>
    <w:rsid w:val="001A08D0"/>
    <w:rsid w:val="001A0BC3"/>
    <w:rsid w:val="001A27BA"/>
    <w:rsid w:val="001A436E"/>
    <w:rsid w:val="001A4393"/>
    <w:rsid w:val="001A4F87"/>
    <w:rsid w:val="001A559F"/>
    <w:rsid w:val="001A60B3"/>
    <w:rsid w:val="001A6293"/>
    <w:rsid w:val="001A6547"/>
    <w:rsid w:val="001A6E21"/>
    <w:rsid w:val="001A73F0"/>
    <w:rsid w:val="001A7677"/>
    <w:rsid w:val="001A7BFB"/>
    <w:rsid w:val="001B0095"/>
    <w:rsid w:val="001B028E"/>
    <w:rsid w:val="001B0944"/>
    <w:rsid w:val="001B0B72"/>
    <w:rsid w:val="001B0F2C"/>
    <w:rsid w:val="001B1195"/>
    <w:rsid w:val="001B1C5B"/>
    <w:rsid w:val="001B2564"/>
    <w:rsid w:val="001B26FF"/>
    <w:rsid w:val="001B2ACC"/>
    <w:rsid w:val="001B3172"/>
    <w:rsid w:val="001B3711"/>
    <w:rsid w:val="001B3DBC"/>
    <w:rsid w:val="001B3FB6"/>
    <w:rsid w:val="001B448E"/>
    <w:rsid w:val="001B49CA"/>
    <w:rsid w:val="001B4E8B"/>
    <w:rsid w:val="001B537F"/>
    <w:rsid w:val="001B579A"/>
    <w:rsid w:val="001B5D4F"/>
    <w:rsid w:val="001B645B"/>
    <w:rsid w:val="001B78A5"/>
    <w:rsid w:val="001B7C3B"/>
    <w:rsid w:val="001B7D94"/>
    <w:rsid w:val="001C07AA"/>
    <w:rsid w:val="001C0A20"/>
    <w:rsid w:val="001C10B1"/>
    <w:rsid w:val="001C1439"/>
    <w:rsid w:val="001C1955"/>
    <w:rsid w:val="001C3079"/>
    <w:rsid w:val="001C3705"/>
    <w:rsid w:val="001C37C0"/>
    <w:rsid w:val="001C4000"/>
    <w:rsid w:val="001C41C2"/>
    <w:rsid w:val="001C4607"/>
    <w:rsid w:val="001C4FC6"/>
    <w:rsid w:val="001C5234"/>
    <w:rsid w:val="001C5B04"/>
    <w:rsid w:val="001C5F82"/>
    <w:rsid w:val="001C61D4"/>
    <w:rsid w:val="001C677E"/>
    <w:rsid w:val="001C6F86"/>
    <w:rsid w:val="001C7632"/>
    <w:rsid w:val="001C7773"/>
    <w:rsid w:val="001C7A7B"/>
    <w:rsid w:val="001C7C88"/>
    <w:rsid w:val="001D0021"/>
    <w:rsid w:val="001D0C08"/>
    <w:rsid w:val="001D11ED"/>
    <w:rsid w:val="001D23E8"/>
    <w:rsid w:val="001D23E9"/>
    <w:rsid w:val="001D2C26"/>
    <w:rsid w:val="001D3124"/>
    <w:rsid w:val="001D3AC1"/>
    <w:rsid w:val="001D4051"/>
    <w:rsid w:val="001D4712"/>
    <w:rsid w:val="001D6941"/>
    <w:rsid w:val="001E001C"/>
    <w:rsid w:val="001E09A9"/>
    <w:rsid w:val="001E11C3"/>
    <w:rsid w:val="001E1A4F"/>
    <w:rsid w:val="001E1F29"/>
    <w:rsid w:val="001E27AF"/>
    <w:rsid w:val="001E2B7B"/>
    <w:rsid w:val="001E2D65"/>
    <w:rsid w:val="001E2D96"/>
    <w:rsid w:val="001E34CE"/>
    <w:rsid w:val="001E38A0"/>
    <w:rsid w:val="001E3D17"/>
    <w:rsid w:val="001E41FA"/>
    <w:rsid w:val="001E55B5"/>
    <w:rsid w:val="001E5AA2"/>
    <w:rsid w:val="001E5EBB"/>
    <w:rsid w:val="001E617C"/>
    <w:rsid w:val="001E67BC"/>
    <w:rsid w:val="001E6CCF"/>
    <w:rsid w:val="001E6D68"/>
    <w:rsid w:val="001E792E"/>
    <w:rsid w:val="001F05A5"/>
    <w:rsid w:val="001F0EC5"/>
    <w:rsid w:val="001F15B4"/>
    <w:rsid w:val="001F1A39"/>
    <w:rsid w:val="001F2585"/>
    <w:rsid w:val="001F271A"/>
    <w:rsid w:val="001F292B"/>
    <w:rsid w:val="001F35CF"/>
    <w:rsid w:val="001F3BF5"/>
    <w:rsid w:val="001F3F92"/>
    <w:rsid w:val="001F440E"/>
    <w:rsid w:val="001F45D2"/>
    <w:rsid w:val="001F49F8"/>
    <w:rsid w:val="001F5857"/>
    <w:rsid w:val="001F5C81"/>
    <w:rsid w:val="00201546"/>
    <w:rsid w:val="00201C29"/>
    <w:rsid w:val="002020D6"/>
    <w:rsid w:val="002028A5"/>
    <w:rsid w:val="00203AF9"/>
    <w:rsid w:val="00203B2D"/>
    <w:rsid w:val="00203F9F"/>
    <w:rsid w:val="00204036"/>
    <w:rsid w:val="0020526B"/>
    <w:rsid w:val="0020560B"/>
    <w:rsid w:val="002062BA"/>
    <w:rsid w:val="00207089"/>
    <w:rsid w:val="00207F75"/>
    <w:rsid w:val="00210084"/>
    <w:rsid w:val="002110D3"/>
    <w:rsid w:val="00212F81"/>
    <w:rsid w:val="0021371A"/>
    <w:rsid w:val="00213ECC"/>
    <w:rsid w:val="00214C34"/>
    <w:rsid w:val="00214EC7"/>
    <w:rsid w:val="0021573E"/>
    <w:rsid w:val="00215DC8"/>
    <w:rsid w:val="00216992"/>
    <w:rsid w:val="00216D99"/>
    <w:rsid w:val="00216F3B"/>
    <w:rsid w:val="00217911"/>
    <w:rsid w:val="002207DD"/>
    <w:rsid w:val="00221041"/>
    <w:rsid w:val="0022151A"/>
    <w:rsid w:val="00221D44"/>
    <w:rsid w:val="002229B0"/>
    <w:rsid w:val="00222AF5"/>
    <w:rsid w:val="00222C2B"/>
    <w:rsid w:val="00222CC3"/>
    <w:rsid w:val="0022302C"/>
    <w:rsid w:val="00223767"/>
    <w:rsid w:val="00224B1C"/>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36730"/>
    <w:rsid w:val="002405C2"/>
    <w:rsid w:val="00240BDF"/>
    <w:rsid w:val="0024116B"/>
    <w:rsid w:val="00241A21"/>
    <w:rsid w:val="00242858"/>
    <w:rsid w:val="002428EA"/>
    <w:rsid w:val="00242B5A"/>
    <w:rsid w:val="0024311A"/>
    <w:rsid w:val="00243D01"/>
    <w:rsid w:val="00245562"/>
    <w:rsid w:val="002456FD"/>
    <w:rsid w:val="00245C5F"/>
    <w:rsid w:val="00245FF5"/>
    <w:rsid w:val="002461A5"/>
    <w:rsid w:val="002461C6"/>
    <w:rsid w:val="00246CE1"/>
    <w:rsid w:val="002475B1"/>
    <w:rsid w:val="00247E17"/>
    <w:rsid w:val="00250F3F"/>
    <w:rsid w:val="00252439"/>
    <w:rsid w:val="002532D8"/>
    <w:rsid w:val="002537A8"/>
    <w:rsid w:val="002550C3"/>
    <w:rsid w:val="0025511C"/>
    <w:rsid w:val="00256E35"/>
    <w:rsid w:val="0025725F"/>
    <w:rsid w:val="0025741D"/>
    <w:rsid w:val="00257C70"/>
    <w:rsid w:val="0026034D"/>
    <w:rsid w:val="00260933"/>
    <w:rsid w:val="00260D78"/>
    <w:rsid w:val="00261034"/>
    <w:rsid w:val="002612D1"/>
    <w:rsid w:val="00261C36"/>
    <w:rsid w:val="00261FF8"/>
    <w:rsid w:val="00263D58"/>
    <w:rsid w:val="00264151"/>
    <w:rsid w:val="002660A5"/>
    <w:rsid w:val="0026655C"/>
    <w:rsid w:val="00266565"/>
    <w:rsid w:val="00266587"/>
    <w:rsid w:val="00266771"/>
    <w:rsid w:val="00266AC5"/>
    <w:rsid w:val="00266AD7"/>
    <w:rsid w:val="002670B1"/>
    <w:rsid w:val="0026773B"/>
    <w:rsid w:val="0027014F"/>
    <w:rsid w:val="002704DA"/>
    <w:rsid w:val="0027146A"/>
    <w:rsid w:val="0027176E"/>
    <w:rsid w:val="00272466"/>
    <w:rsid w:val="002728DF"/>
    <w:rsid w:val="00273277"/>
    <w:rsid w:val="002739CF"/>
    <w:rsid w:val="00273C23"/>
    <w:rsid w:val="002741D1"/>
    <w:rsid w:val="00274289"/>
    <w:rsid w:val="00274464"/>
    <w:rsid w:val="00276417"/>
    <w:rsid w:val="00276526"/>
    <w:rsid w:val="00276748"/>
    <w:rsid w:val="002769F4"/>
    <w:rsid w:val="00276A69"/>
    <w:rsid w:val="00276AE2"/>
    <w:rsid w:val="00276D85"/>
    <w:rsid w:val="00277300"/>
    <w:rsid w:val="0027796E"/>
    <w:rsid w:val="00277B77"/>
    <w:rsid w:val="002805F7"/>
    <w:rsid w:val="002807F6"/>
    <w:rsid w:val="00281B43"/>
    <w:rsid w:val="00281DBE"/>
    <w:rsid w:val="00282232"/>
    <w:rsid w:val="00282FE1"/>
    <w:rsid w:val="00283549"/>
    <w:rsid w:val="0028374F"/>
    <w:rsid w:val="00284120"/>
    <w:rsid w:val="002842D9"/>
    <w:rsid w:val="0028436A"/>
    <w:rsid w:val="0028548C"/>
    <w:rsid w:val="00286015"/>
    <w:rsid w:val="002861EE"/>
    <w:rsid w:val="002866DF"/>
    <w:rsid w:val="002868C2"/>
    <w:rsid w:val="00287252"/>
    <w:rsid w:val="00287F0D"/>
    <w:rsid w:val="00290453"/>
    <w:rsid w:val="00291A4E"/>
    <w:rsid w:val="00293E05"/>
    <w:rsid w:val="00294145"/>
    <w:rsid w:val="00294164"/>
    <w:rsid w:val="0029437C"/>
    <w:rsid w:val="002943B8"/>
    <w:rsid w:val="00294C2D"/>
    <w:rsid w:val="00295B69"/>
    <w:rsid w:val="00295E54"/>
    <w:rsid w:val="002960FC"/>
    <w:rsid w:val="00296374"/>
    <w:rsid w:val="00297043"/>
    <w:rsid w:val="002979A8"/>
    <w:rsid w:val="002A02D5"/>
    <w:rsid w:val="002A1C7F"/>
    <w:rsid w:val="002A1EEC"/>
    <w:rsid w:val="002A2749"/>
    <w:rsid w:val="002A2DA1"/>
    <w:rsid w:val="002A39DE"/>
    <w:rsid w:val="002A3F5B"/>
    <w:rsid w:val="002A4037"/>
    <w:rsid w:val="002A486B"/>
    <w:rsid w:val="002A5763"/>
    <w:rsid w:val="002A5779"/>
    <w:rsid w:val="002A6519"/>
    <w:rsid w:val="002A6DF0"/>
    <w:rsid w:val="002B0092"/>
    <w:rsid w:val="002B0470"/>
    <w:rsid w:val="002B0738"/>
    <w:rsid w:val="002B100C"/>
    <w:rsid w:val="002B18B0"/>
    <w:rsid w:val="002B1D45"/>
    <w:rsid w:val="002B1D52"/>
    <w:rsid w:val="002B2AA1"/>
    <w:rsid w:val="002B2EAE"/>
    <w:rsid w:val="002B35A7"/>
    <w:rsid w:val="002B3FD2"/>
    <w:rsid w:val="002B4E7A"/>
    <w:rsid w:val="002B4E7B"/>
    <w:rsid w:val="002B5600"/>
    <w:rsid w:val="002B5F4F"/>
    <w:rsid w:val="002B7944"/>
    <w:rsid w:val="002C036A"/>
    <w:rsid w:val="002C1069"/>
    <w:rsid w:val="002C1527"/>
    <w:rsid w:val="002C1544"/>
    <w:rsid w:val="002C4B80"/>
    <w:rsid w:val="002C618B"/>
    <w:rsid w:val="002C6CED"/>
    <w:rsid w:val="002C7465"/>
    <w:rsid w:val="002D02B8"/>
    <w:rsid w:val="002D042D"/>
    <w:rsid w:val="002D0BEA"/>
    <w:rsid w:val="002D195A"/>
    <w:rsid w:val="002D1B53"/>
    <w:rsid w:val="002D251E"/>
    <w:rsid w:val="002D2BFA"/>
    <w:rsid w:val="002D2E39"/>
    <w:rsid w:val="002D3403"/>
    <w:rsid w:val="002D377E"/>
    <w:rsid w:val="002D38EB"/>
    <w:rsid w:val="002D3989"/>
    <w:rsid w:val="002D3D72"/>
    <w:rsid w:val="002D3E0C"/>
    <w:rsid w:val="002D4027"/>
    <w:rsid w:val="002D4363"/>
    <w:rsid w:val="002D4D4F"/>
    <w:rsid w:val="002D4FEA"/>
    <w:rsid w:val="002D594D"/>
    <w:rsid w:val="002D5AD0"/>
    <w:rsid w:val="002D5C4C"/>
    <w:rsid w:val="002D5CEF"/>
    <w:rsid w:val="002D5F65"/>
    <w:rsid w:val="002D64DD"/>
    <w:rsid w:val="002D68E5"/>
    <w:rsid w:val="002E0E4A"/>
    <w:rsid w:val="002E1C57"/>
    <w:rsid w:val="002E1E23"/>
    <w:rsid w:val="002E4052"/>
    <w:rsid w:val="002E4758"/>
    <w:rsid w:val="002E4B17"/>
    <w:rsid w:val="002E53EF"/>
    <w:rsid w:val="002E5483"/>
    <w:rsid w:val="002E55D3"/>
    <w:rsid w:val="002E6581"/>
    <w:rsid w:val="002E759D"/>
    <w:rsid w:val="002E7A65"/>
    <w:rsid w:val="002F015D"/>
    <w:rsid w:val="002F039F"/>
    <w:rsid w:val="002F0C5F"/>
    <w:rsid w:val="002F112F"/>
    <w:rsid w:val="002F29C3"/>
    <w:rsid w:val="002F37BE"/>
    <w:rsid w:val="002F38A8"/>
    <w:rsid w:val="002F38E4"/>
    <w:rsid w:val="002F5600"/>
    <w:rsid w:val="002F69D0"/>
    <w:rsid w:val="002F73E7"/>
    <w:rsid w:val="002F7F9C"/>
    <w:rsid w:val="003007C7"/>
    <w:rsid w:val="00300F00"/>
    <w:rsid w:val="00301024"/>
    <w:rsid w:val="003015A9"/>
    <w:rsid w:val="00301877"/>
    <w:rsid w:val="0030249C"/>
    <w:rsid w:val="00302566"/>
    <w:rsid w:val="0030264E"/>
    <w:rsid w:val="00302796"/>
    <w:rsid w:val="00303A67"/>
    <w:rsid w:val="003042EC"/>
    <w:rsid w:val="003042ED"/>
    <w:rsid w:val="00304573"/>
    <w:rsid w:val="00304745"/>
    <w:rsid w:val="00305920"/>
    <w:rsid w:val="00305F17"/>
    <w:rsid w:val="00307A37"/>
    <w:rsid w:val="00310D53"/>
    <w:rsid w:val="003116EF"/>
    <w:rsid w:val="003133AE"/>
    <w:rsid w:val="003133CA"/>
    <w:rsid w:val="00313768"/>
    <w:rsid w:val="00313BBD"/>
    <w:rsid w:val="0031410A"/>
    <w:rsid w:val="00314B90"/>
    <w:rsid w:val="00314CF5"/>
    <w:rsid w:val="00314F07"/>
    <w:rsid w:val="00315060"/>
    <w:rsid w:val="00315F01"/>
    <w:rsid w:val="0032032A"/>
    <w:rsid w:val="0032198F"/>
    <w:rsid w:val="00321A54"/>
    <w:rsid w:val="003230A6"/>
    <w:rsid w:val="003235DE"/>
    <w:rsid w:val="00323700"/>
    <w:rsid w:val="00324DA0"/>
    <w:rsid w:val="003253DF"/>
    <w:rsid w:val="003255E2"/>
    <w:rsid w:val="00325858"/>
    <w:rsid w:val="00325D19"/>
    <w:rsid w:val="00325E6D"/>
    <w:rsid w:val="003277BA"/>
    <w:rsid w:val="0033001F"/>
    <w:rsid w:val="00330025"/>
    <w:rsid w:val="00330AF9"/>
    <w:rsid w:val="00330BB9"/>
    <w:rsid w:val="00330C89"/>
    <w:rsid w:val="00330CC5"/>
    <w:rsid w:val="0033102A"/>
    <w:rsid w:val="00331AF4"/>
    <w:rsid w:val="00332D57"/>
    <w:rsid w:val="00332E80"/>
    <w:rsid w:val="0033414C"/>
    <w:rsid w:val="00334E0F"/>
    <w:rsid w:val="00335099"/>
    <w:rsid w:val="003350BE"/>
    <w:rsid w:val="00335232"/>
    <w:rsid w:val="003368B1"/>
    <w:rsid w:val="00337A0F"/>
    <w:rsid w:val="0034025A"/>
    <w:rsid w:val="003402A7"/>
    <w:rsid w:val="00342233"/>
    <w:rsid w:val="00342BB6"/>
    <w:rsid w:val="00343BA7"/>
    <w:rsid w:val="00343F05"/>
    <w:rsid w:val="00344080"/>
    <w:rsid w:val="0034486F"/>
    <w:rsid w:val="00344A26"/>
    <w:rsid w:val="00345278"/>
    <w:rsid w:val="00345916"/>
    <w:rsid w:val="0034594E"/>
    <w:rsid w:val="00345977"/>
    <w:rsid w:val="00345F13"/>
    <w:rsid w:val="00346626"/>
    <w:rsid w:val="003475B4"/>
    <w:rsid w:val="003502CE"/>
    <w:rsid w:val="003506E9"/>
    <w:rsid w:val="00351A93"/>
    <w:rsid w:val="00352386"/>
    <w:rsid w:val="00352A62"/>
    <w:rsid w:val="003530A7"/>
    <w:rsid w:val="003535E6"/>
    <w:rsid w:val="00353854"/>
    <w:rsid w:val="0035390D"/>
    <w:rsid w:val="00354724"/>
    <w:rsid w:val="00354E7A"/>
    <w:rsid w:val="00354F42"/>
    <w:rsid w:val="003553BF"/>
    <w:rsid w:val="0035582F"/>
    <w:rsid w:val="00355857"/>
    <w:rsid w:val="00356CF8"/>
    <w:rsid w:val="0035738E"/>
    <w:rsid w:val="003573D2"/>
    <w:rsid w:val="0036081D"/>
    <w:rsid w:val="003626D2"/>
    <w:rsid w:val="00362B80"/>
    <w:rsid w:val="00363608"/>
    <w:rsid w:val="003637C2"/>
    <w:rsid w:val="0036401D"/>
    <w:rsid w:val="00364703"/>
    <w:rsid w:val="00364C3D"/>
    <w:rsid w:val="00365AF0"/>
    <w:rsid w:val="00365D8C"/>
    <w:rsid w:val="003669BC"/>
    <w:rsid w:val="00366EEA"/>
    <w:rsid w:val="003675E4"/>
    <w:rsid w:val="00367B01"/>
    <w:rsid w:val="003700B6"/>
    <w:rsid w:val="0037124A"/>
    <w:rsid w:val="00371989"/>
    <w:rsid w:val="00371BF8"/>
    <w:rsid w:val="00372542"/>
    <w:rsid w:val="003728C7"/>
    <w:rsid w:val="00373B74"/>
    <w:rsid w:val="0037472E"/>
    <w:rsid w:val="00374C88"/>
    <w:rsid w:val="00374E5E"/>
    <w:rsid w:val="003756FF"/>
    <w:rsid w:val="003765E5"/>
    <w:rsid w:val="003769D6"/>
    <w:rsid w:val="00376F0D"/>
    <w:rsid w:val="00377A58"/>
    <w:rsid w:val="00377EF9"/>
    <w:rsid w:val="00380C2A"/>
    <w:rsid w:val="00380E27"/>
    <w:rsid w:val="00380E99"/>
    <w:rsid w:val="00381BCF"/>
    <w:rsid w:val="00382B41"/>
    <w:rsid w:val="00383158"/>
    <w:rsid w:val="00383561"/>
    <w:rsid w:val="00383E5C"/>
    <w:rsid w:val="00384413"/>
    <w:rsid w:val="0038754B"/>
    <w:rsid w:val="003876A1"/>
    <w:rsid w:val="00387703"/>
    <w:rsid w:val="003906A1"/>
    <w:rsid w:val="00391088"/>
    <w:rsid w:val="00391797"/>
    <w:rsid w:val="00391C5B"/>
    <w:rsid w:val="00392059"/>
    <w:rsid w:val="003923E5"/>
    <w:rsid w:val="00392439"/>
    <w:rsid w:val="00392E57"/>
    <w:rsid w:val="003931E6"/>
    <w:rsid w:val="00394CC4"/>
    <w:rsid w:val="0039511C"/>
    <w:rsid w:val="003951A1"/>
    <w:rsid w:val="003953FE"/>
    <w:rsid w:val="00395C81"/>
    <w:rsid w:val="00395DF8"/>
    <w:rsid w:val="0039625C"/>
    <w:rsid w:val="003963A8"/>
    <w:rsid w:val="003972B1"/>
    <w:rsid w:val="00397A35"/>
    <w:rsid w:val="00397FE4"/>
    <w:rsid w:val="003A0129"/>
    <w:rsid w:val="003A018F"/>
    <w:rsid w:val="003A0315"/>
    <w:rsid w:val="003A0B1A"/>
    <w:rsid w:val="003A0D42"/>
    <w:rsid w:val="003A0D46"/>
    <w:rsid w:val="003A1974"/>
    <w:rsid w:val="003A205F"/>
    <w:rsid w:val="003A2287"/>
    <w:rsid w:val="003A2B20"/>
    <w:rsid w:val="003A32D0"/>
    <w:rsid w:val="003A4365"/>
    <w:rsid w:val="003A49BA"/>
    <w:rsid w:val="003A5C4C"/>
    <w:rsid w:val="003A5DE0"/>
    <w:rsid w:val="003A5F45"/>
    <w:rsid w:val="003A7E7E"/>
    <w:rsid w:val="003A7F66"/>
    <w:rsid w:val="003B07FA"/>
    <w:rsid w:val="003B087D"/>
    <w:rsid w:val="003B097B"/>
    <w:rsid w:val="003B193D"/>
    <w:rsid w:val="003B1AA8"/>
    <w:rsid w:val="003B26D9"/>
    <w:rsid w:val="003B2AD9"/>
    <w:rsid w:val="003B33A0"/>
    <w:rsid w:val="003B37ED"/>
    <w:rsid w:val="003B3F74"/>
    <w:rsid w:val="003B4F11"/>
    <w:rsid w:val="003B509F"/>
    <w:rsid w:val="003B5937"/>
    <w:rsid w:val="003B5BAD"/>
    <w:rsid w:val="003B5F74"/>
    <w:rsid w:val="003B71DE"/>
    <w:rsid w:val="003B7438"/>
    <w:rsid w:val="003B7A7F"/>
    <w:rsid w:val="003B7AEE"/>
    <w:rsid w:val="003B7CA8"/>
    <w:rsid w:val="003B7CE6"/>
    <w:rsid w:val="003C08E5"/>
    <w:rsid w:val="003C1704"/>
    <w:rsid w:val="003C170F"/>
    <w:rsid w:val="003C2BB7"/>
    <w:rsid w:val="003C39F5"/>
    <w:rsid w:val="003C4678"/>
    <w:rsid w:val="003C470F"/>
    <w:rsid w:val="003C4C9C"/>
    <w:rsid w:val="003C56DC"/>
    <w:rsid w:val="003C5FC8"/>
    <w:rsid w:val="003C700A"/>
    <w:rsid w:val="003C7779"/>
    <w:rsid w:val="003D08B8"/>
    <w:rsid w:val="003D0EEE"/>
    <w:rsid w:val="003D177D"/>
    <w:rsid w:val="003D202B"/>
    <w:rsid w:val="003D27F2"/>
    <w:rsid w:val="003D2AD0"/>
    <w:rsid w:val="003D2BDE"/>
    <w:rsid w:val="003D371B"/>
    <w:rsid w:val="003D3BA1"/>
    <w:rsid w:val="003D439B"/>
    <w:rsid w:val="003D4BA0"/>
    <w:rsid w:val="003D5038"/>
    <w:rsid w:val="003D512E"/>
    <w:rsid w:val="003D5947"/>
    <w:rsid w:val="003D5E06"/>
    <w:rsid w:val="003D5EF4"/>
    <w:rsid w:val="003D642A"/>
    <w:rsid w:val="003D6715"/>
    <w:rsid w:val="003D753B"/>
    <w:rsid w:val="003D79EB"/>
    <w:rsid w:val="003E0652"/>
    <w:rsid w:val="003E1CF7"/>
    <w:rsid w:val="003E38C6"/>
    <w:rsid w:val="003E3AF2"/>
    <w:rsid w:val="003E44DB"/>
    <w:rsid w:val="003E4947"/>
    <w:rsid w:val="003E4952"/>
    <w:rsid w:val="003E4C4D"/>
    <w:rsid w:val="003E626F"/>
    <w:rsid w:val="003E629B"/>
    <w:rsid w:val="003E74C7"/>
    <w:rsid w:val="003E798A"/>
    <w:rsid w:val="003E7D38"/>
    <w:rsid w:val="003F1695"/>
    <w:rsid w:val="003F2814"/>
    <w:rsid w:val="003F29FC"/>
    <w:rsid w:val="003F631E"/>
    <w:rsid w:val="003F6F47"/>
    <w:rsid w:val="004000FB"/>
    <w:rsid w:val="00400445"/>
    <w:rsid w:val="00400544"/>
    <w:rsid w:val="0040107A"/>
    <w:rsid w:val="0040175C"/>
    <w:rsid w:val="004028B0"/>
    <w:rsid w:val="00402A0C"/>
    <w:rsid w:val="004033C1"/>
    <w:rsid w:val="00404224"/>
    <w:rsid w:val="00405B98"/>
    <w:rsid w:val="004061F2"/>
    <w:rsid w:val="00406587"/>
    <w:rsid w:val="00410B74"/>
    <w:rsid w:val="00411089"/>
    <w:rsid w:val="00411354"/>
    <w:rsid w:val="0041135C"/>
    <w:rsid w:val="0041148A"/>
    <w:rsid w:val="0041268F"/>
    <w:rsid w:val="00412F03"/>
    <w:rsid w:val="00413AF6"/>
    <w:rsid w:val="0041559B"/>
    <w:rsid w:val="0041561B"/>
    <w:rsid w:val="0041742D"/>
    <w:rsid w:val="00417B32"/>
    <w:rsid w:val="00417E60"/>
    <w:rsid w:val="00417FDA"/>
    <w:rsid w:val="0042074E"/>
    <w:rsid w:val="00421014"/>
    <w:rsid w:val="00421D1B"/>
    <w:rsid w:val="004227BA"/>
    <w:rsid w:val="00423995"/>
    <w:rsid w:val="004239D2"/>
    <w:rsid w:val="004257B0"/>
    <w:rsid w:val="00425AD9"/>
    <w:rsid w:val="00425D3E"/>
    <w:rsid w:val="00425D42"/>
    <w:rsid w:val="00426AB9"/>
    <w:rsid w:val="00427B42"/>
    <w:rsid w:val="00430471"/>
    <w:rsid w:val="004305E2"/>
    <w:rsid w:val="00430ADC"/>
    <w:rsid w:val="00431742"/>
    <w:rsid w:val="00431758"/>
    <w:rsid w:val="00431770"/>
    <w:rsid w:val="00431A01"/>
    <w:rsid w:val="00432211"/>
    <w:rsid w:val="0043224D"/>
    <w:rsid w:val="00432E39"/>
    <w:rsid w:val="004336EC"/>
    <w:rsid w:val="00433875"/>
    <w:rsid w:val="00434056"/>
    <w:rsid w:val="00434E99"/>
    <w:rsid w:val="00435012"/>
    <w:rsid w:val="0043549A"/>
    <w:rsid w:val="00435855"/>
    <w:rsid w:val="00435E43"/>
    <w:rsid w:val="00436776"/>
    <w:rsid w:val="004368A7"/>
    <w:rsid w:val="00437565"/>
    <w:rsid w:val="0044046C"/>
    <w:rsid w:val="00440473"/>
    <w:rsid w:val="004421CD"/>
    <w:rsid w:val="0044274A"/>
    <w:rsid w:val="00443261"/>
    <w:rsid w:val="00443FD5"/>
    <w:rsid w:val="00443FE8"/>
    <w:rsid w:val="00444271"/>
    <w:rsid w:val="004445A3"/>
    <w:rsid w:val="00444927"/>
    <w:rsid w:val="004452FB"/>
    <w:rsid w:val="00445EF3"/>
    <w:rsid w:val="00446A38"/>
    <w:rsid w:val="00446A7A"/>
    <w:rsid w:val="00447694"/>
    <w:rsid w:val="00450B7B"/>
    <w:rsid w:val="00450F59"/>
    <w:rsid w:val="00451386"/>
    <w:rsid w:val="0045156E"/>
    <w:rsid w:val="0045192C"/>
    <w:rsid w:val="00451EC5"/>
    <w:rsid w:val="00451F3A"/>
    <w:rsid w:val="00452A7C"/>
    <w:rsid w:val="00452B1B"/>
    <w:rsid w:val="00452E54"/>
    <w:rsid w:val="00453085"/>
    <w:rsid w:val="00454309"/>
    <w:rsid w:val="0045542A"/>
    <w:rsid w:val="00455594"/>
    <w:rsid w:val="00455DEB"/>
    <w:rsid w:val="0045608B"/>
    <w:rsid w:val="00456119"/>
    <w:rsid w:val="00456B74"/>
    <w:rsid w:val="004604BD"/>
    <w:rsid w:val="004616AF"/>
    <w:rsid w:val="00461FA5"/>
    <w:rsid w:val="00462DA2"/>
    <w:rsid w:val="0046357F"/>
    <w:rsid w:val="00463C2A"/>
    <w:rsid w:val="00463CFB"/>
    <w:rsid w:val="00464E04"/>
    <w:rsid w:val="00464E53"/>
    <w:rsid w:val="00464E8F"/>
    <w:rsid w:val="00465270"/>
    <w:rsid w:val="00465962"/>
    <w:rsid w:val="00466535"/>
    <w:rsid w:val="00467434"/>
    <w:rsid w:val="00467BD9"/>
    <w:rsid w:val="00467EF9"/>
    <w:rsid w:val="004700FA"/>
    <w:rsid w:val="0047055F"/>
    <w:rsid w:val="0047201E"/>
    <w:rsid w:val="004723C5"/>
    <w:rsid w:val="00473D3B"/>
    <w:rsid w:val="00474A2F"/>
    <w:rsid w:val="00474C3F"/>
    <w:rsid w:val="00475928"/>
    <w:rsid w:val="00475F83"/>
    <w:rsid w:val="004761C4"/>
    <w:rsid w:val="004761EB"/>
    <w:rsid w:val="004768C4"/>
    <w:rsid w:val="004772DE"/>
    <w:rsid w:val="0048007E"/>
    <w:rsid w:val="0048191D"/>
    <w:rsid w:val="00481DD2"/>
    <w:rsid w:val="0048226A"/>
    <w:rsid w:val="004825EF"/>
    <w:rsid w:val="00482772"/>
    <w:rsid w:val="0048469A"/>
    <w:rsid w:val="004855FB"/>
    <w:rsid w:val="004856B5"/>
    <w:rsid w:val="0048667C"/>
    <w:rsid w:val="00487CAD"/>
    <w:rsid w:val="0049120C"/>
    <w:rsid w:val="0049155F"/>
    <w:rsid w:val="00492338"/>
    <w:rsid w:val="0049239B"/>
    <w:rsid w:val="004928C3"/>
    <w:rsid w:val="004928ED"/>
    <w:rsid w:val="00493633"/>
    <w:rsid w:val="00494375"/>
    <w:rsid w:val="0049450C"/>
    <w:rsid w:val="004947C6"/>
    <w:rsid w:val="004948DE"/>
    <w:rsid w:val="00495608"/>
    <w:rsid w:val="00496829"/>
    <w:rsid w:val="00497CB1"/>
    <w:rsid w:val="004A0102"/>
    <w:rsid w:val="004A086D"/>
    <w:rsid w:val="004A0EE0"/>
    <w:rsid w:val="004A1647"/>
    <w:rsid w:val="004A1ED7"/>
    <w:rsid w:val="004A2469"/>
    <w:rsid w:val="004A2763"/>
    <w:rsid w:val="004A2C9F"/>
    <w:rsid w:val="004A42FB"/>
    <w:rsid w:val="004A4565"/>
    <w:rsid w:val="004A5AB1"/>
    <w:rsid w:val="004A6338"/>
    <w:rsid w:val="004A66BE"/>
    <w:rsid w:val="004A6806"/>
    <w:rsid w:val="004A692F"/>
    <w:rsid w:val="004A6A50"/>
    <w:rsid w:val="004A6E95"/>
    <w:rsid w:val="004A759C"/>
    <w:rsid w:val="004A78C0"/>
    <w:rsid w:val="004A7BA8"/>
    <w:rsid w:val="004A7D73"/>
    <w:rsid w:val="004A7ECB"/>
    <w:rsid w:val="004B1B8A"/>
    <w:rsid w:val="004B2274"/>
    <w:rsid w:val="004B2D23"/>
    <w:rsid w:val="004B35F4"/>
    <w:rsid w:val="004B392D"/>
    <w:rsid w:val="004B3E77"/>
    <w:rsid w:val="004B3E7C"/>
    <w:rsid w:val="004B6A39"/>
    <w:rsid w:val="004B6CCA"/>
    <w:rsid w:val="004B7BB3"/>
    <w:rsid w:val="004B7BC7"/>
    <w:rsid w:val="004B7F3C"/>
    <w:rsid w:val="004C09FC"/>
    <w:rsid w:val="004C0F2F"/>
    <w:rsid w:val="004C1498"/>
    <w:rsid w:val="004C1E85"/>
    <w:rsid w:val="004C2069"/>
    <w:rsid w:val="004C2A5C"/>
    <w:rsid w:val="004C2DE6"/>
    <w:rsid w:val="004C30BE"/>
    <w:rsid w:val="004C3B0E"/>
    <w:rsid w:val="004C45E6"/>
    <w:rsid w:val="004C467F"/>
    <w:rsid w:val="004C4B8F"/>
    <w:rsid w:val="004C5250"/>
    <w:rsid w:val="004C5512"/>
    <w:rsid w:val="004C574A"/>
    <w:rsid w:val="004C5E6D"/>
    <w:rsid w:val="004C6590"/>
    <w:rsid w:val="004C666D"/>
    <w:rsid w:val="004C6D6F"/>
    <w:rsid w:val="004C6E58"/>
    <w:rsid w:val="004C7028"/>
    <w:rsid w:val="004D0C3C"/>
    <w:rsid w:val="004D17D1"/>
    <w:rsid w:val="004D1B50"/>
    <w:rsid w:val="004D1F16"/>
    <w:rsid w:val="004D299F"/>
    <w:rsid w:val="004D339B"/>
    <w:rsid w:val="004D33D8"/>
    <w:rsid w:val="004D3503"/>
    <w:rsid w:val="004D36B1"/>
    <w:rsid w:val="004D38C6"/>
    <w:rsid w:val="004D3A27"/>
    <w:rsid w:val="004D4193"/>
    <w:rsid w:val="004D4C90"/>
    <w:rsid w:val="004D4E34"/>
    <w:rsid w:val="004D609D"/>
    <w:rsid w:val="004D70F5"/>
    <w:rsid w:val="004D75C1"/>
    <w:rsid w:val="004D7E76"/>
    <w:rsid w:val="004E02ED"/>
    <w:rsid w:val="004E044D"/>
    <w:rsid w:val="004E0A90"/>
    <w:rsid w:val="004E1914"/>
    <w:rsid w:val="004E255E"/>
    <w:rsid w:val="004E2BBC"/>
    <w:rsid w:val="004E30F3"/>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348"/>
    <w:rsid w:val="004F4957"/>
    <w:rsid w:val="004F5749"/>
    <w:rsid w:val="004F5F41"/>
    <w:rsid w:val="004F62FD"/>
    <w:rsid w:val="004F7437"/>
    <w:rsid w:val="004F78C8"/>
    <w:rsid w:val="00500C6D"/>
    <w:rsid w:val="00501129"/>
    <w:rsid w:val="00501843"/>
    <w:rsid w:val="005037C0"/>
    <w:rsid w:val="00505F3B"/>
    <w:rsid w:val="005061D7"/>
    <w:rsid w:val="00506252"/>
    <w:rsid w:val="00506C39"/>
    <w:rsid w:val="00506EC2"/>
    <w:rsid w:val="0050720C"/>
    <w:rsid w:val="00507F1B"/>
    <w:rsid w:val="00510FD9"/>
    <w:rsid w:val="00511A34"/>
    <w:rsid w:val="00511E5D"/>
    <w:rsid w:val="00513420"/>
    <w:rsid w:val="005134BB"/>
    <w:rsid w:val="005138FC"/>
    <w:rsid w:val="00513B95"/>
    <w:rsid w:val="00513BE1"/>
    <w:rsid w:val="00513F8B"/>
    <w:rsid w:val="00514167"/>
    <w:rsid w:val="00514668"/>
    <w:rsid w:val="00514865"/>
    <w:rsid w:val="005149DB"/>
    <w:rsid w:val="0051519E"/>
    <w:rsid w:val="005159F5"/>
    <w:rsid w:val="00515FC2"/>
    <w:rsid w:val="00516518"/>
    <w:rsid w:val="00516E41"/>
    <w:rsid w:val="00517822"/>
    <w:rsid w:val="005206D5"/>
    <w:rsid w:val="00521608"/>
    <w:rsid w:val="005217ED"/>
    <w:rsid w:val="00521BBB"/>
    <w:rsid w:val="00521D66"/>
    <w:rsid w:val="00522085"/>
    <w:rsid w:val="005228A3"/>
    <w:rsid w:val="00522C07"/>
    <w:rsid w:val="00522C4F"/>
    <w:rsid w:val="00522F16"/>
    <w:rsid w:val="00523062"/>
    <w:rsid w:val="00523348"/>
    <w:rsid w:val="00523A21"/>
    <w:rsid w:val="00524122"/>
    <w:rsid w:val="00524FF2"/>
    <w:rsid w:val="00525226"/>
    <w:rsid w:val="0052574F"/>
    <w:rsid w:val="00526466"/>
    <w:rsid w:val="005271BF"/>
    <w:rsid w:val="00527C58"/>
    <w:rsid w:val="00527CC7"/>
    <w:rsid w:val="00530352"/>
    <w:rsid w:val="005307B5"/>
    <w:rsid w:val="00530DF9"/>
    <w:rsid w:val="00531281"/>
    <w:rsid w:val="00531654"/>
    <w:rsid w:val="00531AAA"/>
    <w:rsid w:val="00531D90"/>
    <w:rsid w:val="0053246E"/>
    <w:rsid w:val="00533430"/>
    <w:rsid w:val="00534411"/>
    <w:rsid w:val="00534A34"/>
    <w:rsid w:val="00534BD4"/>
    <w:rsid w:val="00535E8C"/>
    <w:rsid w:val="00536027"/>
    <w:rsid w:val="005364BF"/>
    <w:rsid w:val="005365AB"/>
    <w:rsid w:val="00536882"/>
    <w:rsid w:val="00536BC0"/>
    <w:rsid w:val="00536EA8"/>
    <w:rsid w:val="00537916"/>
    <w:rsid w:val="0053796E"/>
    <w:rsid w:val="00537EE5"/>
    <w:rsid w:val="00540936"/>
    <w:rsid w:val="0054141A"/>
    <w:rsid w:val="0054147B"/>
    <w:rsid w:val="00541CB0"/>
    <w:rsid w:val="00543862"/>
    <w:rsid w:val="00543B27"/>
    <w:rsid w:val="005444A8"/>
    <w:rsid w:val="00545746"/>
    <w:rsid w:val="00545A14"/>
    <w:rsid w:val="00545DEC"/>
    <w:rsid w:val="00546472"/>
    <w:rsid w:val="005466D0"/>
    <w:rsid w:val="0054689F"/>
    <w:rsid w:val="00547841"/>
    <w:rsid w:val="00547D1F"/>
    <w:rsid w:val="005512E3"/>
    <w:rsid w:val="005512EC"/>
    <w:rsid w:val="00551B7D"/>
    <w:rsid w:val="00551D10"/>
    <w:rsid w:val="005531B3"/>
    <w:rsid w:val="00553522"/>
    <w:rsid w:val="005539D6"/>
    <w:rsid w:val="005546E0"/>
    <w:rsid w:val="00555473"/>
    <w:rsid w:val="0055556A"/>
    <w:rsid w:val="005557D3"/>
    <w:rsid w:val="005562F1"/>
    <w:rsid w:val="0055662F"/>
    <w:rsid w:val="0055710E"/>
    <w:rsid w:val="005572AD"/>
    <w:rsid w:val="0055746A"/>
    <w:rsid w:val="00561A33"/>
    <w:rsid w:val="00561B91"/>
    <w:rsid w:val="00561C39"/>
    <w:rsid w:val="00562267"/>
    <w:rsid w:val="00562F60"/>
    <w:rsid w:val="005654BB"/>
    <w:rsid w:val="0056631F"/>
    <w:rsid w:val="00566611"/>
    <w:rsid w:val="00567ED4"/>
    <w:rsid w:val="005717C1"/>
    <w:rsid w:val="00571B83"/>
    <w:rsid w:val="00571CDC"/>
    <w:rsid w:val="00571EE6"/>
    <w:rsid w:val="00572289"/>
    <w:rsid w:val="00572842"/>
    <w:rsid w:val="005728E6"/>
    <w:rsid w:val="00572C83"/>
    <w:rsid w:val="00572D68"/>
    <w:rsid w:val="00572E5D"/>
    <w:rsid w:val="00573100"/>
    <w:rsid w:val="00573780"/>
    <w:rsid w:val="00573D94"/>
    <w:rsid w:val="00573F40"/>
    <w:rsid w:val="0057428C"/>
    <w:rsid w:val="0057441C"/>
    <w:rsid w:val="00574FBA"/>
    <w:rsid w:val="00575DA1"/>
    <w:rsid w:val="00575EBA"/>
    <w:rsid w:val="00575EEF"/>
    <w:rsid w:val="0057620E"/>
    <w:rsid w:val="005767D5"/>
    <w:rsid w:val="00576A2C"/>
    <w:rsid w:val="0057709A"/>
    <w:rsid w:val="00580400"/>
    <w:rsid w:val="00580EB5"/>
    <w:rsid w:val="00580F71"/>
    <w:rsid w:val="005812EB"/>
    <w:rsid w:val="00581AAE"/>
    <w:rsid w:val="00581EFA"/>
    <w:rsid w:val="0058263A"/>
    <w:rsid w:val="00582BAE"/>
    <w:rsid w:val="00582D38"/>
    <w:rsid w:val="005838C2"/>
    <w:rsid w:val="00583BC3"/>
    <w:rsid w:val="0058495D"/>
    <w:rsid w:val="0058587F"/>
    <w:rsid w:val="005863DB"/>
    <w:rsid w:val="005869A2"/>
    <w:rsid w:val="005871E5"/>
    <w:rsid w:val="00587DF0"/>
    <w:rsid w:val="005904DB"/>
    <w:rsid w:val="00590F19"/>
    <w:rsid w:val="00591175"/>
    <w:rsid w:val="00591586"/>
    <w:rsid w:val="00591ACD"/>
    <w:rsid w:val="00591D72"/>
    <w:rsid w:val="005920D1"/>
    <w:rsid w:val="00592F68"/>
    <w:rsid w:val="005932F8"/>
    <w:rsid w:val="00593711"/>
    <w:rsid w:val="0059379C"/>
    <w:rsid w:val="00593A06"/>
    <w:rsid w:val="00593B09"/>
    <w:rsid w:val="00593EB2"/>
    <w:rsid w:val="00594025"/>
    <w:rsid w:val="00594953"/>
    <w:rsid w:val="00595362"/>
    <w:rsid w:val="00595BB1"/>
    <w:rsid w:val="00596250"/>
    <w:rsid w:val="00596A82"/>
    <w:rsid w:val="00597892"/>
    <w:rsid w:val="005979C3"/>
    <w:rsid w:val="005A0173"/>
    <w:rsid w:val="005A0DCA"/>
    <w:rsid w:val="005A0EAF"/>
    <w:rsid w:val="005A0F89"/>
    <w:rsid w:val="005A14C6"/>
    <w:rsid w:val="005A1574"/>
    <w:rsid w:val="005A1B14"/>
    <w:rsid w:val="005A3156"/>
    <w:rsid w:val="005A3482"/>
    <w:rsid w:val="005A3A84"/>
    <w:rsid w:val="005A3DAE"/>
    <w:rsid w:val="005A43EB"/>
    <w:rsid w:val="005A47B4"/>
    <w:rsid w:val="005A5D55"/>
    <w:rsid w:val="005A5FBA"/>
    <w:rsid w:val="005A6104"/>
    <w:rsid w:val="005A6641"/>
    <w:rsid w:val="005B0936"/>
    <w:rsid w:val="005B0CB9"/>
    <w:rsid w:val="005B0F5F"/>
    <w:rsid w:val="005B1085"/>
    <w:rsid w:val="005B1AEB"/>
    <w:rsid w:val="005B2F8F"/>
    <w:rsid w:val="005B4460"/>
    <w:rsid w:val="005B50C5"/>
    <w:rsid w:val="005B527D"/>
    <w:rsid w:val="005B5B8A"/>
    <w:rsid w:val="005B5F74"/>
    <w:rsid w:val="005B66C4"/>
    <w:rsid w:val="005B6B93"/>
    <w:rsid w:val="005B6BF9"/>
    <w:rsid w:val="005B6E45"/>
    <w:rsid w:val="005B7806"/>
    <w:rsid w:val="005B7A15"/>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0A2"/>
    <w:rsid w:val="005C64AA"/>
    <w:rsid w:val="005C6C62"/>
    <w:rsid w:val="005C6E20"/>
    <w:rsid w:val="005C6FF6"/>
    <w:rsid w:val="005D04AD"/>
    <w:rsid w:val="005D1544"/>
    <w:rsid w:val="005D2E70"/>
    <w:rsid w:val="005D39EF"/>
    <w:rsid w:val="005D3EFE"/>
    <w:rsid w:val="005D4333"/>
    <w:rsid w:val="005D56ED"/>
    <w:rsid w:val="005D5921"/>
    <w:rsid w:val="005D6A6A"/>
    <w:rsid w:val="005D7E7F"/>
    <w:rsid w:val="005E025F"/>
    <w:rsid w:val="005E0CB3"/>
    <w:rsid w:val="005E1856"/>
    <w:rsid w:val="005E188A"/>
    <w:rsid w:val="005E18C8"/>
    <w:rsid w:val="005E1AF1"/>
    <w:rsid w:val="005E21DC"/>
    <w:rsid w:val="005E2FD6"/>
    <w:rsid w:val="005E30AA"/>
    <w:rsid w:val="005E33D0"/>
    <w:rsid w:val="005E359F"/>
    <w:rsid w:val="005E36F2"/>
    <w:rsid w:val="005E474F"/>
    <w:rsid w:val="005E47A2"/>
    <w:rsid w:val="005E4DDA"/>
    <w:rsid w:val="005E51D7"/>
    <w:rsid w:val="005E600B"/>
    <w:rsid w:val="005E6683"/>
    <w:rsid w:val="005E6F92"/>
    <w:rsid w:val="005E7099"/>
    <w:rsid w:val="005E7D45"/>
    <w:rsid w:val="005E7E4A"/>
    <w:rsid w:val="005E7FD2"/>
    <w:rsid w:val="005F000A"/>
    <w:rsid w:val="005F00AE"/>
    <w:rsid w:val="005F068B"/>
    <w:rsid w:val="005F0BDA"/>
    <w:rsid w:val="005F0C1E"/>
    <w:rsid w:val="005F20CC"/>
    <w:rsid w:val="005F2236"/>
    <w:rsid w:val="005F2803"/>
    <w:rsid w:val="005F2929"/>
    <w:rsid w:val="005F293C"/>
    <w:rsid w:val="005F2DA8"/>
    <w:rsid w:val="005F353C"/>
    <w:rsid w:val="005F416E"/>
    <w:rsid w:val="005F4D43"/>
    <w:rsid w:val="005F562C"/>
    <w:rsid w:val="005F5F4E"/>
    <w:rsid w:val="005F64D9"/>
    <w:rsid w:val="005F7132"/>
    <w:rsid w:val="00600690"/>
    <w:rsid w:val="00600D28"/>
    <w:rsid w:val="0060208D"/>
    <w:rsid w:val="0060231E"/>
    <w:rsid w:val="00602398"/>
    <w:rsid w:val="006033F9"/>
    <w:rsid w:val="00603454"/>
    <w:rsid w:val="0060394D"/>
    <w:rsid w:val="00603977"/>
    <w:rsid w:val="00603FA8"/>
    <w:rsid w:val="0060441F"/>
    <w:rsid w:val="0060549A"/>
    <w:rsid w:val="006058E2"/>
    <w:rsid w:val="00605BDD"/>
    <w:rsid w:val="00606420"/>
    <w:rsid w:val="00606442"/>
    <w:rsid w:val="00606791"/>
    <w:rsid w:val="0061098E"/>
    <w:rsid w:val="00610AE3"/>
    <w:rsid w:val="00610E34"/>
    <w:rsid w:val="00610E52"/>
    <w:rsid w:val="00611227"/>
    <w:rsid w:val="006112E2"/>
    <w:rsid w:val="006117F6"/>
    <w:rsid w:val="006118C1"/>
    <w:rsid w:val="00611A66"/>
    <w:rsid w:val="00611BCF"/>
    <w:rsid w:val="00611EEF"/>
    <w:rsid w:val="006137D9"/>
    <w:rsid w:val="006139B8"/>
    <w:rsid w:val="00614253"/>
    <w:rsid w:val="006147E0"/>
    <w:rsid w:val="00615251"/>
    <w:rsid w:val="0061548E"/>
    <w:rsid w:val="006156F7"/>
    <w:rsid w:val="00615C79"/>
    <w:rsid w:val="00616416"/>
    <w:rsid w:val="00616DFC"/>
    <w:rsid w:val="006176C5"/>
    <w:rsid w:val="0062024B"/>
    <w:rsid w:val="0062037B"/>
    <w:rsid w:val="00620A3F"/>
    <w:rsid w:val="00621E29"/>
    <w:rsid w:val="00622643"/>
    <w:rsid w:val="00623D31"/>
    <w:rsid w:val="006251E3"/>
    <w:rsid w:val="0062553E"/>
    <w:rsid w:val="00625FD7"/>
    <w:rsid w:val="006263CC"/>
    <w:rsid w:val="00626605"/>
    <w:rsid w:val="006266B4"/>
    <w:rsid w:val="00627B4F"/>
    <w:rsid w:val="00630546"/>
    <w:rsid w:val="00630591"/>
    <w:rsid w:val="006310F2"/>
    <w:rsid w:val="006312EF"/>
    <w:rsid w:val="006317EB"/>
    <w:rsid w:val="00631A10"/>
    <w:rsid w:val="00632CE9"/>
    <w:rsid w:val="00633592"/>
    <w:rsid w:val="006335DC"/>
    <w:rsid w:val="00633A8A"/>
    <w:rsid w:val="006340A5"/>
    <w:rsid w:val="00634243"/>
    <w:rsid w:val="00634729"/>
    <w:rsid w:val="00634A59"/>
    <w:rsid w:val="00634A64"/>
    <w:rsid w:val="00635DBC"/>
    <w:rsid w:val="00635FA1"/>
    <w:rsid w:val="006361B6"/>
    <w:rsid w:val="00636381"/>
    <w:rsid w:val="0063698B"/>
    <w:rsid w:val="0063720D"/>
    <w:rsid w:val="006379C5"/>
    <w:rsid w:val="0064069C"/>
    <w:rsid w:val="006406DC"/>
    <w:rsid w:val="006416DA"/>
    <w:rsid w:val="00641725"/>
    <w:rsid w:val="006419FC"/>
    <w:rsid w:val="00641B1D"/>
    <w:rsid w:val="00641FAF"/>
    <w:rsid w:val="0064250A"/>
    <w:rsid w:val="00642BF2"/>
    <w:rsid w:val="00643ADF"/>
    <w:rsid w:val="00643E46"/>
    <w:rsid w:val="00644A6B"/>
    <w:rsid w:val="00644EEE"/>
    <w:rsid w:val="00645B77"/>
    <w:rsid w:val="0064607F"/>
    <w:rsid w:val="006466F8"/>
    <w:rsid w:val="00647A9C"/>
    <w:rsid w:val="00647C8F"/>
    <w:rsid w:val="00647ED5"/>
    <w:rsid w:val="00650008"/>
    <w:rsid w:val="00650402"/>
    <w:rsid w:val="00650CD9"/>
    <w:rsid w:val="0065115D"/>
    <w:rsid w:val="0065155D"/>
    <w:rsid w:val="006525BC"/>
    <w:rsid w:val="00652B88"/>
    <w:rsid w:val="00652EFD"/>
    <w:rsid w:val="00652F08"/>
    <w:rsid w:val="00653C57"/>
    <w:rsid w:val="00654178"/>
    <w:rsid w:val="006543A8"/>
    <w:rsid w:val="006543AC"/>
    <w:rsid w:val="00655DDF"/>
    <w:rsid w:val="00656815"/>
    <w:rsid w:val="00657447"/>
    <w:rsid w:val="00657825"/>
    <w:rsid w:val="0065798F"/>
    <w:rsid w:val="006610C7"/>
    <w:rsid w:val="0066433D"/>
    <w:rsid w:val="00664388"/>
    <w:rsid w:val="00664FC6"/>
    <w:rsid w:val="00665237"/>
    <w:rsid w:val="00665658"/>
    <w:rsid w:val="006660A3"/>
    <w:rsid w:val="00666D91"/>
    <w:rsid w:val="00667E6E"/>
    <w:rsid w:val="00667EB6"/>
    <w:rsid w:val="006717D9"/>
    <w:rsid w:val="0067191C"/>
    <w:rsid w:val="00671F82"/>
    <w:rsid w:val="0067202D"/>
    <w:rsid w:val="00672A90"/>
    <w:rsid w:val="00674A37"/>
    <w:rsid w:val="00675636"/>
    <w:rsid w:val="00675DC9"/>
    <w:rsid w:val="00676475"/>
    <w:rsid w:val="006771B9"/>
    <w:rsid w:val="00677222"/>
    <w:rsid w:val="0067794F"/>
    <w:rsid w:val="00681500"/>
    <w:rsid w:val="00681AE4"/>
    <w:rsid w:val="00681C00"/>
    <w:rsid w:val="00682C90"/>
    <w:rsid w:val="00682D53"/>
    <w:rsid w:val="00683387"/>
    <w:rsid w:val="0068356C"/>
    <w:rsid w:val="00683B8F"/>
    <w:rsid w:val="00684519"/>
    <w:rsid w:val="006846C8"/>
    <w:rsid w:val="006852C8"/>
    <w:rsid w:val="006852E8"/>
    <w:rsid w:val="00686FE9"/>
    <w:rsid w:val="0068762C"/>
    <w:rsid w:val="00687F4B"/>
    <w:rsid w:val="00690627"/>
    <w:rsid w:val="00691140"/>
    <w:rsid w:val="00691217"/>
    <w:rsid w:val="006915E5"/>
    <w:rsid w:val="00692264"/>
    <w:rsid w:val="006938AC"/>
    <w:rsid w:val="00693BE4"/>
    <w:rsid w:val="006940AF"/>
    <w:rsid w:val="00694561"/>
    <w:rsid w:val="006945BF"/>
    <w:rsid w:val="0069541C"/>
    <w:rsid w:val="006959B3"/>
    <w:rsid w:val="00695B52"/>
    <w:rsid w:val="006962C2"/>
    <w:rsid w:val="006970C8"/>
    <w:rsid w:val="00697600"/>
    <w:rsid w:val="00697AC8"/>
    <w:rsid w:val="006A0C47"/>
    <w:rsid w:val="006A0D46"/>
    <w:rsid w:val="006A0D74"/>
    <w:rsid w:val="006A1BC4"/>
    <w:rsid w:val="006A21D5"/>
    <w:rsid w:val="006A2752"/>
    <w:rsid w:val="006A2D84"/>
    <w:rsid w:val="006A4398"/>
    <w:rsid w:val="006A47E8"/>
    <w:rsid w:val="006A4802"/>
    <w:rsid w:val="006A488E"/>
    <w:rsid w:val="006A4970"/>
    <w:rsid w:val="006A5E75"/>
    <w:rsid w:val="006A5F54"/>
    <w:rsid w:val="006A5F6E"/>
    <w:rsid w:val="006A6369"/>
    <w:rsid w:val="006A6984"/>
    <w:rsid w:val="006A6BF4"/>
    <w:rsid w:val="006A71A0"/>
    <w:rsid w:val="006A74D3"/>
    <w:rsid w:val="006A7510"/>
    <w:rsid w:val="006A7EC7"/>
    <w:rsid w:val="006B1F78"/>
    <w:rsid w:val="006B1F7E"/>
    <w:rsid w:val="006B2012"/>
    <w:rsid w:val="006B2508"/>
    <w:rsid w:val="006B26E5"/>
    <w:rsid w:val="006B27B2"/>
    <w:rsid w:val="006B2E93"/>
    <w:rsid w:val="006B3F7E"/>
    <w:rsid w:val="006B4360"/>
    <w:rsid w:val="006B4F0B"/>
    <w:rsid w:val="006B589E"/>
    <w:rsid w:val="006B6B76"/>
    <w:rsid w:val="006B6E68"/>
    <w:rsid w:val="006B7553"/>
    <w:rsid w:val="006B7B72"/>
    <w:rsid w:val="006C09ED"/>
    <w:rsid w:val="006C0EF0"/>
    <w:rsid w:val="006C13BC"/>
    <w:rsid w:val="006C1AAC"/>
    <w:rsid w:val="006C236E"/>
    <w:rsid w:val="006C243C"/>
    <w:rsid w:val="006C336D"/>
    <w:rsid w:val="006C35F3"/>
    <w:rsid w:val="006C3D17"/>
    <w:rsid w:val="006C4CC0"/>
    <w:rsid w:val="006C5010"/>
    <w:rsid w:val="006C5083"/>
    <w:rsid w:val="006C5FCF"/>
    <w:rsid w:val="006C6031"/>
    <w:rsid w:val="006C62DD"/>
    <w:rsid w:val="006C690F"/>
    <w:rsid w:val="006C6988"/>
    <w:rsid w:val="006C699C"/>
    <w:rsid w:val="006C6A4B"/>
    <w:rsid w:val="006C6F07"/>
    <w:rsid w:val="006C7053"/>
    <w:rsid w:val="006D0AE3"/>
    <w:rsid w:val="006D1694"/>
    <w:rsid w:val="006D240E"/>
    <w:rsid w:val="006D273C"/>
    <w:rsid w:val="006D2F6B"/>
    <w:rsid w:val="006D30EF"/>
    <w:rsid w:val="006D3D7F"/>
    <w:rsid w:val="006D3DCC"/>
    <w:rsid w:val="006D41B8"/>
    <w:rsid w:val="006D4377"/>
    <w:rsid w:val="006D49BE"/>
    <w:rsid w:val="006D4F29"/>
    <w:rsid w:val="006D51C0"/>
    <w:rsid w:val="006D624A"/>
    <w:rsid w:val="006D6718"/>
    <w:rsid w:val="006D685E"/>
    <w:rsid w:val="006D6C62"/>
    <w:rsid w:val="006D7002"/>
    <w:rsid w:val="006D7075"/>
    <w:rsid w:val="006D70E0"/>
    <w:rsid w:val="006D7CB0"/>
    <w:rsid w:val="006E0095"/>
    <w:rsid w:val="006E0884"/>
    <w:rsid w:val="006E1A11"/>
    <w:rsid w:val="006E1BEA"/>
    <w:rsid w:val="006E1CBF"/>
    <w:rsid w:val="006E2023"/>
    <w:rsid w:val="006E2B56"/>
    <w:rsid w:val="006E3888"/>
    <w:rsid w:val="006E459D"/>
    <w:rsid w:val="006E4CDA"/>
    <w:rsid w:val="006E5136"/>
    <w:rsid w:val="006E55C3"/>
    <w:rsid w:val="006E56F8"/>
    <w:rsid w:val="006E6A55"/>
    <w:rsid w:val="006E73C7"/>
    <w:rsid w:val="006E7795"/>
    <w:rsid w:val="006F093C"/>
    <w:rsid w:val="006F0C47"/>
    <w:rsid w:val="006F1391"/>
    <w:rsid w:val="006F23BC"/>
    <w:rsid w:val="006F2476"/>
    <w:rsid w:val="006F3443"/>
    <w:rsid w:val="006F34F7"/>
    <w:rsid w:val="006F3E40"/>
    <w:rsid w:val="006F40B4"/>
    <w:rsid w:val="006F4580"/>
    <w:rsid w:val="006F45AC"/>
    <w:rsid w:val="006F45B4"/>
    <w:rsid w:val="006F4AF5"/>
    <w:rsid w:val="006F4B7D"/>
    <w:rsid w:val="006F522F"/>
    <w:rsid w:val="006F54A8"/>
    <w:rsid w:val="006F56FE"/>
    <w:rsid w:val="006F57C7"/>
    <w:rsid w:val="006F5982"/>
    <w:rsid w:val="006F6E4D"/>
    <w:rsid w:val="006F7076"/>
    <w:rsid w:val="006F7422"/>
    <w:rsid w:val="006F7F28"/>
    <w:rsid w:val="007000CD"/>
    <w:rsid w:val="0070086E"/>
    <w:rsid w:val="007010CA"/>
    <w:rsid w:val="007021AC"/>
    <w:rsid w:val="00702779"/>
    <w:rsid w:val="00703909"/>
    <w:rsid w:val="00704234"/>
    <w:rsid w:val="00704493"/>
    <w:rsid w:val="007048F6"/>
    <w:rsid w:val="00705405"/>
    <w:rsid w:val="0070543E"/>
    <w:rsid w:val="007060EA"/>
    <w:rsid w:val="0070726C"/>
    <w:rsid w:val="00707CCD"/>
    <w:rsid w:val="00710C08"/>
    <w:rsid w:val="0071130D"/>
    <w:rsid w:val="00711AB8"/>
    <w:rsid w:val="00711CBA"/>
    <w:rsid w:val="00711DD3"/>
    <w:rsid w:val="00711ED9"/>
    <w:rsid w:val="007121E6"/>
    <w:rsid w:val="00713133"/>
    <w:rsid w:val="00713907"/>
    <w:rsid w:val="007142DB"/>
    <w:rsid w:val="00714F8F"/>
    <w:rsid w:val="00715024"/>
    <w:rsid w:val="00715204"/>
    <w:rsid w:val="00715313"/>
    <w:rsid w:val="0071588B"/>
    <w:rsid w:val="00715B3E"/>
    <w:rsid w:val="00716138"/>
    <w:rsid w:val="007202A0"/>
    <w:rsid w:val="00720A0C"/>
    <w:rsid w:val="007213F6"/>
    <w:rsid w:val="00722242"/>
    <w:rsid w:val="007230B8"/>
    <w:rsid w:val="00723250"/>
    <w:rsid w:val="0072356C"/>
    <w:rsid w:val="00724A24"/>
    <w:rsid w:val="007254F2"/>
    <w:rsid w:val="0072595B"/>
    <w:rsid w:val="0072660B"/>
    <w:rsid w:val="00726739"/>
    <w:rsid w:val="007268B3"/>
    <w:rsid w:val="007271DD"/>
    <w:rsid w:val="00727BB8"/>
    <w:rsid w:val="0073076D"/>
    <w:rsid w:val="0073095E"/>
    <w:rsid w:val="00730C65"/>
    <w:rsid w:val="00733036"/>
    <w:rsid w:val="0073306B"/>
    <w:rsid w:val="0073388F"/>
    <w:rsid w:val="00734327"/>
    <w:rsid w:val="0073438F"/>
    <w:rsid w:val="007343D5"/>
    <w:rsid w:val="007345A5"/>
    <w:rsid w:val="007346D3"/>
    <w:rsid w:val="00735EF1"/>
    <w:rsid w:val="0073614B"/>
    <w:rsid w:val="00736C26"/>
    <w:rsid w:val="00741280"/>
    <w:rsid w:val="007415C0"/>
    <w:rsid w:val="00741D4A"/>
    <w:rsid w:val="0074204E"/>
    <w:rsid w:val="007422E4"/>
    <w:rsid w:val="007426CB"/>
    <w:rsid w:val="00742826"/>
    <w:rsid w:val="00743DBE"/>
    <w:rsid w:val="00744032"/>
    <w:rsid w:val="00744228"/>
    <w:rsid w:val="00744874"/>
    <w:rsid w:val="00745258"/>
    <w:rsid w:val="00746D99"/>
    <w:rsid w:val="00746FEC"/>
    <w:rsid w:val="00747267"/>
    <w:rsid w:val="00747DA7"/>
    <w:rsid w:val="00753561"/>
    <w:rsid w:val="00754C2A"/>
    <w:rsid w:val="00754C7F"/>
    <w:rsid w:val="0075530B"/>
    <w:rsid w:val="00755333"/>
    <w:rsid w:val="0075653C"/>
    <w:rsid w:val="00756788"/>
    <w:rsid w:val="007568D6"/>
    <w:rsid w:val="0075768B"/>
    <w:rsid w:val="007608DB"/>
    <w:rsid w:val="00760B61"/>
    <w:rsid w:val="007610FE"/>
    <w:rsid w:val="00761EC4"/>
    <w:rsid w:val="00763A8A"/>
    <w:rsid w:val="0076548F"/>
    <w:rsid w:val="00765538"/>
    <w:rsid w:val="007660BF"/>
    <w:rsid w:val="00766FC1"/>
    <w:rsid w:val="0076746D"/>
    <w:rsid w:val="00767D49"/>
    <w:rsid w:val="0077067A"/>
    <w:rsid w:val="00770707"/>
    <w:rsid w:val="0077202B"/>
    <w:rsid w:val="007728B1"/>
    <w:rsid w:val="00773047"/>
    <w:rsid w:val="00774087"/>
    <w:rsid w:val="007753FF"/>
    <w:rsid w:val="00775F84"/>
    <w:rsid w:val="007765CB"/>
    <w:rsid w:val="007767DF"/>
    <w:rsid w:val="00776825"/>
    <w:rsid w:val="00777016"/>
    <w:rsid w:val="007774D4"/>
    <w:rsid w:val="00777D1A"/>
    <w:rsid w:val="00777D9A"/>
    <w:rsid w:val="00780575"/>
    <w:rsid w:val="0078161C"/>
    <w:rsid w:val="00781E73"/>
    <w:rsid w:val="007832D3"/>
    <w:rsid w:val="007834F7"/>
    <w:rsid w:val="0078478F"/>
    <w:rsid w:val="00786880"/>
    <w:rsid w:val="00787B29"/>
    <w:rsid w:val="00787D60"/>
    <w:rsid w:val="00787D67"/>
    <w:rsid w:val="00791665"/>
    <w:rsid w:val="0079189A"/>
    <w:rsid w:val="007919E7"/>
    <w:rsid w:val="00793EF9"/>
    <w:rsid w:val="00794156"/>
    <w:rsid w:val="00794F88"/>
    <w:rsid w:val="00795057"/>
    <w:rsid w:val="007960B0"/>
    <w:rsid w:val="007962CE"/>
    <w:rsid w:val="007965A8"/>
    <w:rsid w:val="0079683B"/>
    <w:rsid w:val="00796869"/>
    <w:rsid w:val="00796B68"/>
    <w:rsid w:val="007A0BCF"/>
    <w:rsid w:val="007A12B2"/>
    <w:rsid w:val="007A13C1"/>
    <w:rsid w:val="007A1704"/>
    <w:rsid w:val="007A2819"/>
    <w:rsid w:val="007A2D76"/>
    <w:rsid w:val="007A310F"/>
    <w:rsid w:val="007A3636"/>
    <w:rsid w:val="007A4215"/>
    <w:rsid w:val="007A4A8E"/>
    <w:rsid w:val="007A53F5"/>
    <w:rsid w:val="007A57BA"/>
    <w:rsid w:val="007A6464"/>
    <w:rsid w:val="007A6740"/>
    <w:rsid w:val="007A7397"/>
    <w:rsid w:val="007A7AAD"/>
    <w:rsid w:val="007A7DBF"/>
    <w:rsid w:val="007B19EB"/>
    <w:rsid w:val="007B1E25"/>
    <w:rsid w:val="007B2150"/>
    <w:rsid w:val="007B325F"/>
    <w:rsid w:val="007B3A44"/>
    <w:rsid w:val="007B3DB9"/>
    <w:rsid w:val="007B4E24"/>
    <w:rsid w:val="007B6939"/>
    <w:rsid w:val="007B6A0A"/>
    <w:rsid w:val="007B7258"/>
    <w:rsid w:val="007B7C7B"/>
    <w:rsid w:val="007B7E0C"/>
    <w:rsid w:val="007C0995"/>
    <w:rsid w:val="007C18D3"/>
    <w:rsid w:val="007C19A9"/>
    <w:rsid w:val="007C1A06"/>
    <w:rsid w:val="007C1C3F"/>
    <w:rsid w:val="007C2253"/>
    <w:rsid w:val="007C22E1"/>
    <w:rsid w:val="007C39A1"/>
    <w:rsid w:val="007C3B29"/>
    <w:rsid w:val="007C4316"/>
    <w:rsid w:val="007C45E3"/>
    <w:rsid w:val="007C5809"/>
    <w:rsid w:val="007C5909"/>
    <w:rsid w:val="007C5E2B"/>
    <w:rsid w:val="007C5F30"/>
    <w:rsid w:val="007C5FAB"/>
    <w:rsid w:val="007C66AF"/>
    <w:rsid w:val="007C6745"/>
    <w:rsid w:val="007C7761"/>
    <w:rsid w:val="007D0568"/>
    <w:rsid w:val="007D16EE"/>
    <w:rsid w:val="007D17C4"/>
    <w:rsid w:val="007D1906"/>
    <w:rsid w:val="007D20C0"/>
    <w:rsid w:val="007D2D9A"/>
    <w:rsid w:val="007D47B0"/>
    <w:rsid w:val="007D4845"/>
    <w:rsid w:val="007D498B"/>
    <w:rsid w:val="007D49F7"/>
    <w:rsid w:val="007D5092"/>
    <w:rsid w:val="007D5B3B"/>
    <w:rsid w:val="007D6EE2"/>
    <w:rsid w:val="007E12D7"/>
    <w:rsid w:val="007E2C26"/>
    <w:rsid w:val="007E3E42"/>
    <w:rsid w:val="007E409D"/>
    <w:rsid w:val="007E4715"/>
    <w:rsid w:val="007E47AF"/>
    <w:rsid w:val="007E4AC2"/>
    <w:rsid w:val="007E62DA"/>
    <w:rsid w:val="007E6484"/>
    <w:rsid w:val="007E69EB"/>
    <w:rsid w:val="007E6CE9"/>
    <w:rsid w:val="007E6E82"/>
    <w:rsid w:val="007E7083"/>
    <w:rsid w:val="007F0ED8"/>
    <w:rsid w:val="007F1357"/>
    <w:rsid w:val="007F2A1A"/>
    <w:rsid w:val="007F2F5D"/>
    <w:rsid w:val="007F359E"/>
    <w:rsid w:val="007F3B0F"/>
    <w:rsid w:val="007F3D45"/>
    <w:rsid w:val="007F3E1A"/>
    <w:rsid w:val="007F441F"/>
    <w:rsid w:val="007F4ED1"/>
    <w:rsid w:val="007F5819"/>
    <w:rsid w:val="007F6396"/>
    <w:rsid w:val="007F6E9E"/>
    <w:rsid w:val="007F7066"/>
    <w:rsid w:val="008009C0"/>
    <w:rsid w:val="0080177A"/>
    <w:rsid w:val="00801D3D"/>
    <w:rsid w:val="00802392"/>
    <w:rsid w:val="00802739"/>
    <w:rsid w:val="00802933"/>
    <w:rsid w:val="00802B06"/>
    <w:rsid w:val="00802BCB"/>
    <w:rsid w:val="00802F62"/>
    <w:rsid w:val="0080342D"/>
    <w:rsid w:val="008034E8"/>
    <w:rsid w:val="008043A4"/>
    <w:rsid w:val="00804B8A"/>
    <w:rsid w:val="00805586"/>
    <w:rsid w:val="00805DD5"/>
    <w:rsid w:val="00806653"/>
    <w:rsid w:val="00807706"/>
    <w:rsid w:val="00807A3B"/>
    <w:rsid w:val="00810B97"/>
    <w:rsid w:val="008110F9"/>
    <w:rsid w:val="008116E1"/>
    <w:rsid w:val="00812D8F"/>
    <w:rsid w:val="00812E0B"/>
    <w:rsid w:val="0081367A"/>
    <w:rsid w:val="0081378F"/>
    <w:rsid w:val="008144DC"/>
    <w:rsid w:val="00815499"/>
    <w:rsid w:val="00815BD9"/>
    <w:rsid w:val="00815C55"/>
    <w:rsid w:val="00815DF6"/>
    <w:rsid w:val="00815E17"/>
    <w:rsid w:val="00815F6E"/>
    <w:rsid w:val="008163EA"/>
    <w:rsid w:val="00817427"/>
    <w:rsid w:val="00820056"/>
    <w:rsid w:val="00820829"/>
    <w:rsid w:val="00820A16"/>
    <w:rsid w:val="00820D2D"/>
    <w:rsid w:val="00820F1B"/>
    <w:rsid w:val="0082208C"/>
    <w:rsid w:val="008226FA"/>
    <w:rsid w:val="00822BCC"/>
    <w:rsid w:val="00822FD2"/>
    <w:rsid w:val="0082418C"/>
    <w:rsid w:val="0082567B"/>
    <w:rsid w:val="008258ED"/>
    <w:rsid w:val="00827429"/>
    <w:rsid w:val="00827EA9"/>
    <w:rsid w:val="00830573"/>
    <w:rsid w:val="008305C4"/>
    <w:rsid w:val="00831466"/>
    <w:rsid w:val="00831783"/>
    <w:rsid w:val="00831939"/>
    <w:rsid w:val="00832240"/>
    <w:rsid w:val="008323FD"/>
    <w:rsid w:val="00832C3C"/>
    <w:rsid w:val="00832C55"/>
    <w:rsid w:val="00832FA9"/>
    <w:rsid w:val="00834C87"/>
    <w:rsid w:val="0083541A"/>
    <w:rsid w:val="00835D23"/>
    <w:rsid w:val="00835E9B"/>
    <w:rsid w:val="008365D0"/>
    <w:rsid w:val="00836AF6"/>
    <w:rsid w:val="00836B2A"/>
    <w:rsid w:val="00836BDF"/>
    <w:rsid w:val="008404D7"/>
    <w:rsid w:val="008406B5"/>
    <w:rsid w:val="008407A8"/>
    <w:rsid w:val="00841FA1"/>
    <w:rsid w:val="008422E9"/>
    <w:rsid w:val="00842890"/>
    <w:rsid w:val="0084298F"/>
    <w:rsid w:val="00842E66"/>
    <w:rsid w:val="00843A59"/>
    <w:rsid w:val="00844172"/>
    <w:rsid w:val="0084417A"/>
    <w:rsid w:val="00844FCA"/>
    <w:rsid w:val="00844FCB"/>
    <w:rsid w:val="00845169"/>
    <w:rsid w:val="00845F41"/>
    <w:rsid w:val="0084601D"/>
    <w:rsid w:val="00846A94"/>
    <w:rsid w:val="008470A9"/>
    <w:rsid w:val="008472A5"/>
    <w:rsid w:val="008479F8"/>
    <w:rsid w:val="008504A2"/>
    <w:rsid w:val="008520DE"/>
    <w:rsid w:val="0085242C"/>
    <w:rsid w:val="0085261D"/>
    <w:rsid w:val="00853BB6"/>
    <w:rsid w:val="008545B8"/>
    <w:rsid w:val="008546F0"/>
    <w:rsid w:val="008553D8"/>
    <w:rsid w:val="00855C91"/>
    <w:rsid w:val="00856202"/>
    <w:rsid w:val="00856ABD"/>
    <w:rsid w:val="00860850"/>
    <w:rsid w:val="00860A08"/>
    <w:rsid w:val="00860DD6"/>
    <w:rsid w:val="00861082"/>
    <w:rsid w:val="00861650"/>
    <w:rsid w:val="00861AE4"/>
    <w:rsid w:val="00861E7B"/>
    <w:rsid w:val="00862C85"/>
    <w:rsid w:val="00862E7B"/>
    <w:rsid w:val="00862EE7"/>
    <w:rsid w:val="00863178"/>
    <w:rsid w:val="00863DB1"/>
    <w:rsid w:val="00863E64"/>
    <w:rsid w:val="00864225"/>
    <w:rsid w:val="008647E2"/>
    <w:rsid w:val="00864DDD"/>
    <w:rsid w:val="008654B2"/>
    <w:rsid w:val="0086566F"/>
    <w:rsid w:val="008656E3"/>
    <w:rsid w:val="008658C6"/>
    <w:rsid w:val="008666CE"/>
    <w:rsid w:val="00867105"/>
    <w:rsid w:val="008712AF"/>
    <w:rsid w:val="00871AB2"/>
    <w:rsid w:val="00871E81"/>
    <w:rsid w:val="008725F8"/>
    <w:rsid w:val="00872D2B"/>
    <w:rsid w:val="00873D63"/>
    <w:rsid w:val="008740DB"/>
    <w:rsid w:val="008744E8"/>
    <w:rsid w:val="008746DF"/>
    <w:rsid w:val="00875803"/>
    <w:rsid w:val="00875FD5"/>
    <w:rsid w:val="00875FF1"/>
    <w:rsid w:val="00876348"/>
    <w:rsid w:val="00876362"/>
    <w:rsid w:val="00876ED7"/>
    <w:rsid w:val="0087751A"/>
    <w:rsid w:val="00877A53"/>
    <w:rsid w:val="008808E3"/>
    <w:rsid w:val="00880B6E"/>
    <w:rsid w:val="00880DB9"/>
    <w:rsid w:val="0088152D"/>
    <w:rsid w:val="00881DB4"/>
    <w:rsid w:val="00881FF2"/>
    <w:rsid w:val="00882836"/>
    <w:rsid w:val="00883ABA"/>
    <w:rsid w:val="008845F8"/>
    <w:rsid w:val="00884B0E"/>
    <w:rsid w:val="00884DAF"/>
    <w:rsid w:val="008852D0"/>
    <w:rsid w:val="0088574B"/>
    <w:rsid w:val="00885C9C"/>
    <w:rsid w:val="00887082"/>
    <w:rsid w:val="0088745E"/>
    <w:rsid w:val="0088777F"/>
    <w:rsid w:val="00887B5C"/>
    <w:rsid w:val="008916B3"/>
    <w:rsid w:val="00891A7E"/>
    <w:rsid w:val="00892D61"/>
    <w:rsid w:val="008933A7"/>
    <w:rsid w:val="00893B6D"/>
    <w:rsid w:val="00893BA0"/>
    <w:rsid w:val="00893ED0"/>
    <w:rsid w:val="0089430E"/>
    <w:rsid w:val="008944D4"/>
    <w:rsid w:val="00894632"/>
    <w:rsid w:val="00894E1F"/>
    <w:rsid w:val="00896047"/>
    <w:rsid w:val="008965F2"/>
    <w:rsid w:val="00896A52"/>
    <w:rsid w:val="00896ADF"/>
    <w:rsid w:val="00897576"/>
    <w:rsid w:val="00897BF6"/>
    <w:rsid w:val="008A1EAE"/>
    <w:rsid w:val="008A250D"/>
    <w:rsid w:val="008A25F9"/>
    <w:rsid w:val="008A3000"/>
    <w:rsid w:val="008A37B6"/>
    <w:rsid w:val="008A4403"/>
    <w:rsid w:val="008A4479"/>
    <w:rsid w:val="008A529C"/>
    <w:rsid w:val="008A5632"/>
    <w:rsid w:val="008A6279"/>
    <w:rsid w:val="008A6E50"/>
    <w:rsid w:val="008A7029"/>
    <w:rsid w:val="008A7595"/>
    <w:rsid w:val="008B01C4"/>
    <w:rsid w:val="008B01D9"/>
    <w:rsid w:val="008B0825"/>
    <w:rsid w:val="008B0B04"/>
    <w:rsid w:val="008B36C5"/>
    <w:rsid w:val="008B3EB0"/>
    <w:rsid w:val="008B48D5"/>
    <w:rsid w:val="008B5970"/>
    <w:rsid w:val="008B6288"/>
    <w:rsid w:val="008B6D1E"/>
    <w:rsid w:val="008C0E33"/>
    <w:rsid w:val="008C13DA"/>
    <w:rsid w:val="008C1833"/>
    <w:rsid w:val="008C1E57"/>
    <w:rsid w:val="008C2EB1"/>
    <w:rsid w:val="008C37A3"/>
    <w:rsid w:val="008C3812"/>
    <w:rsid w:val="008C3B2F"/>
    <w:rsid w:val="008C3C2D"/>
    <w:rsid w:val="008C3D31"/>
    <w:rsid w:val="008C3EB8"/>
    <w:rsid w:val="008C4006"/>
    <w:rsid w:val="008C440F"/>
    <w:rsid w:val="008C5DB2"/>
    <w:rsid w:val="008C5E06"/>
    <w:rsid w:val="008C6F9C"/>
    <w:rsid w:val="008C705C"/>
    <w:rsid w:val="008C7288"/>
    <w:rsid w:val="008C73A0"/>
    <w:rsid w:val="008C77E8"/>
    <w:rsid w:val="008C780C"/>
    <w:rsid w:val="008C7C06"/>
    <w:rsid w:val="008D0FD1"/>
    <w:rsid w:val="008D192B"/>
    <w:rsid w:val="008D193C"/>
    <w:rsid w:val="008D2030"/>
    <w:rsid w:val="008D223A"/>
    <w:rsid w:val="008D2E97"/>
    <w:rsid w:val="008D328E"/>
    <w:rsid w:val="008D392A"/>
    <w:rsid w:val="008D3FE3"/>
    <w:rsid w:val="008D43A0"/>
    <w:rsid w:val="008D441D"/>
    <w:rsid w:val="008D4719"/>
    <w:rsid w:val="008D489E"/>
    <w:rsid w:val="008D53E7"/>
    <w:rsid w:val="008D592F"/>
    <w:rsid w:val="008D5A85"/>
    <w:rsid w:val="008D5E9A"/>
    <w:rsid w:val="008D600B"/>
    <w:rsid w:val="008D66BD"/>
    <w:rsid w:val="008D6A4D"/>
    <w:rsid w:val="008D6A68"/>
    <w:rsid w:val="008D6BC3"/>
    <w:rsid w:val="008D77C4"/>
    <w:rsid w:val="008D7840"/>
    <w:rsid w:val="008D7BF4"/>
    <w:rsid w:val="008E0EDB"/>
    <w:rsid w:val="008E1238"/>
    <w:rsid w:val="008E1692"/>
    <w:rsid w:val="008E2629"/>
    <w:rsid w:val="008E398E"/>
    <w:rsid w:val="008E3B21"/>
    <w:rsid w:val="008E5642"/>
    <w:rsid w:val="008E5EBE"/>
    <w:rsid w:val="008E69B5"/>
    <w:rsid w:val="008F0067"/>
    <w:rsid w:val="008F068F"/>
    <w:rsid w:val="008F0724"/>
    <w:rsid w:val="008F1A24"/>
    <w:rsid w:val="008F1B92"/>
    <w:rsid w:val="008F1BEB"/>
    <w:rsid w:val="008F1CC5"/>
    <w:rsid w:val="008F229B"/>
    <w:rsid w:val="008F32ED"/>
    <w:rsid w:val="008F38DA"/>
    <w:rsid w:val="008F393E"/>
    <w:rsid w:val="008F3D46"/>
    <w:rsid w:val="008F4E01"/>
    <w:rsid w:val="008F6776"/>
    <w:rsid w:val="008F788C"/>
    <w:rsid w:val="008F7901"/>
    <w:rsid w:val="00900225"/>
    <w:rsid w:val="00900962"/>
    <w:rsid w:val="00900B41"/>
    <w:rsid w:val="00900DF9"/>
    <w:rsid w:val="00900E34"/>
    <w:rsid w:val="00900FA8"/>
    <w:rsid w:val="00901304"/>
    <w:rsid w:val="0090136D"/>
    <w:rsid w:val="00902053"/>
    <w:rsid w:val="009028F9"/>
    <w:rsid w:val="009029A6"/>
    <w:rsid w:val="00902FB5"/>
    <w:rsid w:val="00904D95"/>
    <w:rsid w:val="009055E3"/>
    <w:rsid w:val="00905B29"/>
    <w:rsid w:val="00906A87"/>
    <w:rsid w:val="00906C76"/>
    <w:rsid w:val="0090770D"/>
    <w:rsid w:val="0091030D"/>
    <w:rsid w:val="00911D57"/>
    <w:rsid w:val="00911DD4"/>
    <w:rsid w:val="00912207"/>
    <w:rsid w:val="00912DB5"/>
    <w:rsid w:val="009139CE"/>
    <w:rsid w:val="00913AE2"/>
    <w:rsid w:val="00913B86"/>
    <w:rsid w:val="0091475B"/>
    <w:rsid w:val="00914D60"/>
    <w:rsid w:val="00915426"/>
    <w:rsid w:val="0091783F"/>
    <w:rsid w:val="00920AF3"/>
    <w:rsid w:val="00922586"/>
    <w:rsid w:val="00922A3E"/>
    <w:rsid w:val="00922A4C"/>
    <w:rsid w:val="00922AE7"/>
    <w:rsid w:val="0092344E"/>
    <w:rsid w:val="00923736"/>
    <w:rsid w:val="00923942"/>
    <w:rsid w:val="009244C7"/>
    <w:rsid w:val="00924E5A"/>
    <w:rsid w:val="00925B21"/>
    <w:rsid w:val="00925D23"/>
    <w:rsid w:val="0092616C"/>
    <w:rsid w:val="00926244"/>
    <w:rsid w:val="00926C73"/>
    <w:rsid w:val="00927BB3"/>
    <w:rsid w:val="0093044A"/>
    <w:rsid w:val="009304DE"/>
    <w:rsid w:val="009304F5"/>
    <w:rsid w:val="0093059F"/>
    <w:rsid w:val="00930874"/>
    <w:rsid w:val="00930F19"/>
    <w:rsid w:val="00931F4F"/>
    <w:rsid w:val="00932896"/>
    <w:rsid w:val="00932B92"/>
    <w:rsid w:val="0093461A"/>
    <w:rsid w:val="009346FD"/>
    <w:rsid w:val="009349BB"/>
    <w:rsid w:val="00934A97"/>
    <w:rsid w:val="009353BF"/>
    <w:rsid w:val="00935DC2"/>
    <w:rsid w:val="00936CFF"/>
    <w:rsid w:val="00936F91"/>
    <w:rsid w:val="009371A3"/>
    <w:rsid w:val="009374B3"/>
    <w:rsid w:val="009377DF"/>
    <w:rsid w:val="0094048F"/>
    <w:rsid w:val="00940A01"/>
    <w:rsid w:val="00940E17"/>
    <w:rsid w:val="009410E8"/>
    <w:rsid w:val="0094183E"/>
    <w:rsid w:val="00942988"/>
    <w:rsid w:val="00943184"/>
    <w:rsid w:val="009433DC"/>
    <w:rsid w:val="00943FF0"/>
    <w:rsid w:val="00944B77"/>
    <w:rsid w:val="00944BA9"/>
    <w:rsid w:val="00944C35"/>
    <w:rsid w:val="00944D75"/>
    <w:rsid w:val="00945192"/>
    <w:rsid w:val="0094522A"/>
    <w:rsid w:val="00945304"/>
    <w:rsid w:val="00945E86"/>
    <w:rsid w:val="00945EDD"/>
    <w:rsid w:val="00946269"/>
    <w:rsid w:val="00947718"/>
    <w:rsid w:val="00947DFE"/>
    <w:rsid w:val="009501DA"/>
    <w:rsid w:val="0095050B"/>
    <w:rsid w:val="00950B16"/>
    <w:rsid w:val="00950BE4"/>
    <w:rsid w:val="00951BF1"/>
    <w:rsid w:val="009520BA"/>
    <w:rsid w:val="00952509"/>
    <w:rsid w:val="009527CC"/>
    <w:rsid w:val="0095357A"/>
    <w:rsid w:val="0095444B"/>
    <w:rsid w:val="00954782"/>
    <w:rsid w:val="00954FB0"/>
    <w:rsid w:val="00956C75"/>
    <w:rsid w:val="00957DE8"/>
    <w:rsid w:val="00960333"/>
    <w:rsid w:val="00960EE3"/>
    <w:rsid w:val="00961292"/>
    <w:rsid w:val="009624CE"/>
    <w:rsid w:val="009626D4"/>
    <w:rsid w:val="009638E1"/>
    <w:rsid w:val="00963EE6"/>
    <w:rsid w:val="00963FC5"/>
    <w:rsid w:val="0096518B"/>
    <w:rsid w:val="00965356"/>
    <w:rsid w:val="009659F6"/>
    <w:rsid w:val="00965DC1"/>
    <w:rsid w:val="00965F30"/>
    <w:rsid w:val="00965FEE"/>
    <w:rsid w:val="009669DB"/>
    <w:rsid w:val="00966D0D"/>
    <w:rsid w:val="00966D46"/>
    <w:rsid w:val="00966D74"/>
    <w:rsid w:val="0096721E"/>
    <w:rsid w:val="009673A5"/>
    <w:rsid w:val="00967563"/>
    <w:rsid w:val="00970510"/>
    <w:rsid w:val="00970744"/>
    <w:rsid w:val="00970968"/>
    <w:rsid w:val="00970F7F"/>
    <w:rsid w:val="00971828"/>
    <w:rsid w:val="009720A8"/>
    <w:rsid w:val="0097275B"/>
    <w:rsid w:val="00973329"/>
    <w:rsid w:val="00973F8B"/>
    <w:rsid w:val="00973FB4"/>
    <w:rsid w:val="0097444B"/>
    <w:rsid w:val="00975F43"/>
    <w:rsid w:val="00976C48"/>
    <w:rsid w:val="00976E1A"/>
    <w:rsid w:val="0097707E"/>
    <w:rsid w:val="00977280"/>
    <w:rsid w:val="009775C8"/>
    <w:rsid w:val="00977F02"/>
    <w:rsid w:val="00980D5C"/>
    <w:rsid w:val="00981649"/>
    <w:rsid w:val="00982E72"/>
    <w:rsid w:val="00983033"/>
    <w:rsid w:val="009833EC"/>
    <w:rsid w:val="009834E2"/>
    <w:rsid w:val="009836F0"/>
    <w:rsid w:val="00983A58"/>
    <w:rsid w:val="00983FEE"/>
    <w:rsid w:val="00984287"/>
    <w:rsid w:val="00984A45"/>
    <w:rsid w:val="00984F74"/>
    <w:rsid w:val="0098535D"/>
    <w:rsid w:val="00985FBF"/>
    <w:rsid w:val="00986691"/>
    <w:rsid w:val="00986B9C"/>
    <w:rsid w:val="00986D25"/>
    <w:rsid w:val="009878EC"/>
    <w:rsid w:val="00987C25"/>
    <w:rsid w:val="009906DE"/>
    <w:rsid w:val="00990A72"/>
    <w:rsid w:val="00990EEE"/>
    <w:rsid w:val="0099305F"/>
    <w:rsid w:val="0099497D"/>
    <w:rsid w:val="00995202"/>
    <w:rsid w:val="00995929"/>
    <w:rsid w:val="00996682"/>
    <w:rsid w:val="009967CF"/>
    <w:rsid w:val="00996CF7"/>
    <w:rsid w:val="00996D51"/>
    <w:rsid w:val="009A0D63"/>
    <w:rsid w:val="009A141E"/>
    <w:rsid w:val="009A1483"/>
    <w:rsid w:val="009A21F0"/>
    <w:rsid w:val="009A24DD"/>
    <w:rsid w:val="009A2EA0"/>
    <w:rsid w:val="009A3767"/>
    <w:rsid w:val="009A379E"/>
    <w:rsid w:val="009A3BB7"/>
    <w:rsid w:val="009A403B"/>
    <w:rsid w:val="009A4EFF"/>
    <w:rsid w:val="009A7428"/>
    <w:rsid w:val="009A7F9D"/>
    <w:rsid w:val="009B01BD"/>
    <w:rsid w:val="009B1131"/>
    <w:rsid w:val="009B12D0"/>
    <w:rsid w:val="009B159B"/>
    <w:rsid w:val="009B276A"/>
    <w:rsid w:val="009B32E2"/>
    <w:rsid w:val="009B38BC"/>
    <w:rsid w:val="009B43C2"/>
    <w:rsid w:val="009B4B74"/>
    <w:rsid w:val="009B4BB3"/>
    <w:rsid w:val="009B4C15"/>
    <w:rsid w:val="009B56C4"/>
    <w:rsid w:val="009B58B1"/>
    <w:rsid w:val="009B690A"/>
    <w:rsid w:val="009B71F7"/>
    <w:rsid w:val="009B7463"/>
    <w:rsid w:val="009C0CC9"/>
    <w:rsid w:val="009C0DA0"/>
    <w:rsid w:val="009C136D"/>
    <w:rsid w:val="009C1DC1"/>
    <w:rsid w:val="009C208B"/>
    <w:rsid w:val="009C28D5"/>
    <w:rsid w:val="009C3208"/>
    <w:rsid w:val="009C3E79"/>
    <w:rsid w:val="009C433D"/>
    <w:rsid w:val="009C581F"/>
    <w:rsid w:val="009C663A"/>
    <w:rsid w:val="009C6C9E"/>
    <w:rsid w:val="009C728D"/>
    <w:rsid w:val="009C7BA6"/>
    <w:rsid w:val="009C7FB8"/>
    <w:rsid w:val="009D0421"/>
    <w:rsid w:val="009D0A33"/>
    <w:rsid w:val="009D0ABD"/>
    <w:rsid w:val="009D25E4"/>
    <w:rsid w:val="009D2AB9"/>
    <w:rsid w:val="009D372F"/>
    <w:rsid w:val="009D3745"/>
    <w:rsid w:val="009D3EAD"/>
    <w:rsid w:val="009D5207"/>
    <w:rsid w:val="009D52E5"/>
    <w:rsid w:val="009D54B5"/>
    <w:rsid w:val="009D556D"/>
    <w:rsid w:val="009D5A71"/>
    <w:rsid w:val="009D5E51"/>
    <w:rsid w:val="009D6B8F"/>
    <w:rsid w:val="009D707F"/>
    <w:rsid w:val="009D7470"/>
    <w:rsid w:val="009D7AB0"/>
    <w:rsid w:val="009E01BC"/>
    <w:rsid w:val="009E09A8"/>
    <w:rsid w:val="009E1004"/>
    <w:rsid w:val="009E2204"/>
    <w:rsid w:val="009E226A"/>
    <w:rsid w:val="009E22AB"/>
    <w:rsid w:val="009E26AD"/>
    <w:rsid w:val="009E2C46"/>
    <w:rsid w:val="009E2CC8"/>
    <w:rsid w:val="009E306D"/>
    <w:rsid w:val="009E35A3"/>
    <w:rsid w:val="009E3821"/>
    <w:rsid w:val="009E3BE9"/>
    <w:rsid w:val="009E3BFA"/>
    <w:rsid w:val="009E44AF"/>
    <w:rsid w:val="009E4890"/>
    <w:rsid w:val="009E4C80"/>
    <w:rsid w:val="009E514C"/>
    <w:rsid w:val="009E53D6"/>
    <w:rsid w:val="009E5586"/>
    <w:rsid w:val="009E5F55"/>
    <w:rsid w:val="009E6944"/>
    <w:rsid w:val="009E7278"/>
    <w:rsid w:val="009E74CF"/>
    <w:rsid w:val="009E7782"/>
    <w:rsid w:val="009E7DDB"/>
    <w:rsid w:val="009F04F4"/>
    <w:rsid w:val="009F0617"/>
    <w:rsid w:val="009F0920"/>
    <w:rsid w:val="009F1774"/>
    <w:rsid w:val="009F1A10"/>
    <w:rsid w:val="009F1AC5"/>
    <w:rsid w:val="009F294C"/>
    <w:rsid w:val="009F3208"/>
    <w:rsid w:val="009F4C59"/>
    <w:rsid w:val="009F4D97"/>
    <w:rsid w:val="009F5817"/>
    <w:rsid w:val="009F7395"/>
    <w:rsid w:val="009F7A10"/>
    <w:rsid w:val="009F7A6F"/>
    <w:rsid w:val="00A008EA"/>
    <w:rsid w:val="00A0307E"/>
    <w:rsid w:val="00A033CE"/>
    <w:rsid w:val="00A037A1"/>
    <w:rsid w:val="00A038D0"/>
    <w:rsid w:val="00A03BA4"/>
    <w:rsid w:val="00A03BF0"/>
    <w:rsid w:val="00A04032"/>
    <w:rsid w:val="00A04A79"/>
    <w:rsid w:val="00A05979"/>
    <w:rsid w:val="00A059B9"/>
    <w:rsid w:val="00A10452"/>
    <w:rsid w:val="00A10EE4"/>
    <w:rsid w:val="00A11C7A"/>
    <w:rsid w:val="00A13B11"/>
    <w:rsid w:val="00A156AE"/>
    <w:rsid w:val="00A16390"/>
    <w:rsid w:val="00A169AC"/>
    <w:rsid w:val="00A16D82"/>
    <w:rsid w:val="00A16EF8"/>
    <w:rsid w:val="00A171E7"/>
    <w:rsid w:val="00A17A76"/>
    <w:rsid w:val="00A17F8D"/>
    <w:rsid w:val="00A20421"/>
    <w:rsid w:val="00A2051F"/>
    <w:rsid w:val="00A205E1"/>
    <w:rsid w:val="00A2077F"/>
    <w:rsid w:val="00A20C67"/>
    <w:rsid w:val="00A20E03"/>
    <w:rsid w:val="00A21F41"/>
    <w:rsid w:val="00A2257E"/>
    <w:rsid w:val="00A231FD"/>
    <w:rsid w:val="00A2378B"/>
    <w:rsid w:val="00A237FD"/>
    <w:rsid w:val="00A240B9"/>
    <w:rsid w:val="00A24FCB"/>
    <w:rsid w:val="00A25302"/>
    <w:rsid w:val="00A25437"/>
    <w:rsid w:val="00A254C2"/>
    <w:rsid w:val="00A263E0"/>
    <w:rsid w:val="00A263FC"/>
    <w:rsid w:val="00A26685"/>
    <w:rsid w:val="00A26B8F"/>
    <w:rsid w:val="00A26D76"/>
    <w:rsid w:val="00A26F15"/>
    <w:rsid w:val="00A26FBA"/>
    <w:rsid w:val="00A2796C"/>
    <w:rsid w:val="00A27E95"/>
    <w:rsid w:val="00A313DD"/>
    <w:rsid w:val="00A31433"/>
    <w:rsid w:val="00A31C98"/>
    <w:rsid w:val="00A31F68"/>
    <w:rsid w:val="00A32731"/>
    <w:rsid w:val="00A33C59"/>
    <w:rsid w:val="00A34586"/>
    <w:rsid w:val="00A34C8F"/>
    <w:rsid w:val="00A35515"/>
    <w:rsid w:val="00A357D6"/>
    <w:rsid w:val="00A35E51"/>
    <w:rsid w:val="00A36465"/>
    <w:rsid w:val="00A36C04"/>
    <w:rsid w:val="00A36C39"/>
    <w:rsid w:val="00A374C5"/>
    <w:rsid w:val="00A37A78"/>
    <w:rsid w:val="00A40069"/>
    <w:rsid w:val="00A40502"/>
    <w:rsid w:val="00A40A97"/>
    <w:rsid w:val="00A41176"/>
    <w:rsid w:val="00A41C90"/>
    <w:rsid w:val="00A41D1E"/>
    <w:rsid w:val="00A425F4"/>
    <w:rsid w:val="00A434AB"/>
    <w:rsid w:val="00A43B44"/>
    <w:rsid w:val="00A44235"/>
    <w:rsid w:val="00A45BDE"/>
    <w:rsid w:val="00A462E4"/>
    <w:rsid w:val="00A46543"/>
    <w:rsid w:val="00A466BC"/>
    <w:rsid w:val="00A46858"/>
    <w:rsid w:val="00A46989"/>
    <w:rsid w:val="00A47A19"/>
    <w:rsid w:val="00A502D2"/>
    <w:rsid w:val="00A5136B"/>
    <w:rsid w:val="00A51E2D"/>
    <w:rsid w:val="00A52219"/>
    <w:rsid w:val="00A52756"/>
    <w:rsid w:val="00A52A2A"/>
    <w:rsid w:val="00A53A9F"/>
    <w:rsid w:val="00A540E5"/>
    <w:rsid w:val="00A5455B"/>
    <w:rsid w:val="00A5461D"/>
    <w:rsid w:val="00A54A4F"/>
    <w:rsid w:val="00A54CEF"/>
    <w:rsid w:val="00A5702F"/>
    <w:rsid w:val="00A5730F"/>
    <w:rsid w:val="00A5739F"/>
    <w:rsid w:val="00A57AA1"/>
    <w:rsid w:val="00A613F4"/>
    <w:rsid w:val="00A61BD1"/>
    <w:rsid w:val="00A61F90"/>
    <w:rsid w:val="00A621C8"/>
    <w:rsid w:val="00A62863"/>
    <w:rsid w:val="00A6365E"/>
    <w:rsid w:val="00A643E8"/>
    <w:rsid w:val="00A64A00"/>
    <w:rsid w:val="00A64A85"/>
    <w:rsid w:val="00A64D35"/>
    <w:rsid w:val="00A6552A"/>
    <w:rsid w:val="00A655C3"/>
    <w:rsid w:val="00A65BEA"/>
    <w:rsid w:val="00A65CC0"/>
    <w:rsid w:val="00A66BB3"/>
    <w:rsid w:val="00A66FDA"/>
    <w:rsid w:val="00A7011E"/>
    <w:rsid w:val="00A703CE"/>
    <w:rsid w:val="00A7080F"/>
    <w:rsid w:val="00A72169"/>
    <w:rsid w:val="00A7253D"/>
    <w:rsid w:val="00A72E27"/>
    <w:rsid w:val="00A73548"/>
    <w:rsid w:val="00A73C38"/>
    <w:rsid w:val="00A73F34"/>
    <w:rsid w:val="00A74996"/>
    <w:rsid w:val="00A755AD"/>
    <w:rsid w:val="00A75B79"/>
    <w:rsid w:val="00A75E33"/>
    <w:rsid w:val="00A761E4"/>
    <w:rsid w:val="00A769A2"/>
    <w:rsid w:val="00A7738C"/>
    <w:rsid w:val="00A80106"/>
    <w:rsid w:val="00A815FA"/>
    <w:rsid w:val="00A81614"/>
    <w:rsid w:val="00A81A10"/>
    <w:rsid w:val="00A81C43"/>
    <w:rsid w:val="00A831D6"/>
    <w:rsid w:val="00A84C51"/>
    <w:rsid w:val="00A84C85"/>
    <w:rsid w:val="00A84EC6"/>
    <w:rsid w:val="00A85069"/>
    <w:rsid w:val="00A8541A"/>
    <w:rsid w:val="00A85802"/>
    <w:rsid w:val="00A862B0"/>
    <w:rsid w:val="00A863F2"/>
    <w:rsid w:val="00A8649E"/>
    <w:rsid w:val="00A868BB"/>
    <w:rsid w:val="00A878F0"/>
    <w:rsid w:val="00A87BA3"/>
    <w:rsid w:val="00A87C01"/>
    <w:rsid w:val="00A90906"/>
    <w:rsid w:val="00A91764"/>
    <w:rsid w:val="00A93065"/>
    <w:rsid w:val="00A934D5"/>
    <w:rsid w:val="00A9363C"/>
    <w:rsid w:val="00A93DF6"/>
    <w:rsid w:val="00A94BA5"/>
    <w:rsid w:val="00A94C61"/>
    <w:rsid w:val="00A94D91"/>
    <w:rsid w:val="00A966CE"/>
    <w:rsid w:val="00A966DE"/>
    <w:rsid w:val="00A96A4B"/>
    <w:rsid w:val="00A9726E"/>
    <w:rsid w:val="00A97FB7"/>
    <w:rsid w:val="00AA0163"/>
    <w:rsid w:val="00AA0663"/>
    <w:rsid w:val="00AA082C"/>
    <w:rsid w:val="00AA0CB1"/>
    <w:rsid w:val="00AA18B4"/>
    <w:rsid w:val="00AA2128"/>
    <w:rsid w:val="00AA2BAA"/>
    <w:rsid w:val="00AA2BB8"/>
    <w:rsid w:val="00AA30DD"/>
    <w:rsid w:val="00AA32BA"/>
    <w:rsid w:val="00AA32C3"/>
    <w:rsid w:val="00AA3308"/>
    <w:rsid w:val="00AA34E7"/>
    <w:rsid w:val="00AA35BE"/>
    <w:rsid w:val="00AA38E5"/>
    <w:rsid w:val="00AA3BF7"/>
    <w:rsid w:val="00AA3D7C"/>
    <w:rsid w:val="00AA4231"/>
    <w:rsid w:val="00AA4BB4"/>
    <w:rsid w:val="00AA4CFD"/>
    <w:rsid w:val="00AA5A43"/>
    <w:rsid w:val="00AA663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2AB8"/>
    <w:rsid w:val="00AB2B3B"/>
    <w:rsid w:val="00AB37A7"/>
    <w:rsid w:val="00AB4932"/>
    <w:rsid w:val="00AB499E"/>
    <w:rsid w:val="00AB4A95"/>
    <w:rsid w:val="00AB4B98"/>
    <w:rsid w:val="00AB5340"/>
    <w:rsid w:val="00AB5736"/>
    <w:rsid w:val="00AB585A"/>
    <w:rsid w:val="00AB65A3"/>
    <w:rsid w:val="00AB6B5D"/>
    <w:rsid w:val="00AB772F"/>
    <w:rsid w:val="00AC03D5"/>
    <w:rsid w:val="00AC10F3"/>
    <w:rsid w:val="00AC1C40"/>
    <w:rsid w:val="00AC1EF2"/>
    <w:rsid w:val="00AC2053"/>
    <w:rsid w:val="00AC2AD2"/>
    <w:rsid w:val="00AC31F6"/>
    <w:rsid w:val="00AC3F69"/>
    <w:rsid w:val="00AC4CED"/>
    <w:rsid w:val="00AC4F14"/>
    <w:rsid w:val="00AC58CA"/>
    <w:rsid w:val="00AC5B6B"/>
    <w:rsid w:val="00AC66C2"/>
    <w:rsid w:val="00AC7A05"/>
    <w:rsid w:val="00AC7C2F"/>
    <w:rsid w:val="00AD2D07"/>
    <w:rsid w:val="00AD334B"/>
    <w:rsid w:val="00AD3CC8"/>
    <w:rsid w:val="00AD4037"/>
    <w:rsid w:val="00AD4E88"/>
    <w:rsid w:val="00AD4F64"/>
    <w:rsid w:val="00AD4FFA"/>
    <w:rsid w:val="00AD57E2"/>
    <w:rsid w:val="00AD5B29"/>
    <w:rsid w:val="00AD6D20"/>
    <w:rsid w:val="00AD6E55"/>
    <w:rsid w:val="00AD7D54"/>
    <w:rsid w:val="00AE0363"/>
    <w:rsid w:val="00AE04B2"/>
    <w:rsid w:val="00AE0D42"/>
    <w:rsid w:val="00AE1D38"/>
    <w:rsid w:val="00AE24A3"/>
    <w:rsid w:val="00AE253B"/>
    <w:rsid w:val="00AE33B8"/>
    <w:rsid w:val="00AE402A"/>
    <w:rsid w:val="00AE4CE7"/>
    <w:rsid w:val="00AE53BB"/>
    <w:rsid w:val="00AE53EC"/>
    <w:rsid w:val="00AE5BED"/>
    <w:rsid w:val="00AE72C8"/>
    <w:rsid w:val="00AF0D16"/>
    <w:rsid w:val="00AF0D7A"/>
    <w:rsid w:val="00AF120C"/>
    <w:rsid w:val="00AF1C10"/>
    <w:rsid w:val="00AF20BF"/>
    <w:rsid w:val="00AF21AB"/>
    <w:rsid w:val="00AF29DD"/>
    <w:rsid w:val="00AF2D8F"/>
    <w:rsid w:val="00AF2DE7"/>
    <w:rsid w:val="00AF3DBB"/>
    <w:rsid w:val="00AF44FB"/>
    <w:rsid w:val="00AF4C2F"/>
    <w:rsid w:val="00AF5BDA"/>
    <w:rsid w:val="00AF5F61"/>
    <w:rsid w:val="00AF64C7"/>
    <w:rsid w:val="00AF71E4"/>
    <w:rsid w:val="00AF7468"/>
    <w:rsid w:val="00AF79E7"/>
    <w:rsid w:val="00AF7FDC"/>
    <w:rsid w:val="00B00252"/>
    <w:rsid w:val="00B003FE"/>
    <w:rsid w:val="00B0057D"/>
    <w:rsid w:val="00B00F34"/>
    <w:rsid w:val="00B030E5"/>
    <w:rsid w:val="00B03A95"/>
    <w:rsid w:val="00B04496"/>
    <w:rsid w:val="00B0511D"/>
    <w:rsid w:val="00B05213"/>
    <w:rsid w:val="00B060A3"/>
    <w:rsid w:val="00B073BF"/>
    <w:rsid w:val="00B104E8"/>
    <w:rsid w:val="00B108BC"/>
    <w:rsid w:val="00B11B7B"/>
    <w:rsid w:val="00B1249F"/>
    <w:rsid w:val="00B14CD4"/>
    <w:rsid w:val="00B156C6"/>
    <w:rsid w:val="00B163E0"/>
    <w:rsid w:val="00B16712"/>
    <w:rsid w:val="00B16DA5"/>
    <w:rsid w:val="00B172AD"/>
    <w:rsid w:val="00B17E3F"/>
    <w:rsid w:val="00B2060B"/>
    <w:rsid w:val="00B20B30"/>
    <w:rsid w:val="00B2161C"/>
    <w:rsid w:val="00B216A1"/>
    <w:rsid w:val="00B216F1"/>
    <w:rsid w:val="00B224EC"/>
    <w:rsid w:val="00B231EE"/>
    <w:rsid w:val="00B2323C"/>
    <w:rsid w:val="00B23BC9"/>
    <w:rsid w:val="00B2400D"/>
    <w:rsid w:val="00B24380"/>
    <w:rsid w:val="00B24653"/>
    <w:rsid w:val="00B2491D"/>
    <w:rsid w:val="00B24AC5"/>
    <w:rsid w:val="00B24F03"/>
    <w:rsid w:val="00B250AA"/>
    <w:rsid w:val="00B252F0"/>
    <w:rsid w:val="00B25632"/>
    <w:rsid w:val="00B25ED9"/>
    <w:rsid w:val="00B25EF3"/>
    <w:rsid w:val="00B266C3"/>
    <w:rsid w:val="00B26EA0"/>
    <w:rsid w:val="00B270D4"/>
    <w:rsid w:val="00B30117"/>
    <w:rsid w:val="00B307D7"/>
    <w:rsid w:val="00B3145E"/>
    <w:rsid w:val="00B3148F"/>
    <w:rsid w:val="00B31495"/>
    <w:rsid w:val="00B321E7"/>
    <w:rsid w:val="00B32454"/>
    <w:rsid w:val="00B32672"/>
    <w:rsid w:val="00B32F22"/>
    <w:rsid w:val="00B332BE"/>
    <w:rsid w:val="00B359C0"/>
    <w:rsid w:val="00B36CE1"/>
    <w:rsid w:val="00B3762F"/>
    <w:rsid w:val="00B376AD"/>
    <w:rsid w:val="00B37BF9"/>
    <w:rsid w:val="00B37C88"/>
    <w:rsid w:val="00B37E39"/>
    <w:rsid w:val="00B401B4"/>
    <w:rsid w:val="00B4086F"/>
    <w:rsid w:val="00B40CEB"/>
    <w:rsid w:val="00B41398"/>
    <w:rsid w:val="00B41595"/>
    <w:rsid w:val="00B4161D"/>
    <w:rsid w:val="00B421EA"/>
    <w:rsid w:val="00B425D6"/>
    <w:rsid w:val="00B429F0"/>
    <w:rsid w:val="00B42CAB"/>
    <w:rsid w:val="00B43715"/>
    <w:rsid w:val="00B4415C"/>
    <w:rsid w:val="00B4462F"/>
    <w:rsid w:val="00B44D10"/>
    <w:rsid w:val="00B451DD"/>
    <w:rsid w:val="00B45C15"/>
    <w:rsid w:val="00B46176"/>
    <w:rsid w:val="00B508F5"/>
    <w:rsid w:val="00B512A8"/>
    <w:rsid w:val="00B51748"/>
    <w:rsid w:val="00B5217E"/>
    <w:rsid w:val="00B52D50"/>
    <w:rsid w:val="00B53376"/>
    <w:rsid w:val="00B53CC3"/>
    <w:rsid w:val="00B546EA"/>
    <w:rsid w:val="00B55B7F"/>
    <w:rsid w:val="00B5627B"/>
    <w:rsid w:val="00B56D67"/>
    <w:rsid w:val="00B570A2"/>
    <w:rsid w:val="00B572E9"/>
    <w:rsid w:val="00B574F2"/>
    <w:rsid w:val="00B60734"/>
    <w:rsid w:val="00B61C54"/>
    <w:rsid w:val="00B622CE"/>
    <w:rsid w:val="00B632F2"/>
    <w:rsid w:val="00B6384C"/>
    <w:rsid w:val="00B6449A"/>
    <w:rsid w:val="00B65517"/>
    <w:rsid w:val="00B65E35"/>
    <w:rsid w:val="00B66EFF"/>
    <w:rsid w:val="00B6716E"/>
    <w:rsid w:val="00B67392"/>
    <w:rsid w:val="00B70415"/>
    <w:rsid w:val="00B708A3"/>
    <w:rsid w:val="00B71A15"/>
    <w:rsid w:val="00B7245D"/>
    <w:rsid w:val="00B734AA"/>
    <w:rsid w:val="00B73AEA"/>
    <w:rsid w:val="00B73AF4"/>
    <w:rsid w:val="00B74E06"/>
    <w:rsid w:val="00B75512"/>
    <w:rsid w:val="00B75AE7"/>
    <w:rsid w:val="00B75D7C"/>
    <w:rsid w:val="00B7675C"/>
    <w:rsid w:val="00B76913"/>
    <w:rsid w:val="00B76945"/>
    <w:rsid w:val="00B7705E"/>
    <w:rsid w:val="00B77578"/>
    <w:rsid w:val="00B81618"/>
    <w:rsid w:val="00B8185B"/>
    <w:rsid w:val="00B83392"/>
    <w:rsid w:val="00B8392B"/>
    <w:rsid w:val="00B83D63"/>
    <w:rsid w:val="00B847A2"/>
    <w:rsid w:val="00B84898"/>
    <w:rsid w:val="00B85017"/>
    <w:rsid w:val="00B8545C"/>
    <w:rsid w:val="00B86055"/>
    <w:rsid w:val="00B86280"/>
    <w:rsid w:val="00B86CA3"/>
    <w:rsid w:val="00B86D0A"/>
    <w:rsid w:val="00B87745"/>
    <w:rsid w:val="00B90319"/>
    <w:rsid w:val="00B913C9"/>
    <w:rsid w:val="00B91537"/>
    <w:rsid w:val="00B915AC"/>
    <w:rsid w:val="00B91827"/>
    <w:rsid w:val="00B91848"/>
    <w:rsid w:val="00B92049"/>
    <w:rsid w:val="00B92A20"/>
    <w:rsid w:val="00B933CA"/>
    <w:rsid w:val="00B93B2A"/>
    <w:rsid w:val="00B93ED9"/>
    <w:rsid w:val="00B93F7A"/>
    <w:rsid w:val="00B94213"/>
    <w:rsid w:val="00B949C6"/>
    <w:rsid w:val="00B94B4C"/>
    <w:rsid w:val="00B95F28"/>
    <w:rsid w:val="00B96008"/>
    <w:rsid w:val="00B96231"/>
    <w:rsid w:val="00B96D52"/>
    <w:rsid w:val="00B977A7"/>
    <w:rsid w:val="00BA024C"/>
    <w:rsid w:val="00BA13E0"/>
    <w:rsid w:val="00BA250E"/>
    <w:rsid w:val="00BA32B0"/>
    <w:rsid w:val="00BA4309"/>
    <w:rsid w:val="00BA43A1"/>
    <w:rsid w:val="00BA492A"/>
    <w:rsid w:val="00BA547F"/>
    <w:rsid w:val="00BA576B"/>
    <w:rsid w:val="00BA602B"/>
    <w:rsid w:val="00BA69B0"/>
    <w:rsid w:val="00BA6D98"/>
    <w:rsid w:val="00BA7381"/>
    <w:rsid w:val="00BA7585"/>
    <w:rsid w:val="00BA7D0F"/>
    <w:rsid w:val="00BB13AD"/>
    <w:rsid w:val="00BB14E9"/>
    <w:rsid w:val="00BB1A07"/>
    <w:rsid w:val="00BB23C2"/>
    <w:rsid w:val="00BB340F"/>
    <w:rsid w:val="00BB39F9"/>
    <w:rsid w:val="00BB3AE4"/>
    <w:rsid w:val="00BB3EF6"/>
    <w:rsid w:val="00BB4988"/>
    <w:rsid w:val="00BB4F1A"/>
    <w:rsid w:val="00BB528E"/>
    <w:rsid w:val="00BB6C0F"/>
    <w:rsid w:val="00BB72F9"/>
    <w:rsid w:val="00BB7841"/>
    <w:rsid w:val="00BC0649"/>
    <w:rsid w:val="00BC091A"/>
    <w:rsid w:val="00BC103F"/>
    <w:rsid w:val="00BC1398"/>
    <w:rsid w:val="00BC1B5A"/>
    <w:rsid w:val="00BC1BF5"/>
    <w:rsid w:val="00BC1FD3"/>
    <w:rsid w:val="00BC20CE"/>
    <w:rsid w:val="00BC28E2"/>
    <w:rsid w:val="00BC294C"/>
    <w:rsid w:val="00BC2AA4"/>
    <w:rsid w:val="00BC2E6B"/>
    <w:rsid w:val="00BC311C"/>
    <w:rsid w:val="00BC3181"/>
    <w:rsid w:val="00BC3BFE"/>
    <w:rsid w:val="00BC5328"/>
    <w:rsid w:val="00BC55E6"/>
    <w:rsid w:val="00BC5828"/>
    <w:rsid w:val="00BC61B0"/>
    <w:rsid w:val="00BC66A6"/>
    <w:rsid w:val="00BC66F6"/>
    <w:rsid w:val="00BC6944"/>
    <w:rsid w:val="00BC6F03"/>
    <w:rsid w:val="00BC7E9A"/>
    <w:rsid w:val="00BD0350"/>
    <w:rsid w:val="00BD0C9B"/>
    <w:rsid w:val="00BD10C4"/>
    <w:rsid w:val="00BD1943"/>
    <w:rsid w:val="00BD30FA"/>
    <w:rsid w:val="00BD4CC7"/>
    <w:rsid w:val="00BD4CDE"/>
    <w:rsid w:val="00BD4D60"/>
    <w:rsid w:val="00BD5A69"/>
    <w:rsid w:val="00BD61C6"/>
    <w:rsid w:val="00BD6C62"/>
    <w:rsid w:val="00BD7FC5"/>
    <w:rsid w:val="00BE09D6"/>
    <w:rsid w:val="00BE1157"/>
    <w:rsid w:val="00BE2068"/>
    <w:rsid w:val="00BE2C8C"/>
    <w:rsid w:val="00BE4C2A"/>
    <w:rsid w:val="00BE5237"/>
    <w:rsid w:val="00BE5254"/>
    <w:rsid w:val="00BE5EC1"/>
    <w:rsid w:val="00BE64B6"/>
    <w:rsid w:val="00BE782D"/>
    <w:rsid w:val="00BF0A0D"/>
    <w:rsid w:val="00BF1173"/>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86"/>
    <w:rsid w:val="00C012DB"/>
    <w:rsid w:val="00C0139B"/>
    <w:rsid w:val="00C01434"/>
    <w:rsid w:val="00C02280"/>
    <w:rsid w:val="00C02966"/>
    <w:rsid w:val="00C02E6D"/>
    <w:rsid w:val="00C0306D"/>
    <w:rsid w:val="00C03133"/>
    <w:rsid w:val="00C031A7"/>
    <w:rsid w:val="00C0324B"/>
    <w:rsid w:val="00C035B0"/>
    <w:rsid w:val="00C036FE"/>
    <w:rsid w:val="00C0375D"/>
    <w:rsid w:val="00C06027"/>
    <w:rsid w:val="00C06DD7"/>
    <w:rsid w:val="00C070DE"/>
    <w:rsid w:val="00C07414"/>
    <w:rsid w:val="00C07477"/>
    <w:rsid w:val="00C078EE"/>
    <w:rsid w:val="00C07BC3"/>
    <w:rsid w:val="00C106E7"/>
    <w:rsid w:val="00C10AD5"/>
    <w:rsid w:val="00C10C58"/>
    <w:rsid w:val="00C10C5E"/>
    <w:rsid w:val="00C11150"/>
    <w:rsid w:val="00C11A34"/>
    <w:rsid w:val="00C11F3E"/>
    <w:rsid w:val="00C1275E"/>
    <w:rsid w:val="00C12C5E"/>
    <w:rsid w:val="00C12D0D"/>
    <w:rsid w:val="00C13626"/>
    <w:rsid w:val="00C13768"/>
    <w:rsid w:val="00C14DA0"/>
    <w:rsid w:val="00C14DA9"/>
    <w:rsid w:val="00C14DFB"/>
    <w:rsid w:val="00C15068"/>
    <w:rsid w:val="00C1671F"/>
    <w:rsid w:val="00C16964"/>
    <w:rsid w:val="00C16B54"/>
    <w:rsid w:val="00C20663"/>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DD5"/>
    <w:rsid w:val="00C26F9C"/>
    <w:rsid w:val="00C2796B"/>
    <w:rsid w:val="00C279FA"/>
    <w:rsid w:val="00C30E3A"/>
    <w:rsid w:val="00C326AD"/>
    <w:rsid w:val="00C3288C"/>
    <w:rsid w:val="00C32D2B"/>
    <w:rsid w:val="00C33393"/>
    <w:rsid w:val="00C343C2"/>
    <w:rsid w:val="00C3589E"/>
    <w:rsid w:val="00C35D7F"/>
    <w:rsid w:val="00C375B0"/>
    <w:rsid w:val="00C40086"/>
    <w:rsid w:val="00C402D4"/>
    <w:rsid w:val="00C40C9B"/>
    <w:rsid w:val="00C4275F"/>
    <w:rsid w:val="00C42C57"/>
    <w:rsid w:val="00C42C6A"/>
    <w:rsid w:val="00C4320A"/>
    <w:rsid w:val="00C43631"/>
    <w:rsid w:val="00C4371A"/>
    <w:rsid w:val="00C43748"/>
    <w:rsid w:val="00C437DB"/>
    <w:rsid w:val="00C43A15"/>
    <w:rsid w:val="00C4473A"/>
    <w:rsid w:val="00C44A94"/>
    <w:rsid w:val="00C44F4F"/>
    <w:rsid w:val="00C46AF0"/>
    <w:rsid w:val="00C476C3"/>
    <w:rsid w:val="00C47881"/>
    <w:rsid w:val="00C47CA2"/>
    <w:rsid w:val="00C504ED"/>
    <w:rsid w:val="00C50AF4"/>
    <w:rsid w:val="00C50C56"/>
    <w:rsid w:val="00C51375"/>
    <w:rsid w:val="00C5261B"/>
    <w:rsid w:val="00C52715"/>
    <w:rsid w:val="00C52716"/>
    <w:rsid w:val="00C52E42"/>
    <w:rsid w:val="00C54175"/>
    <w:rsid w:val="00C54206"/>
    <w:rsid w:val="00C54958"/>
    <w:rsid w:val="00C54B4B"/>
    <w:rsid w:val="00C550DE"/>
    <w:rsid w:val="00C55A4C"/>
    <w:rsid w:val="00C55EC9"/>
    <w:rsid w:val="00C55FB1"/>
    <w:rsid w:val="00C57403"/>
    <w:rsid w:val="00C60680"/>
    <w:rsid w:val="00C607BC"/>
    <w:rsid w:val="00C6088A"/>
    <w:rsid w:val="00C61011"/>
    <w:rsid w:val="00C61DE6"/>
    <w:rsid w:val="00C63E97"/>
    <w:rsid w:val="00C64416"/>
    <w:rsid w:val="00C6492E"/>
    <w:rsid w:val="00C649DC"/>
    <w:rsid w:val="00C64E68"/>
    <w:rsid w:val="00C65106"/>
    <w:rsid w:val="00C66C47"/>
    <w:rsid w:val="00C6709C"/>
    <w:rsid w:val="00C67631"/>
    <w:rsid w:val="00C705AF"/>
    <w:rsid w:val="00C70895"/>
    <w:rsid w:val="00C7192D"/>
    <w:rsid w:val="00C71B1C"/>
    <w:rsid w:val="00C7205A"/>
    <w:rsid w:val="00C72649"/>
    <w:rsid w:val="00C73739"/>
    <w:rsid w:val="00C73A0F"/>
    <w:rsid w:val="00C74F4B"/>
    <w:rsid w:val="00C75017"/>
    <w:rsid w:val="00C75196"/>
    <w:rsid w:val="00C752B1"/>
    <w:rsid w:val="00C7585B"/>
    <w:rsid w:val="00C75A0F"/>
    <w:rsid w:val="00C764E9"/>
    <w:rsid w:val="00C76BD0"/>
    <w:rsid w:val="00C7784C"/>
    <w:rsid w:val="00C77C64"/>
    <w:rsid w:val="00C77F97"/>
    <w:rsid w:val="00C80616"/>
    <w:rsid w:val="00C81796"/>
    <w:rsid w:val="00C82171"/>
    <w:rsid w:val="00C8224D"/>
    <w:rsid w:val="00C8287F"/>
    <w:rsid w:val="00C828E2"/>
    <w:rsid w:val="00C833F4"/>
    <w:rsid w:val="00C8357D"/>
    <w:rsid w:val="00C83C69"/>
    <w:rsid w:val="00C8433A"/>
    <w:rsid w:val="00C845AF"/>
    <w:rsid w:val="00C84DC3"/>
    <w:rsid w:val="00C86385"/>
    <w:rsid w:val="00C87D9F"/>
    <w:rsid w:val="00C9174E"/>
    <w:rsid w:val="00C91D94"/>
    <w:rsid w:val="00C9262A"/>
    <w:rsid w:val="00C92753"/>
    <w:rsid w:val="00C92F8B"/>
    <w:rsid w:val="00C930F0"/>
    <w:rsid w:val="00C9331A"/>
    <w:rsid w:val="00C93A4E"/>
    <w:rsid w:val="00C93D51"/>
    <w:rsid w:val="00C93F2B"/>
    <w:rsid w:val="00C95065"/>
    <w:rsid w:val="00C969AE"/>
    <w:rsid w:val="00C96A28"/>
    <w:rsid w:val="00C978CD"/>
    <w:rsid w:val="00CA0494"/>
    <w:rsid w:val="00CA0567"/>
    <w:rsid w:val="00CA092A"/>
    <w:rsid w:val="00CA0C90"/>
    <w:rsid w:val="00CA1AEA"/>
    <w:rsid w:val="00CA1FBB"/>
    <w:rsid w:val="00CA27CC"/>
    <w:rsid w:val="00CA2A05"/>
    <w:rsid w:val="00CA3585"/>
    <w:rsid w:val="00CA472D"/>
    <w:rsid w:val="00CA522B"/>
    <w:rsid w:val="00CA5572"/>
    <w:rsid w:val="00CA5AD4"/>
    <w:rsid w:val="00CA5F54"/>
    <w:rsid w:val="00CA6BE6"/>
    <w:rsid w:val="00CA7128"/>
    <w:rsid w:val="00CA7592"/>
    <w:rsid w:val="00CA7A9B"/>
    <w:rsid w:val="00CA7D58"/>
    <w:rsid w:val="00CB0591"/>
    <w:rsid w:val="00CB0709"/>
    <w:rsid w:val="00CB0906"/>
    <w:rsid w:val="00CB10DF"/>
    <w:rsid w:val="00CB1447"/>
    <w:rsid w:val="00CB1F78"/>
    <w:rsid w:val="00CB2585"/>
    <w:rsid w:val="00CB382E"/>
    <w:rsid w:val="00CB398C"/>
    <w:rsid w:val="00CB3AA9"/>
    <w:rsid w:val="00CB42C5"/>
    <w:rsid w:val="00CB42E6"/>
    <w:rsid w:val="00CB4668"/>
    <w:rsid w:val="00CB5F5A"/>
    <w:rsid w:val="00CB6795"/>
    <w:rsid w:val="00CB6AA7"/>
    <w:rsid w:val="00CC18B5"/>
    <w:rsid w:val="00CC2B18"/>
    <w:rsid w:val="00CC2E14"/>
    <w:rsid w:val="00CC30F3"/>
    <w:rsid w:val="00CC3395"/>
    <w:rsid w:val="00CC34D2"/>
    <w:rsid w:val="00CC3962"/>
    <w:rsid w:val="00CC472C"/>
    <w:rsid w:val="00CC5230"/>
    <w:rsid w:val="00CC640C"/>
    <w:rsid w:val="00CC6AAA"/>
    <w:rsid w:val="00CC6AD5"/>
    <w:rsid w:val="00CC6D78"/>
    <w:rsid w:val="00CC6F92"/>
    <w:rsid w:val="00CC6FD5"/>
    <w:rsid w:val="00CC7DF4"/>
    <w:rsid w:val="00CD0FA4"/>
    <w:rsid w:val="00CD1320"/>
    <w:rsid w:val="00CD1FB6"/>
    <w:rsid w:val="00CD23CD"/>
    <w:rsid w:val="00CD2A6A"/>
    <w:rsid w:val="00CD3AAB"/>
    <w:rsid w:val="00CD3BE7"/>
    <w:rsid w:val="00CD3C39"/>
    <w:rsid w:val="00CD44E1"/>
    <w:rsid w:val="00CD48D4"/>
    <w:rsid w:val="00CD4CC9"/>
    <w:rsid w:val="00CD4FC6"/>
    <w:rsid w:val="00CD5112"/>
    <w:rsid w:val="00CD60BF"/>
    <w:rsid w:val="00CD6317"/>
    <w:rsid w:val="00CD634F"/>
    <w:rsid w:val="00CD635F"/>
    <w:rsid w:val="00CD70FD"/>
    <w:rsid w:val="00CD7250"/>
    <w:rsid w:val="00CD7DF1"/>
    <w:rsid w:val="00CE0C1E"/>
    <w:rsid w:val="00CE0EA0"/>
    <w:rsid w:val="00CE1629"/>
    <w:rsid w:val="00CE34DB"/>
    <w:rsid w:val="00CE3A91"/>
    <w:rsid w:val="00CE429C"/>
    <w:rsid w:val="00CE5134"/>
    <w:rsid w:val="00CE557C"/>
    <w:rsid w:val="00CE5C0D"/>
    <w:rsid w:val="00CE66BD"/>
    <w:rsid w:val="00CF099D"/>
    <w:rsid w:val="00CF313D"/>
    <w:rsid w:val="00CF3163"/>
    <w:rsid w:val="00CF364C"/>
    <w:rsid w:val="00CF37C9"/>
    <w:rsid w:val="00CF3B7A"/>
    <w:rsid w:val="00CF3F2F"/>
    <w:rsid w:val="00CF45F7"/>
    <w:rsid w:val="00CF66C5"/>
    <w:rsid w:val="00CF7D62"/>
    <w:rsid w:val="00CF7F6D"/>
    <w:rsid w:val="00D003D8"/>
    <w:rsid w:val="00D005C9"/>
    <w:rsid w:val="00D007D4"/>
    <w:rsid w:val="00D00E93"/>
    <w:rsid w:val="00D00F41"/>
    <w:rsid w:val="00D01C02"/>
    <w:rsid w:val="00D02C63"/>
    <w:rsid w:val="00D0350F"/>
    <w:rsid w:val="00D03611"/>
    <w:rsid w:val="00D037A5"/>
    <w:rsid w:val="00D03B37"/>
    <w:rsid w:val="00D04599"/>
    <w:rsid w:val="00D04D97"/>
    <w:rsid w:val="00D0527D"/>
    <w:rsid w:val="00D06A9E"/>
    <w:rsid w:val="00D06AA0"/>
    <w:rsid w:val="00D07809"/>
    <w:rsid w:val="00D10759"/>
    <w:rsid w:val="00D11171"/>
    <w:rsid w:val="00D11357"/>
    <w:rsid w:val="00D113BC"/>
    <w:rsid w:val="00D118C1"/>
    <w:rsid w:val="00D118C4"/>
    <w:rsid w:val="00D118DF"/>
    <w:rsid w:val="00D12273"/>
    <w:rsid w:val="00D126D8"/>
    <w:rsid w:val="00D1300F"/>
    <w:rsid w:val="00D13806"/>
    <w:rsid w:val="00D1386A"/>
    <w:rsid w:val="00D13D25"/>
    <w:rsid w:val="00D14256"/>
    <w:rsid w:val="00D14EEA"/>
    <w:rsid w:val="00D15460"/>
    <w:rsid w:val="00D1590B"/>
    <w:rsid w:val="00D15BFA"/>
    <w:rsid w:val="00D16092"/>
    <w:rsid w:val="00D1622D"/>
    <w:rsid w:val="00D16287"/>
    <w:rsid w:val="00D16387"/>
    <w:rsid w:val="00D16622"/>
    <w:rsid w:val="00D16856"/>
    <w:rsid w:val="00D16B6B"/>
    <w:rsid w:val="00D1776E"/>
    <w:rsid w:val="00D17BCE"/>
    <w:rsid w:val="00D17D77"/>
    <w:rsid w:val="00D2079E"/>
    <w:rsid w:val="00D212CF"/>
    <w:rsid w:val="00D22087"/>
    <w:rsid w:val="00D22374"/>
    <w:rsid w:val="00D22F1F"/>
    <w:rsid w:val="00D22F89"/>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557"/>
    <w:rsid w:val="00D32CE6"/>
    <w:rsid w:val="00D348F2"/>
    <w:rsid w:val="00D34DBC"/>
    <w:rsid w:val="00D35464"/>
    <w:rsid w:val="00D35514"/>
    <w:rsid w:val="00D370F7"/>
    <w:rsid w:val="00D40662"/>
    <w:rsid w:val="00D42117"/>
    <w:rsid w:val="00D429E8"/>
    <w:rsid w:val="00D42AE1"/>
    <w:rsid w:val="00D4309C"/>
    <w:rsid w:val="00D4379D"/>
    <w:rsid w:val="00D438A9"/>
    <w:rsid w:val="00D44DA4"/>
    <w:rsid w:val="00D4538B"/>
    <w:rsid w:val="00D463FC"/>
    <w:rsid w:val="00D47335"/>
    <w:rsid w:val="00D47C12"/>
    <w:rsid w:val="00D503B8"/>
    <w:rsid w:val="00D52CEE"/>
    <w:rsid w:val="00D53012"/>
    <w:rsid w:val="00D5382E"/>
    <w:rsid w:val="00D541B4"/>
    <w:rsid w:val="00D546AA"/>
    <w:rsid w:val="00D549A9"/>
    <w:rsid w:val="00D549CD"/>
    <w:rsid w:val="00D55725"/>
    <w:rsid w:val="00D5594F"/>
    <w:rsid w:val="00D55ED4"/>
    <w:rsid w:val="00D56007"/>
    <w:rsid w:val="00D561ED"/>
    <w:rsid w:val="00D57416"/>
    <w:rsid w:val="00D611A3"/>
    <w:rsid w:val="00D61936"/>
    <w:rsid w:val="00D62DD4"/>
    <w:rsid w:val="00D62E80"/>
    <w:rsid w:val="00D6306D"/>
    <w:rsid w:val="00D634D7"/>
    <w:rsid w:val="00D636CB"/>
    <w:rsid w:val="00D637AA"/>
    <w:rsid w:val="00D63A97"/>
    <w:rsid w:val="00D63C8D"/>
    <w:rsid w:val="00D6453B"/>
    <w:rsid w:val="00D6457D"/>
    <w:rsid w:val="00D65AFA"/>
    <w:rsid w:val="00D66C84"/>
    <w:rsid w:val="00D6721C"/>
    <w:rsid w:val="00D673E9"/>
    <w:rsid w:val="00D677AD"/>
    <w:rsid w:val="00D6795B"/>
    <w:rsid w:val="00D70346"/>
    <w:rsid w:val="00D70768"/>
    <w:rsid w:val="00D708E2"/>
    <w:rsid w:val="00D71008"/>
    <w:rsid w:val="00D73535"/>
    <w:rsid w:val="00D73796"/>
    <w:rsid w:val="00D737D0"/>
    <w:rsid w:val="00D746C1"/>
    <w:rsid w:val="00D75A31"/>
    <w:rsid w:val="00D76F43"/>
    <w:rsid w:val="00D779FC"/>
    <w:rsid w:val="00D805D8"/>
    <w:rsid w:val="00D80926"/>
    <w:rsid w:val="00D80B2D"/>
    <w:rsid w:val="00D81923"/>
    <w:rsid w:val="00D82CCC"/>
    <w:rsid w:val="00D841D5"/>
    <w:rsid w:val="00D85614"/>
    <w:rsid w:val="00D866DD"/>
    <w:rsid w:val="00D868F5"/>
    <w:rsid w:val="00D86DA8"/>
    <w:rsid w:val="00D8702C"/>
    <w:rsid w:val="00D878A5"/>
    <w:rsid w:val="00D87C04"/>
    <w:rsid w:val="00D87CE8"/>
    <w:rsid w:val="00D87D70"/>
    <w:rsid w:val="00D87EC1"/>
    <w:rsid w:val="00D91249"/>
    <w:rsid w:val="00D9151B"/>
    <w:rsid w:val="00D91AFD"/>
    <w:rsid w:val="00D92297"/>
    <w:rsid w:val="00D923EE"/>
    <w:rsid w:val="00D926A5"/>
    <w:rsid w:val="00D928C3"/>
    <w:rsid w:val="00D92D7E"/>
    <w:rsid w:val="00D92F94"/>
    <w:rsid w:val="00D930FE"/>
    <w:rsid w:val="00D9322C"/>
    <w:rsid w:val="00D936A4"/>
    <w:rsid w:val="00D93A06"/>
    <w:rsid w:val="00D94605"/>
    <w:rsid w:val="00D948F4"/>
    <w:rsid w:val="00D95153"/>
    <w:rsid w:val="00D96283"/>
    <w:rsid w:val="00D96321"/>
    <w:rsid w:val="00D96926"/>
    <w:rsid w:val="00D97256"/>
    <w:rsid w:val="00DA00B6"/>
    <w:rsid w:val="00DA0563"/>
    <w:rsid w:val="00DA10C2"/>
    <w:rsid w:val="00DA1C7A"/>
    <w:rsid w:val="00DA2758"/>
    <w:rsid w:val="00DA2FE4"/>
    <w:rsid w:val="00DA3EC9"/>
    <w:rsid w:val="00DA3F15"/>
    <w:rsid w:val="00DA4123"/>
    <w:rsid w:val="00DA4247"/>
    <w:rsid w:val="00DA44B4"/>
    <w:rsid w:val="00DA4D24"/>
    <w:rsid w:val="00DA5516"/>
    <w:rsid w:val="00DA574F"/>
    <w:rsid w:val="00DA66E7"/>
    <w:rsid w:val="00DA6AC9"/>
    <w:rsid w:val="00DB187C"/>
    <w:rsid w:val="00DB1F26"/>
    <w:rsid w:val="00DB2721"/>
    <w:rsid w:val="00DB2931"/>
    <w:rsid w:val="00DB2C18"/>
    <w:rsid w:val="00DB36A2"/>
    <w:rsid w:val="00DB38EF"/>
    <w:rsid w:val="00DB3A57"/>
    <w:rsid w:val="00DB3D0D"/>
    <w:rsid w:val="00DB4276"/>
    <w:rsid w:val="00DB47F1"/>
    <w:rsid w:val="00DB5094"/>
    <w:rsid w:val="00DB6522"/>
    <w:rsid w:val="00DB6FB0"/>
    <w:rsid w:val="00DB6FD4"/>
    <w:rsid w:val="00DC0076"/>
    <w:rsid w:val="00DC19C3"/>
    <w:rsid w:val="00DC1A83"/>
    <w:rsid w:val="00DC1D6B"/>
    <w:rsid w:val="00DC266D"/>
    <w:rsid w:val="00DC3009"/>
    <w:rsid w:val="00DC36B9"/>
    <w:rsid w:val="00DC3F5E"/>
    <w:rsid w:val="00DC43FB"/>
    <w:rsid w:val="00DC4927"/>
    <w:rsid w:val="00DC6002"/>
    <w:rsid w:val="00DC626F"/>
    <w:rsid w:val="00DC67FC"/>
    <w:rsid w:val="00DC6E6F"/>
    <w:rsid w:val="00DC70CA"/>
    <w:rsid w:val="00DC71D8"/>
    <w:rsid w:val="00DC753A"/>
    <w:rsid w:val="00DC7A73"/>
    <w:rsid w:val="00DD08DD"/>
    <w:rsid w:val="00DD091F"/>
    <w:rsid w:val="00DD136E"/>
    <w:rsid w:val="00DD1B85"/>
    <w:rsid w:val="00DD29FE"/>
    <w:rsid w:val="00DD315A"/>
    <w:rsid w:val="00DD3283"/>
    <w:rsid w:val="00DD5A71"/>
    <w:rsid w:val="00DD6565"/>
    <w:rsid w:val="00DD6AAE"/>
    <w:rsid w:val="00DD6B5C"/>
    <w:rsid w:val="00DD6FB9"/>
    <w:rsid w:val="00DD6FF6"/>
    <w:rsid w:val="00DD71A3"/>
    <w:rsid w:val="00DD7213"/>
    <w:rsid w:val="00DD73EF"/>
    <w:rsid w:val="00DD7624"/>
    <w:rsid w:val="00DD7B4F"/>
    <w:rsid w:val="00DE112F"/>
    <w:rsid w:val="00DE1748"/>
    <w:rsid w:val="00DE19BA"/>
    <w:rsid w:val="00DE1E21"/>
    <w:rsid w:val="00DE2144"/>
    <w:rsid w:val="00DE2C93"/>
    <w:rsid w:val="00DE3037"/>
    <w:rsid w:val="00DE337B"/>
    <w:rsid w:val="00DE3926"/>
    <w:rsid w:val="00DE407A"/>
    <w:rsid w:val="00DE543E"/>
    <w:rsid w:val="00DE55F2"/>
    <w:rsid w:val="00DE5D72"/>
    <w:rsid w:val="00DE63FC"/>
    <w:rsid w:val="00DE6B99"/>
    <w:rsid w:val="00DF0534"/>
    <w:rsid w:val="00DF0ED1"/>
    <w:rsid w:val="00DF1040"/>
    <w:rsid w:val="00DF2846"/>
    <w:rsid w:val="00DF2A30"/>
    <w:rsid w:val="00DF2E83"/>
    <w:rsid w:val="00DF2F77"/>
    <w:rsid w:val="00DF322F"/>
    <w:rsid w:val="00DF36B9"/>
    <w:rsid w:val="00DF395A"/>
    <w:rsid w:val="00DF3BF3"/>
    <w:rsid w:val="00DF42D6"/>
    <w:rsid w:val="00DF494C"/>
    <w:rsid w:val="00DF530B"/>
    <w:rsid w:val="00DF57A6"/>
    <w:rsid w:val="00DF6606"/>
    <w:rsid w:val="00DF7B7D"/>
    <w:rsid w:val="00DF7F12"/>
    <w:rsid w:val="00E00601"/>
    <w:rsid w:val="00E01AA3"/>
    <w:rsid w:val="00E01FB2"/>
    <w:rsid w:val="00E02065"/>
    <w:rsid w:val="00E0216E"/>
    <w:rsid w:val="00E02807"/>
    <w:rsid w:val="00E02F34"/>
    <w:rsid w:val="00E03418"/>
    <w:rsid w:val="00E0455C"/>
    <w:rsid w:val="00E06A25"/>
    <w:rsid w:val="00E07F3C"/>
    <w:rsid w:val="00E11964"/>
    <w:rsid w:val="00E11D16"/>
    <w:rsid w:val="00E11F51"/>
    <w:rsid w:val="00E124CD"/>
    <w:rsid w:val="00E12CAB"/>
    <w:rsid w:val="00E12F75"/>
    <w:rsid w:val="00E13D12"/>
    <w:rsid w:val="00E14246"/>
    <w:rsid w:val="00E14886"/>
    <w:rsid w:val="00E14B45"/>
    <w:rsid w:val="00E14F85"/>
    <w:rsid w:val="00E15324"/>
    <w:rsid w:val="00E1578B"/>
    <w:rsid w:val="00E165D6"/>
    <w:rsid w:val="00E16ED0"/>
    <w:rsid w:val="00E17516"/>
    <w:rsid w:val="00E178D8"/>
    <w:rsid w:val="00E17A1C"/>
    <w:rsid w:val="00E20030"/>
    <w:rsid w:val="00E201AE"/>
    <w:rsid w:val="00E20913"/>
    <w:rsid w:val="00E2095E"/>
    <w:rsid w:val="00E20A20"/>
    <w:rsid w:val="00E22148"/>
    <w:rsid w:val="00E22A4C"/>
    <w:rsid w:val="00E23473"/>
    <w:rsid w:val="00E23BA7"/>
    <w:rsid w:val="00E252B8"/>
    <w:rsid w:val="00E25311"/>
    <w:rsid w:val="00E27005"/>
    <w:rsid w:val="00E27337"/>
    <w:rsid w:val="00E275E0"/>
    <w:rsid w:val="00E27854"/>
    <w:rsid w:val="00E27AF7"/>
    <w:rsid w:val="00E30111"/>
    <w:rsid w:val="00E30379"/>
    <w:rsid w:val="00E30704"/>
    <w:rsid w:val="00E30FC4"/>
    <w:rsid w:val="00E31539"/>
    <w:rsid w:val="00E326D5"/>
    <w:rsid w:val="00E32716"/>
    <w:rsid w:val="00E32730"/>
    <w:rsid w:val="00E33AE9"/>
    <w:rsid w:val="00E33CF0"/>
    <w:rsid w:val="00E3402E"/>
    <w:rsid w:val="00E34228"/>
    <w:rsid w:val="00E344AA"/>
    <w:rsid w:val="00E34AE0"/>
    <w:rsid w:val="00E35A0B"/>
    <w:rsid w:val="00E36A44"/>
    <w:rsid w:val="00E40027"/>
    <w:rsid w:val="00E40F7A"/>
    <w:rsid w:val="00E41024"/>
    <w:rsid w:val="00E41A04"/>
    <w:rsid w:val="00E41E40"/>
    <w:rsid w:val="00E428FF"/>
    <w:rsid w:val="00E42B4A"/>
    <w:rsid w:val="00E430C4"/>
    <w:rsid w:val="00E43471"/>
    <w:rsid w:val="00E44819"/>
    <w:rsid w:val="00E45A77"/>
    <w:rsid w:val="00E45CC8"/>
    <w:rsid w:val="00E473E7"/>
    <w:rsid w:val="00E47D23"/>
    <w:rsid w:val="00E50FA7"/>
    <w:rsid w:val="00E52120"/>
    <w:rsid w:val="00E527DB"/>
    <w:rsid w:val="00E52A96"/>
    <w:rsid w:val="00E52BCA"/>
    <w:rsid w:val="00E53673"/>
    <w:rsid w:val="00E5433A"/>
    <w:rsid w:val="00E54CE6"/>
    <w:rsid w:val="00E54D58"/>
    <w:rsid w:val="00E552ED"/>
    <w:rsid w:val="00E558B9"/>
    <w:rsid w:val="00E56A2B"/>
    <w:rsid w:val="00E56A9B"/>
    <w:rsid w:val="00E56CC2"/>
    <w:rsid w:val="00E60187"/>
    <w:rsid w:val="00E605A2"/>
    <w:rsid w:val="00E60FAA"/>
    <w:rsid w:val="00E62207"/>
    <w:rsid w:val="00E62BB1"/>
    <w:rsid w:val="00E639A8"/>
    <w:rsid w:val="00E63E2E"/>
    <w:rsid w:val="00E64548"/>
    <w:rsid w:val="00E667F3"/>
    <w:rsid w:val="00E67D25"/>
    <w:rsid w:val="00E67E1C"/>
    <w:rsid w:val="00E700C1"/>
    <w:rsid w:val="00E70D30"/>
    <w:rsid w:val="00E70E2E"/>
    <w:rsid w:val="00E7103A"/>
    <w:rsid w:val="00E71663"/>
    <w:rsid w:val="00E71783"/>
    <w:rsid w:val="00E72E14"/>
    <w:rsid w:val="00E732BC"/>
    <w:rsid w:val="00E73CF6"/>
    <w:rsid w:val="00E73F90"/>
    <w:rsid w:val="00E74E4A"/>
    <w:rsid w:val="00E75245"/>
    <w:rsid w:val="00E76FA9"/>
    <w:rsid w:val="00E76FAB"/>
    <w:rsid w:val="00E7710C"/>
    <w:rsid w:val="00E77508"/>
    <w:rsid w:val="00E803D5"/>
    <w:rsid w:val="00E804C5"/>
    <w:rsid w:val="00E808FC"/>
    <w:rsid w:val="00E80A43"/>
    <w:rsid w:val="00E80D8D"/>
    <w:rsid w:val="00E80DD2"/>
    <w:rsid w:val="00E82160"/>
    <w:rsid w:val="00E824B8"/>
    <w:rsid w:val="00E82EB1"/>
    <w:rsid w:val="00E83ECB"/>
    <w:rsid w:val="00E84406"/>
    <w:rsid w:val="00E84878"/>
    <w:rsid w:val="00E870BF"/>
    <w:rsid w:val="00E871F5"/>
    <w:rsid w:val="00E87D21"/>
    <w:rsid w:val="00E90347"/>
    <w:rsid w:val="00E907D8"/>
    <w:rsid w:val="00E9095C"/>
    <w:rsid w:val="00E90977"/>
    <w:rsid w:val="00E90A76"/>
    <w:rsid w:val="00E912DE"/>
    <w:rsid w:val="00E91309"/>
    <w:rsid w:val="00E91C92"/>
    <w:rsid w:val="00E92010"/>
    <w:rsid w:val="00E9248D"/>
    <w:rsid w:val="00E92F4C"/>
    <w:rsid w:val="00E945A6"/>
    <w:rsid w:val="00E95B3F"/>
    <w:rsid w:val="00E95B7B"/>
    <w:rsid w:val="00E95EA0"/>
    <w:rsid w:val="00E96D9D"/>
    <w:rsid w:val="00E97BAC"/>
    <w:rsid w:val="00EA1813"/>
    <w:rsid w:val="00EA24B2"/>
    <w:rsid w:val="00EA293D"/>
    <w:rsid w:val="00EA3448"/>
    <w:rsid w:val="00EA43C5"/>
    <w:rsid w:val="00EA43EB"/>
    <w:rsid w:val="00EA5EED"/>
    <w:rsid w:val="00EA6056"/>
    <w:rsid w:val="00EA6069"/>
    <w:rsid w:val="00EA6A52"/>
    <w:rsid w:val="00EA721D"/>
    <w:rsid w:val="00EA76F5"/>
    <w:rsid w:val="00EA7B3B"/>
    <w:rsid w:val="00EA7E3F"/>
    <w:rsid w:val="00EA7E81"/>
    <w:rsid w:val="00EB1576"/>
    <w:rsid w:val="00EB184D"/>
    <w:rsid w:val="00EB2082"/>
    <w:rsid w:val="00EB2230"/>
    <w:rsid w:val="00EB2536"/>
    <w:rsid w:val="00EB3E70"/>
    <w:rsid w:val="00EB4636"/>
    <w:rsid w:val="00EB4F77"/>
    <w:rsid w:val="00EB5733"/>
    <w:rsid w:val="00EB7272"/>
    <w:rsid w:val="00EC1934"/>
    <w:rsid w:val="00EC2719"/>
    <w:rsid w:val="00EC2C99"/>
    <w:rsid w:val="00EC5CFF"/>
    <w:rsid w:val="00ED06C9"/>
    <w:rsid w:val="00ED19EC"/>
    <w:rsid w:val="00ED29B3"/>
    <w:rsid w:val="00ED2E30"/>
    <w:rsid w:val="00ED395D"/>
    <w:rsid w:val="00ED45A0"/>
    <w:rsid w:val="00ED4C30"/>
    <w:rsid w:val="00ED5730"/>
    <w:rsid w:val="00ED6056"/>
    <w:rsid w:val="00ED63E0"/>
    <w:rsid w:val="00ED6998"/>
    <w:rsid w:val="00ED776B"/>
    <w:rsid w:val="00EE0486"/>
    <w:rsid w:val="00EE1547"/>
    <w:rsid w:val="00EE198F"/>
    <w:rsid w:val="00EE26C1"/>
    <w:rsid w:val="00EE28FD"/>
    <w:rsid w:val="00EE3140"/>
    <w:rsid w:val="00EE38A0"/>
    <w:rsid w:val="00EE5950"/>
    <w:rsid w:val="00EE7609"/>
    <w:rsid w:val="00EE7967"/>
    <w:rsid w:val="00EF0F32"/>
    <w:rsid w:val="00EF1508"/>
    <w:rsid w:val="00EF1F8B"/>
    <w:rsid w:val="00EF2C53"/>
    <w:rsid w:val="00EF4126"/>
    <w:rsid w:val="00EF42FF"/>
    <w:rsid w:val="00EF4F04"/>
    <w:rsid w:val="00EF5082"/>
    <w:rsid w:val="00EF6A3C"/>
    <w:rsid w:val="00EF6C9B"/>
    <w:rsid w:val="00EF732B"/>
    <w:rsid w:val="00F0019E"/>
    <w:rsid w:val="00F00200"/>
    <w:rsid w:val="00F0111E"/>
    <w:rsid w:val="00F01441"/>
    <w:rsid w:val="00F01862"/>
    <w:rsid w:val="00F02238"/>
    <w:rsid w:val="00F034F9"/>
    <w:rsid w:val="00F046F3"/>
    <w:rsid w:val="00F04C12"/>
    <w:rsid w:val="00F0573A"/>
    <w:rsid w:val="00F05B39"/>
    <w:rsid w:val="00F05BCC"/>
    <w:rsid w:val="00F05BE0"/>
    <w:rsid w:val="00F07772"/>
    <w:rsid w:val="00F0795E"/>
    <w:rsid w:val="00F07D13"/>
    <w:rsid w:val="00F10C20"/>
    <w:rsid w:val="00F10D8B"/>
    <w:rsid w:val="00F1123A"/>
    <w:rsid w:val="00F11436"/>
    <w:rsid w:val="00F11BC2"/>
    <w:rsid w:val="00F12215"/>
    <w:rsid w:val="00F12842"/>
    <w:rsid w:val="00F13968"/>
    <w:rsid w:val="00F13FDB"/>
    <w:rsid w:val="00F1408D"/>
    <w:rsid w:val="00F144C2"/>
    <w:rsid w:val="00F15540"/>
    <w:rsid w:val="00F16089"/>
    <w:rsid w:val="00F1641F"/>
    <w:rsid w:val="00F17022"/>
    <w:rsid w:val="00F209DF"/>
    <w:rsid w:val="00F20BA9"/>
    <w:rsid w:val="00F20F5B"/>
    <w:rsid w:val="00F23082"/>
    <w:rsid w:val="00F24200"/>
    <w:rsid w:val="00F24E4A"/>
    <w:rsid w:val="00F25B79"/>
    <w:rsid w:val="00F2619B"/>
    <w:rsid w:val="00F261FB"/>
    <w:rsid w:val="00F26BCA"/>
    <w:rsid w:val="00F27269"/>
    <w:rsid w:val="00F276C1"/>
    <w:rsid w:val="00F276EC"/>
    <w:rsid w:val="00F3012A"/>
    <w:rsid w:val="00F302BB"/>
    <w:rsid w:val="00F3059B"/>
    <w:rsid w:val="00F30808"/>
    <w:rsid w:val="00F30CDB"/>
    <w:rsid w:val="00F31402"/>
    <w:rsid w:val="00F3164A"/>
    <w:rsid w:val="00F31DAD"/>
    <w:rsid w:val="00F325D1"/>
    <w:rsid w:val="00F32E26"/>
    <w:rsid w:val="00F33078"/>
    <w:rsid w:val="00F33A2E"/>
    <w:rsid w:val="00F34341"/>
    <w:rsid w:val="00F34678"/>
    <w:rsid w:val="00F34AA0"/>
    <w:rsid w:val="00F3597D"/>
    <w:rsid w:val="00F3601A"/>
    <w:rsid w:val="00F36A79"/>
    <w:rsid w:val="00F3762E"/>
    <w:rsid w:val="00F400EB"/>
    <w:rsid w:val="00F40CC2"/>
    <w:rsid w:val="00F41856"/>
    <w:rsid w:val="00F41A0C"/>
    <w:rsid w:val="00F42612"/>
    <w:rsid w:val="00F42A0D"/>
    <w:rsid w:val="00F43343"/>
    <w:rsid w:val="00F439A8"/>
    <w:rsid w:val="00F44272"/>
    <w:rsid w:val="00F44924"/>
    <w:rsid w:val="00F44BA0"/>
    <w:rsid w:val="00F44EBB"/>
    <w:rsid w:val="00F45520"/>
    <w:rsid w:val="00F457D1"/>
    <w:rsid w:val="00F46497"/>
    <w:rsid w:val="00F47072"/>
    <w:rsid w:val="00F471C0"/>
    <w:rsid w:val="00F47662"/>
    <w:rsid w:val="00F479F0"/>
    <w:rsid w:val="00F501F8"/>
    <w:rsid w:val="00F505D7"/>
    <w:rsid w:val="00F50A7D"/>
    <w:rsid w:val="00F50CCB"/>
    <w:rsid w:val="00F52E12"/>
    <w:rsid w:val="00F5315B"/>
    <w:rsid w:val="00F541A4"/>
    <w:rsid w:val="00F54E90"/>
    <w:rsid w:val="00F5612E"/>
    <w:rsid w:val="00F57C87"/>
    <w:rsid w:val="00F57DA9"/>
    <w:rsid w:val="00F601E6"/>
    <w:rsid w:val="00F60659"/>
    <w:rsid w:val="00F6114C"/>
    <w:rsid w:val="00F61980"/>
    <w:rsid w:val="00F61BA1"/>
    <w:rsid w:val="00F622A9"/>
    <w:rsid w:val="00F63EAC"/>
    <w:rsid w:val="00F644BE"/>
    <w:rsid w:val="00F64CC7"/>
    <w:rsid w:val="00F64E41"/>
    <w:rsid w:val="00F6505E"/>
    <w:rsid w:val="00F659A1"/>
    <w:rsid w:val="00F6620E"/>
    <w:rsid w:val="00F66834"/>
    <w:rsid w:val="00F6776C"/>
    <w:rsid w:val="00F67D8B"/>
    <w:rsid w:val="00F70417"/>
    <w:rsid w:val="00F707B7"/>
    <w:rsid w:val="00F70858"/>
    <w:rsid w:val="00F70ADA"/>
    <w:rsid w:val="00F70C25"/>
    <w:rsid w:val="00F714F9"/>
    <w:rsid w:val="00F71914"/>
    <w:rsid w:val="00F72F6E"/>
    <w:rsid w:val="00F739F5"/>
    <w:rsid w:val="00F7429F"/>
    <w:rsid w:val="00F7470A"/>
    <w:rsid w:val="00F75001"/>
    <w:rsid w:val="00F755F9"/>
    <w:rsid w:val="00F75E65"/>
    <w:rsid w:val="00F76F32"/>
    <w:rsid w:val="00F77566"/>
    <w:rsid w:val="00F80280"/>
    <w:rsid w:val="00F802C0"/>
    <w:rsid w:val="00F80585"/>
    <w:rsid w:val="00F80707"/>
    <w:rsid w:val="00F80A8C"/>
    <w:rsid w:val="00F811CF"/>
    <w:rsid w:val="00F82A53"/>
    <w:rsid w:val="00F82CD4"/>
    <w:rsid w:val="00F83001"/>
    <w:rsid w:val="00F83CB7"/>
    <w:rsid w:val="00F84E8A"/>
    <w:rsid w:val="00F850B4"/>
    <w:rsid w:val="00F85399"/>
    <w:rsid w:val="00F85505"/>
    <w:rsid w:val="00F85E21"/>
    <w:rsid w:val="00F86C7E"/>
    <w:rsid w:val="00F86EA7"/>
    <w:rsid w:val="00F87123"/>
    <w:rsid w:val="00F902DF"/>
    <w:rsid w:val="00F90DD0"/>
    <w:rsid w:val="00F9105A"/>
    <w:rsid w:val="00F913E0"/>
    <w:rsid w:val="00F91C30"/>
    <w:rsid w:val="00F91C97"/>
    <w:rsid w:val="00F925EC"/>
    <w:rsid w:val="00F9301D"/>
    <w:rsid w:val="00F934D9"/>
    <w:rsid w:val="00F93650"/>
    <w:rsid w:val="00F9375A"/>
    <w:rsid w:val="00F944C6"/>
    <w:rsid w:val="00F947FA"/>
    <w:rsid w:val="00F95030"/>
    <w:rsid w:val="00F95436"/>
    <w:rsid w:val="00F95921"/>
    <w:rsid w:val="00F959A8"/>
    <w:rsid w:val="00F95E22"/>
    <w:rsid w:val="00F96476"/>
    <w:rsid w:val="00F9753F"/>
    <w:rsid w:val="00FA06C1"/>
    <w:rsid w:val="00FA0EE9"/>
    <w:rsid w:val="00FA1026"/>
    <w:rsid w:val="00FA12B5"/>
    <w:rsid w:val="00FA2DD4"/>
    <w:rsid w:val="00FA2EB7"/>
    <w:rsid w:val="00FA310E"/>
    <w:rsid w:val="00FA39D9"/>
    <w:rsid w:val="00FA44C2"/>
    <w:rsid w:val="00FA4709"/>
    <w:rsid w:val="00FA5440"/>
    <w:rsid w:val="00FA5A96"/>
    <w:rsid w:val="00FA6984"/>
    <w:rsid w:val="00FA6E78"/>
    <w:rsid w:val="00FA7C7D"/>
    <w:rsid w:val="00FB0136"/>
    <w:rsid w:val="00FB13DA"/>
    <w:rsid w:val="00FB1659"/>
    <w:rsid w:val="00FB1EB4"/>
    <w:rsid w:val="00FB1FA9"/>
    <w:rsid w:val="00FB3658"/>
    <w:rsid w:val="00FB3B0E"/>
    <w:rsid w:val="00FB59C9"/>
    <w:rsid w:val="00FB5BC2"/>
    <w:rsid w:val="00FB62CF"/>
    <w:rsid w:val="00FB68C5"/>
    <w:rsid w:val="00FB7035"/>
    <w:rsid w:val="00FB7A2C"/>
    <w:rsid w:val="00FB7A74"/>
    <w:rsid w:val="00FC11B3"/>
    <w:rsid w:val="00FC13F1"/>
    <w:rsid w:val="00FC1E7E"/>
    <w:rsid w:val="00FC2E4A"/>
    <w:rsid w:val="00FC3503"/>
    <w:rsid w:val="00FC362D"/>
    <w:rsid w:val="00FC36E4"/>
    <w:rsid w:val="00FC5486"/>
    <w:rsid w:val="00FC5FDD"/>
    <w:rsid w:val="00FC6773"/>
    <w:rsid w:val="00FC67C9"/>
    <w:rsid w:val="00FC6E59"/>
    <w:rsid w:val="00FC7C02"/>
    <w:rsid w:val="00FD03C2"/>
    <w:rsid w:val="00FD1158"/>
    <w:rsid w:val="00FD1732"/>
    <w:rsid w:val="00FD29B7"/>
    <w:rsid w:val="00FD2B0D"/>
    <w:rsid w:val="00FD2D2C"/>
    <w:rsid w:val="00FD4C8B"/>
    <w:rsid w:val="00FD63DF"/>
    <w:rsid w:val="00FD669F"/>
    <w:rsid w:val="00FD72A0"/>
    <w:rsid w:val="00FD78E0"/>
    <w:rsid w:val="00FD7939"/>
    <w:rsid w:val="00FD7ECD"/>
    <w:rsid w:val="00FE053F"/>
    <w:rsid w:val="00FE0A22"/>
    <w:rsid w:val="00FE0AA1"/>
    <w:rsid w:val="00FE1115"/>
    <w:rsid w:val="00FE138A"/>
    <w:rsid w:val="00FE167F"/>
    <w:rsid w:val="00FE1845"/>
    <w:rsid w:val="00FE3423"/>
    <w:rsid w:val="00FE37EA"/>
    <w:rsid w:val="00FE3DE0"/>
    <w:rsid w:val="00FE4117"/>
    <w:rsid w:val="00FE467B"/>
    <w:rsid w:val="00FE51FE"/>
    <w:rsid w:val="00FE6102"/>
    <w:rsid w:val="00FE626E"/>
    <w:rsid w:val="00FE7250"/>
    <w:rsid w:val="00FE7338"/>
    <w:rsid w:val="00FE7F17"/>
    <w:rsid w:val="00FF0947"/>
    <w:rsid w:val="00FF1A60"/>
    <w:rsid w:val="00FF1E17"/>
    <w:rsid w:val="00FF1EB4"/>
    <w:rsid w:val="00FF1F24"/>
    <w:rsid w:val="00FF30A4"/>
    <w:rsid w:val="00FF3B74"/>
    <w:rsid w:val="00FF3B77"/>
    <w:rsid w:val="00FF49CE"/>
    <w:rsid w:val="00FF52E3"/>
    <w:rsid w:val="00FF53CE"/>
    <w:rsid w:val="00FF65BD"/>
    <w:rsid w:val="00FF6772"/>
    <w:rsid w:val="00FF6FEB"/>
    <w:rsid w:val="00FF7004"/>
    <w:rsid w:val="00FF70F1"/>
    <w:rsid w:val="00FF73D9"/>
    <w:rsid w:val="00FF7843"/>
    <w:rsid w:val="00FF7FA9"/>
    <w:rsid w:val="028705FE"/>
    <w:rsid w:val="036B4971"/>
    <w:rsid w:val="04005FA1"/>
    <w:rsid w:val="054E514F"/>
    <w:rsid w:val="05A70A0D"/>
    <w:rsid w:val="05AC0574"/>
    <w:rsid w:val="05BC419D"/>
    <w:rsid w:val="0602772D"/>
    <w:rsid w:val="06B37672"/>
    <w:rsid w:val="06C61066"/>
    <w:rsid w:val="06D70337"/>
    <w:rsid w:val="06F227DE"/>
    <w:rsid w:val="08D11305"/>
    <w:rsid w:val="09E84E10"/>
    <w:rsid w:val="0A70684A"/>
    <w:rsid w:val="0A951F6E"/>
    <w:rsid w:val="0B6E1848"/>
    <w:rsid w:val="0BB92560"/>
    <w:rsid w:val="0BFA53E6"/>
    <w:rsid w:val="0C7F72BD"/>
    <w:rsid w:val="0D844120"/>
    <w:rsid w:val="0D9E60D7"/>
    <w:rsid w:val="0DDC5A47"/>
    <w:rsid w:val="0F3B2F67"/>
    <w:rsid w:val="0F9A500F"/>
    <w:rsid w:val="116077A0"/>
    <w:rsid w:val="11DA32FB"/>
    <w:rsid w:val="11E25FD6"/>
    <w:rsid w:val="11FB3784"/>
    <w:rsid w:val="12427DF1"/>
    <w:rsid w:val="1257764D"/>
    <w:rsid w:val="12BA5DE6"/>
    <w:rsid w:val="13FF2FB9"/>
    <w:rsid w:val="15E76A24"/>
    <w:rsid w:val="16CB43D6"/>
    <w:rsid w:val="173F3753"/>
    <w:rsid w:val="174801F6"/>
    <w:rsid w:val="17827F02"/>
    <w:rsid w:val="182E7070"/>
    <w:rsid w:val="183F1D1A"/>
    <w:rsid w:val="18A92683"/>
    <w:rsid w:val="19F97358"/>
    <w:rsid w:val="1A43009A"/>
    <w:rsid w:val="1A553748"/>
    <w:rsid w:val="1A6754AF"/>
    <w:rsid w:val="1AE3378E"/>
    <w:rsid w:val="1AFA6EBD"/>
    <w:rsid w:val="1C5D0427"/>
    <w:rsid w:val="1C7B3169"/>
    <w:rsid w:val="1C933E4A"/>
    <w:rsid w:val="1DDC0E05"/>
    <w:rsid w:val="20134E6C"/>
    <w:rsid w:val="20204E32"/>
    <w:rsid w:val="206977D9"/>
    <w:rsid w:val="218B501C"/>
    <w:rsid w:val="21A613C7"/>
    <w:rsid w:val="223733C1"/>
    <w:rsid w:val="224E294F"/>
    <w:rsid w:val="226C214F"/>
    <w:rsid w:val="22854FFE"/>
    <w:rsid w:val="22E31283"/>
    <w:rsid w:val="2348000B"/>
    <w:rsid w:val="23990716"/>
    <w:rsid w:val="257A2AD3"/>
    <w:rsid w:val="25AB26B2"/>
    <w:rsid w:val="25BB7DA5"/>
    <w:rsid w:val="2617522C"/>
    <w:rsid w:val="27AC1848"/>
    <w:rsid w:val="27B9752B"/>
    <w:rsid w:val="2BB42944"/>
    <w:rsid w:val="2CC827E0"/>
    <w:rsid w:val="2DA95B36"/>
    <w:rsid w:val="2FAF694F"/>
    <w:rsid w:val="300D3295"/>
    <w:rsid w:val="30274823"/>
    <w:rsid w:val="313145D4"/>
    <w:rsid w:val="31342FDA"/>
    <w:rsid w:val="31C07988"/>
    <w:rsid w:val="34514DEA"/>
    <w:rsid w:val="34A5067E"/>
    <w:rsid w:val="34CC3D50"/>
    <w:rsid w:val="35645814"/>
    <w:rsid w:val="359441D9"/>
    <w:rsid w:val="36682807"/>
    <w:rsid w:val="37F86297"/>
    <w:rsid w:val="38077A24"/>
    <w:rsid w:val="39340FCA"/>
    <w:rsid w:val="39822E25"/>
    <w:rsid w:val="39A33E38"/>
    <w:rsid w:val="39E30BB5"/>
    <w:rsid w:val="39F775D0"/>
    <w:rsid w:val="3AB70F8D"/>
    <w:rsid w:val="3BD261FC"/>
    <w:rsid w:val="3E546CEB"/>
    <w:rsid w:val="3F657D6E"/>
    <w:rsid w:val="4000724E"/>
    <w:rsid w:val="401C19E8"/>
    <w:rsid w:val="418827F6"/>
    <w:rsid w:val="41EB761F"/>
    <w:rsid w:val="421440A0"/>
    <w:rsid w:val="427914F2"/>
    <w:rsid w:val="42926285"/>
    <w:rsid w:val="42DA0C6E"/>
    <w:rsid w:val="42F5774D"/>
    <w:rsid w:val="43920409"/>
    <w:rsid w:val="43AA0DB5"/>
    <w:rsid w:val="43AB748D"/>
    <w:rsid w:val="44EF56A8"/>
    <w:rsid w:val="44FA1BC9"/>
    <w:rsid w:val="450966EF"/>
    <w:rsid w:val="45412657"/>
    <w:rsid w:val="4605689B"/>
    <w:rsid w:val="465877C4"/>
    <w:rsid w:val="476612EE"/>
    <w:rsid w:val="478B4272"/>
    <w:rsid w:val="47EA5B27"/>
    <w:rsid w:val="484771DF"/>
    <w:rsid w:val="48BD6E6E"/>
    <w:rsid w:val="48F15695"/>
    <w:rsid w:val="495F4D4E"/>
    <w:rsid w:val="49782573"/>
    <w:rsid w:val="4A1C5E76"/>
    <w:rsid w:val="4B396733"/>
    <w:rsid w:val="4B3A2F93"/>
    <w:rsid w:val="4CCE156F"/>
    <w:rsid w:val="4CDF200B"/>
    <w:rsid w:val="4D8818A4"/>
    <w:rsid w:val="4F0F3686"/>
    <w:rsid w:val="4FBF2B30"/>
    <w:rsid w:val="50070AD0"/>
    <w:rsid w:val="51854483"/>
    <w:rsid w:val="524A1ECB"/>
    <w:rsid w:val="532F13DC"/>
    <w:rsid w:val="542A299E"/>
    <w:rsid w:val="54332825"/>
    <w:rsid w:val="54491131"/>
    <w:rsid w:val="54E831A5"/>
    <w:rsid w:val="55985036"/>
    <w:rsid w:val="566A34E6"/>
    <w:rsid w:val="587D0FEA"/>
    <w:rsid w:val="5A4159A9"/>
    <w:rsid w:val="5A633C89"/>
    <w:rsid w:val="5B696393"/>
    <w:rsid w:val="5B7B1804"/>
    <w:rsid w:val="5B7D7635"/>
    <w:rsid w:val="5C475F9E"/>
    <w:rsid w:val="5D684457"/>
    <w:rsid w:val="5EAE747B"/>
    <w:rsid w:val="5F34520E"/>
    <w:rsid w:val="601445A3"/>
    <w:rsid w:val="601C5B46"/>
    <w:rsid w:val="606A15ED"/>
    <w:rsid w:val="60F730F7"/>
    <w:rsid w:val="64537D84"/>
    <w:rsid w:val="648C7EFE"/>
    <w:rsid w:val="65846E54"/>
    <w:rsid w:val="65D90B98"/>
    <w:rsid w:val="65F8567D"/>
    <w:rsid w:val="66313589"/>
    <w:rsid w:val="676E702E"/>
    <w:rsid w:val="67F10FCD"/>
    <w:rsid w:val="68AF296B"/>
    <w:rsid w:val="695100E3"/>
    <w:rsid w:val="69826A39"/>
    <w:rsid w:val="6AFB752E"/>
    <w:rsid w:val="6C0A331C"/>
    <w:rsid w:val="6D0D797F"/>
    <w:rsid w:val="6D881C70"/>
    <w:rsid w:val="6E0C11B0"/>
    <w:rsid w:val="6E3C0C9C"/>
    <w:rsid w:val="6E446298"/>
    <w:rsid w:val="6E673F14"/>
    <w:rsid w:val="6FDD6381"/>
    <w:rsid w:val="6FF81729"/>
    <w:rsid w:val="716A57FC"/>
    <w:rsid w:val="74AA237E"/>
    <w:rsid w:val="74B94A52"/>
    <w:rsid w:val="75A750FE"/>
    <w:rsid w:val="7750345B"/>
    <w:rsid w:val="77CB336A"/>
    <w:rsid w:val="7849732E"/>
    <w:rsid w:val="79C30024"/>
    <w:rsid w:val="7B4A52E9"/>
    <w:rsid w:val="7D4D5A35"/>
    <w:rsid w:val="7DA75CF8"/>
    <w:rsid w:val="7DF37ED1"/>
    <w:rsid w:val="7E572F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nhideWhenUsed="0"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99"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3"/>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84"/>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68"/>
    <w:qFormat/>
    <w:uiPriority w:val="0"/>
    <w:pPr>
      <w:keepNext/>
      <w:keepLines/>
      <w:spacing w:before="260" w:after="260" w:line="416" w:lineRule="auto"/>
      <w:outlineLvl w:val="2"/>
    </w:pPr>
    <w:rPr>
      <w:b/>
      <w:bCs/>
      <w:sz w:val="32"/>
      <w:szCs w:val="32"/>
    </w:rPr>
  </w:style>
  <w:style w:type="paragraph" w:styleId="5">
    <w:name w:val="heading 4"/>
    <w:basedOn w:val="1"/>
    <w:next w:val="1"/>
    <w:link w:val="53"/>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85"/>
    <w:qFormat/>
    <w:uiPriority w:val="0"/>
    <w:pPr>
      <w:keepNext/>
      <w:keepLines/>
      <w:adjustRightInd w:val="0"/>
      <w:spacing w:before="280" w:after="290" w:line="376" w:lineRule="atLeast"/>
      <w:textAlignment w:val="baseline"/>
      <w:outlineLvl w:val="4"/>
    </w:pPr>
    <w:rPr>
      <w:b/>
      <w:kern w:val="0"/>
      <w:sz w:val="28"/>
      <w:szCs w:val="20"/>
    </w:rPr>
  </w:style>
  <w:style w:type="paragraph" w:styleId="7">
    <w:name w:val="heading 6"/>
    <w:basedOn w:val="1"/>
    <w:next w:val="8"/>
    <w:link w:val="86"/>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8"/>
    <w:link w:val="50"/>
    <w:qFormat/>
    <w:uiPriority w:val="0"/>
    <w:pPr>
      <w:keepNext/>
      <w:keepLines/>
      <w:spacing w:before="240" w:after="64" w:line="320" w:lineRule="auto"/>
      <w:outlineLvl w:val="6"/>
    </w:pPr>
    <w:rPr>
      <w:b/>
      <w:sz w:val="24"/>
      <w:szCs w:val="20"/>
    </w:rPr>
  </w:style>
  <w:style w:type="paragraph" w:styleId="10">
    <w:name w:val="heading 8"/>
    <w:basedOn w:val="1"/>
    <w:next w:val="8"/>
    <w:link w:val="87"/>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8"/>
    <w:link w:val="51"/>
    <w:qFormat/>
    <w:uiPriority w:val="0"/>
    <w:pPr>
      <w:keepNext/>
      <w:keepLines/>
      <w:spacing w:before="240" w:after="64" w:line="320" w:lineRule="auto"/>
      <w:outlineLvl w:val="8"/>
    </w:pPr>
    <w:rPr>
      <w:rFonts w:ascii="Arial" w:hAnsi="Arial" w:eastAsia="黑体"/>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55"/>
    <w:qFormat/>
    <w:uiPriority w:val="0"/>
    <w:pPr>
      <w:ind w:firstLine="420"/>
    </w:pPr>
    <w:rPr>
      <w:szCs w:val="20"/>
    </w:rPr>
  </w:style>
  <w:style w:type="paragraph" w:styleId="12">
    <w:name w:val="toc 7"/>
    <w:basedOn w:val="1"/>
    <w:next w:val="1"/>
    <w:unhideWhenUsed/>
    <w:qFormat/>
    <w:uiPriority w:val="39"/>
    <w:pPr>
      <w:ind w:left="1260"/>
      <w:jc w:val="left"/>
    </w:pPr>
    <w:rPr>
      <w:rFonts w:ascii="Calibri" w:hAnsi="Calibri"/>
      <w:sz w:val="18"/>
      <w:szCs w:val="18"/>
    </w:rPr>
  </w:style>
  <w:style w:type="paragraph" w:styleId="13">
    <w:name w:val="caption"/>
    <w:basedOn w:val="1"/>
    <w:next w:val="1"/>
    <w:link w:val="74"/>
    <w:qFormat/>
    <w:uiPriority w:val="0"/>
    <w:rPr>
      <w:rFonts w:ascii="Arial" w:hAnsi="Arial" w:eastAsia="黑体"/>
      <w:sz w:val="20"/>
      <w:szCs w:val="20"/>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67"/>
    <w:semiHidden/>
    <w:qFormat/>
    <w:uiPriority w:val="99"/>
    <w:pPr>
      <w:jc w:val="left"/>
    </w:pPr>
  </w:style>
  <w:style w:type="paragraph" w:styleId="17">
    <w:name w:val="Body Text 3"/>
    <w:basedOn w:val="1"/>
    <w:qFormat/>
    <w:uiPriority w:val="0"/>
    <w:pPr>
      <w:spacing w:after="120"/>
    </w:pPr>
    <w:rPr>
      <w:sz w:val="16"/>
      <w:szCs w:val="16"/>
    </w:rPr>
  </w:style>
  <w:style w:type="paragraph" w:styleId="18">
    <w:name w:val="Body Text"/>
    <w:basedOn w:val="1"/>
    <w:qFormat/>
    <w:uiPriority w:val="0"/>
    <w:pPr>
      <w:spacing w:line="360" w:lineRule="auto"/>
    </w:pPr>
    <w:rPr>
      <w:szCs w:val="20"/>
    </w:rPr>
  </w:style>
  <w:style w:type="paragraph" w:styleId="19">
    <w:name w:val="Body Text Indent"/>
    <w:basedOn w:val="1"/>
    <w:link w:val="60"/>
    <w:qFormat/>
    <w:uiPriority w:val="99"/>
    <w:pPr>
      <w:ind w:firstLine="830" w:firstLineChars="352"/>
    </w:pPr>
    <w:rPr>
      <w:rFonts w:ascii="仿宋_GB2312" w:eastAsia="仿宋_GB2312"/>
      <w:sz w:val="32"/>
      <w:szCs w:val="20"/>
    </w:rPr>
  </w:style>
  <w:style w:type="paragraph" w:styleId="20">
    <w:name w:val="toc 5"/>
    <w:basedOn w:val="1"/>
    <w:next w:val="1"/>
    <w:unhideWhenUsed/>
    <w:qFormat/>
    <w:uiPriority w:val="39"/>
    <w:pPr>
      <w:ind w:left="840"/>
      <w:jc w:val="left"/>
    </w:pPr>
    <w:rPr>
      <w:rFonts w:ascii="Calibri" w:hAnsi="Calibri"/>
      <w:sz w:val="18"/>
      <w:szCs w:val="18"/>
    </w:rPr>
  </w:style>
  <w:style w:type="paragraph" w:styleId="21">
    <w:name w:val="toc 3"/>
    <w:basedOn w:val="1"/>
    <w:next w:val="1"/>
    <w:qFormat/>
    <w:uiPriority w:val="39"/>
    <w:pPr>
      <w:tabs>
        <w:tab w:val="left" w:pos="900"/>
        <w:tab w:val="left" w:pos="1080"/>
      </w:tabs>
      <w:ind w:left="100" w:leftChars="100"/>
    </w:pPr>
    <w:rPr>
      <w:rFonts w:ascii="宋体" w:hAnsi="宋体"/>
      <w:iCs/>
    </w:rPr>
  </w:style>
  <w:style w:type="paragraph" w:styleId="22">
    <w:name w:val="Plain Text"/>
    <w:basedOn w:val="1"/>
    <w:link w:val="64"/>
    <w:qFormat/>
    <w:uiPriority w:val="0"/>
    <w:rPr>
      <w:rFonts w:ascii="宋体" w:hAnsi="Courier New" w:cs="Courier New"/>
      <w:szCs w:val="21"/>
    </w:rPr>
  </w:style>
  <w:style w:type="paragraph" w:styleId="23">
    <w:name w:val="toc 8"/>
    <w:basedOn w:val="1"/>
    <w:next w:val="1"/>
    <w:qFormat/>
    <w:uiPriority w:val="39"/>
    <w:pPr>
      <w:ind w:left="1470"/>
      <w:jc w:val="left"/>
    </w:pPr>
    <w:rPr>
      <w:rFonts w:ascii="Calibri" w:hAnsi="Calibri"/>
      <w:sz w:val="18"/>
      <w:szCs w:val="18"/>
    </w:rPr>
  </w:style>
  <w:style w:type="paragraph" w:styleId="24">
    <w:name w:val="index 3"/>
    <w:basedOn w:val="1"/>
    <w:next w:val="1"/>
    <w:semiHidden/>
    <w:qFormat/>
    <w:uiPriority w:val="0"/>
    <w:pPr>
      <w:ind w:left="400" w:leftChars="400"/>
    </w:pPr>
  </w:style>
  <w:style w:type="paragraph" w:styleId="25">
    <w:name w:val="Date"/>
    <w:basedOn w:val="1"/>
    <w:next w:val="1"/>
    <w:qFormat/>
    <w:uiPriority w:val="0"/>
    <w:rPr>
      <w:rFonts w:ascii="宋体" w:hAnsi="Courier New"/>
      <w:b/>
      <w:sz w:val="48"/>
      <w:szCs w:val="20"/>
    </w:rPr>
  </w:style>
  <w:style w:type="paragraph" w:styleId="26">
    <w:name w:val="Body Text Indent 2"/>
    <w:basedOn w:val="1"/>
    <w:link w:val="89"/>
    <w:qFormat/>
    <w:uiPriority w:val="0"/>
    <w:pPr>
      <w:spacing w:after="120" w:line="480" w:lineRule="auto"/>
      <w:ind w:left="420" w:leftChars="200"/>
    </w:pPr>
  </w:style>
  <w:style w:type="paragraph" w:styleId="27">
    <w:name w:val="Balloon Text"/>
    <w:basedOn w:val="1"/>
    <w:link w:val="59"/>
    <w:semiHidden/>
    <w:qFormat/>
    <w:uiPriority w:val="0"/>
    <w:rPr>
      <w:sz w:val="18"/>
      <w:szCs w:val="18"/>
    </w:rPr>
  </w:style>
  <w:style w:type="paragraph" w:styleId="28">
    <w:name w:val="footer"/>
    <w:basedOn w:val="1"/>
    <w:link w:val="77"/>
    <w:qFormat/>
    <w:uiPriority w:val="0"/>
    <w:pPr>
      <w:tabs>
        <w:tab w:val="center" w:pos="4153"/>
        <w:tab w:val="right" w:pos="8306"/>
      </w:tabs>
      <w:snapToGrid w:val="0"/>
      <w:jc w:val="left"/>
    </w:pPr>
    <w:rPr>
      <w:sz w:val="18"/>
      <w:szCs w:val="18"/>
    </w:rPr>
  </w:style>
  <w:style w:type="paragraph" w:styleId="29">
    <w:name w:val="header"/>
    <w:basedOn w:val="1"/>
    <w:link w:val="56"/>
    <w:qFormat/>
    <w:uiPriority w:val="0"/>
    <w:pPr>
      <w:pBdr>
        <w:bottom w:val="single" w:color="auto" w:sz="6" w:space="1"/>
      </w:pBdr>
      <w:tabs>
        <w:tab w:val="center" w:pos="4153"/>
        <w:tab w:val="right" w:pos="8306"/>
      </w:tabs>
      <w:snapToGrid w:val="0"/>
      <w:jc w:val="center"/>
    </w:pPr>
    <w:rPr>
      <w:rFonts w:hAnsi="宋体"/>
      <w:color w:val="000000"/>
      <w:sz w:val="18"/>
      <w:szCs w:val="18"/>
    </w:rPr>
  </w:style>
  <w:style w:type="paragraph" w:styleId="30">
    <w:name w:val="toc 1"/>
    <w:basedOn w:val="1"/>
    <w:next w:val="1"/>
    <w:qFormat/>
    <w:uiPriority w:val="39"/>
    <w:pPr>
      <w:tabs>
        <w:tab w:val="right" w:leader="dot" w:pos="8280"/>
      </w:tabs>
      <w:spacing w:line="360" w:lineRule="auto"/>
    </w:pPr>
    <w:rPr>
      <w:rFonts w:ascii="宋体" w:hAnsi="宋体"/>
      <w:b/>
      <w:sz w:val="22"/>
      <w:szCs w:val="21"/>
    </w:rPr>
  </w:style>
  <w:style w:type="paragraph" w:styleId="31">
    <w:name w:val="toc 4"/>
    <w:basedOn w:val="1"/>
    <w:next w:val="1"/>
    <w:unhideWhenUsed/>
    <w:qFormat/>
    <w:uiPriority w:val="39"/>
    <w:pPr>
      <w:ind w:left="630"/>
      <w:jc w:val="left"/>
    </w:pPr>
    <w:rPr>
      <w:rFonts w:ascii="Calibri" w:hAnsi="Calibri"/>
      <w:sz w:val="18"/>
      <w:szCs w:val="18"/>
    </w:rPr>
  </w:style>
  <w:style w:type="paragraph" w:styleId="32">
    <w:name w:val="index heading"/>
    <w:basedOn w:val="1"/>
    <w:next w:val="33"/>
    <w:semiHidden/>
    <w:qFormat/>
    <w:uiPriority w:val="0"/>
    <w:rPr>
      <w:szCs w:val="20"/>
    </w:rPr>
  </w:style>
  <w:style w:type="paragraph" w:styleId="33">
    <w:name w:val="index 1"/>
    <w:basedOn w:val="1"/>
    <w:next w:val="1"/>
    <w:semiHidden/>
    <w:qFormat/>
    <w:uiPriority w:val="0"/>
    <w:pPr>
      <w:tabs>
        <w:tab w:val="left" w:pos="7740"/>
      </w:tabs>
      <w:jc w:val="center"/>
    </w:pPr>
    <w:rPr>
      <w:rFonts w:ascii="仿宋" w:hAnsi="仿宋" w:eastAsia="仿宋"/>
      <w:b/>
      <w:sz w:val="28"/>
      <w:szCs w:val="28"/>
    </w:rPr>
  </w:style>
  <w:style w:type="paragraph" w:styleId="34">
    <w:name w:val="toc 6"/>
    <w:basedOn w:val="1"/>
    <w:next w:val="1"/>
    <w:unhideWhenUsed/>
    <w:qFormat/>
    <w:uiPriority w:val="39"/>
    <w:pPr>
      <w:ind w:left="1050"/>
      <w:jc w:val="left"/>
    </w:pPr>
    <w:rPr>
      <w:rFonts w:ascii="Calibri" w:hAnsi="Calibri"/>
      <w:sz w:val="18"/>
      <w:szCs w:val="18"/>
    </w:rPr>
  </w:style>
  <w:style w:type="paragraph" w:styleId="35">
    <w:name w:val="Body Text Indent 3"/>
    <w:basedOn w:val="1"/>
    <w:qFormat/>
    <w:uiPriority w:val="0"/>
    <w:pPr>
      <w:spacing w:line="360" w:lineRule="auto"/>
      <w:ind w:firstLine="420" w:firstLineChars="200"/>
    </w:pPr>
    <w:rPr>
      <w:szCs w:val="20"/>
    </w:rPr>
  </w:style>
  <w:style w:type="paragraph" w:styleId="36">
    <w:name w:val="toc 2"/>
    <w:basedOn w:val="1"/>
    <w:next w:val="1"/>
    <w:qFormat/>
    <w:uiPriority w:val="39"/>
    <w:pPr>
      <w:tabs>
        <w:tab w:val="left" w:pos="840"/>
        <w:tab w:val="right" w:leader="dot" w:pos="8302"/>
      </w:tabs>
      <w:spacing w:line="360" w:lineRule="auto"/>
      <w:ind w:left="210" w:leftChars="100"/>
      <w:jc w:val="left"/>
    </w:pPr>
    <w:rPr>
      <w:rFonts w:ascii="黑体" w:hAnsi="宋体"/>
      <w:smallCaps/>
      <w:kern w:val="44"/>
      <w:szCs w:val="21"/>
    </w:rPr>
  </w:style>
  <w:style w:type="paragraph" w:styleId="37">
    <w:name w:val="toc 9"/>
    <w:basedOn w:val="1"/>
    <w:next w:val="1"/>
    <w:unhideWhenUsed/>
    <w:qFormat/>
    <w:uiPriority w:val="39"/>
    <w:pPr>
      <w:ind w:left="1680"/>
      <w:jc w:val="left"/>
    </w:pPr>
    <w:rPr>
      <w:rFonts w:ascii="Calibri" w:hAnsi="Calibri"/>
      <w:sz w:val="18"/>
      <w:szCs w:val="18"/>
    </w:rPr>
  </w:style>
  <w:style w:type="paragraph" w:styleId="38">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39">
    <w:name w:val="Title"/>
    <w:basedOn w:val="1"/>
    <w:link w:val="88"/>
    <w:qFormat/>
    <w:uiPriority w:val="0"/>
    <w:pPr>
      <w:spacing w:before="240" w:after="60"/>
      <w:jc w:val="center"/>
      <w:outlineLvl w:val="0"/>
    </w:pPr>
    <w:rPr>
      <w:rFonts w:ascii="Arial" w:hAnsi="Arial"/>
      <w:b/>
      <w:bCs/>
      <w:sz w:val="32"/>
      <w:szCs w:val="32"/>
    </w:rPr>
  </w:style>
  <w:style w:type="paragraph" w:styleId="40">
    <w:name w:val="annotation subject"/>
    <w:basedOn w:val="16"/>
    <w:next w:val="16"/>
    <w:semiHidden/>
    <w:qFormat/>
    <w:uiPriority w:val="0"/>
    <w:rPr>
      <w:b/>
      <w:bCs/>
    </w:rPr>
  </w:style>
  <w:style w:type="paragraph" w:styleId="41">
    <w:name w:val="Body Text First Indent"/>
    <w:basedOn w:val="18"/>
    <w:qFormat/>
    <w:uiPriority w:val="0"/>
    <w:pPr>
      <w:spacing w:after="120" w:line="240" w:lineRule="auto"/>
      <w:ind w:firstLine="420" w:firstLineChars="100"/>
    </w:pPr>
    <w:rPr>
      <w:szCs w:val="24"/>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qFormat/>
    <w:uiPriority w:val="0"/>
    <w:rPr>
      <w:rFonts w:ascii="Tahoma" w:hAnsi="Tahoma" w:eastAsia="宋体"/>
      <w:b/>
      <w:bCs/>
      <w:spacing w:val="10"/>
      <w:sz w:val="24"/>
      <w:lang w:val="en-US" w:eastAsia="zh-CN" w:bidi="ar-SA"/>
    </w:rPr>
  </w:style>
  <w:style w:type="character" w:styleId="46">
    <w:name w:val="page number"/>
    <w:basedOn w:val="44"/>
    <w:qFormat/>
    <w:uiPriority w:val="0"/>
  </w:style>
  <w:style w:type="character" w:styleId="47">
    <w:name w:val="Hyperlink"/>
    <w:qFormat/>
    <w:uiPriority w:val="99"/>
    <w:rPr>
      <w:color w:val="0000FF"/>
      <w:u w:val="single"/>
    </w:rPr>
  </w:style>
  <w:style w:type="character" w:styleId="48">
    <w:name w:val="annotation reference"/>
    <w:semiHidden/>
    <w:qFormat/>
    <w:uiPriority w:val="0"/>
    <w:rPr>
      <w:sz w:val="21"/>
      <w:szCs w:val="21"/>
    </w:rPr>
  </w:style>
  <w:style w:type="character" w:customStyle="1" w:styleId="49">
    <w:name w:val="已访问的超链接1"/>
    <w:qFormat/>
    <w:uiPriority w:val="0"/>
    <w:rPr>
      <w:color w:val="800080"/>
      <w:u w:val="single"/>
    </w:rPr>
  </w:style>
  <w:style w:type="character" w:customStyle="1" w:styleId="50">
    <w:name w:val="标题 7 Char"/>
    <w:link w:val="9"/>
    <w:qFormat/>
    <w:locked/>
    <w:uiPriority w:val="0"/>
    <w:rPr>
      <w:b/>
      <w:kern w:val="2"/>
      <w:sz w:val="24"/>
    </w:rPr>
  </w:style>
  <w:style w:type="character" w:customStyle="1" w:styleId="51">
    <w:name w:val="标题 9 Char"/>
    <w:link w:val="11"/>
    <w:qFormat/>
    <w:locked/>
    <w:uiPriority w:val="0"/>
    <w:rPr>
      <w:rFonts w:ascii="Arial" w:hAnsi="Arial" w:eastAsia="黑体"/>
      <w:kern w:val="2"/>
      <w:sz w:val="21"/>
    </w:rPr>
  </w:style>
  <w:style w:type="character" w:customStyle="1" w:styleId="52">
    <w:name w:val="标题 3 Char1"/>
    <w:qFormat/>
    <w:locked/>
    <w:uiPriority w:val="0"/>
    <w:rPr>
      <w:rFonts w:ascii="宋体" w:hAnsi="Times New Roman"/>
    </w:rPr>
  </w:style>
  <w:style w:type="character" w:customStyle="1" w:styleId="53">
    <w:name w:val="标题 4 Char"/>
    <w:link w:val="5"/>
    <w:qFormat/>
    <w:locked/>
    <w:uiPriority w:val="0"/>
    <w:rPr>
      <w:rFonts w:ascii="Arial" w:hAnsi="Arial" w:eastAsia="黑体"/>
      <w:b/>
      <w:bCs/>
      <w:kern w:val="2"/>
      <w:sz w:val="28"/>
      <w:szCs w:val="28"/>
    </w:rPr>
  </w:style>
  <w:style w:type="character" w:customStyle="1" w:styleId="54">
    <w:name w:val="Char Char8"/>
    <w:qFormat/>
    <w:uiPriority w:val="0"/>
    <w:rPr>
      <w:rFonts w:ascii="宋体" w:hAnsi="Courier New" w:eastAsia="宋体"/>
      <w:kern w:val="2"/>
      <w:sz w:val="21"/>
      <w:lang w:val="en-US" w:eastAsia="zh-CN" w:bidi="ar-SA"/>
    </w:rPr>
  </w:style>
  <w:style w:type="character" w:customStyle="1" w:styleId="55">
    <w:name w:val="正文缩进 Char"/>
    <w:link w:val="8"/>
    <w:qFormat/>
    <w:uiPriority w:val="0"/>
    <w:rPr>
      <w:rFonts w:eastAsia="宋体"/>
      <w:kern w:val="2"/>
      <w:sz w:val="21"/>
      <w:lang w:val="en-US" w:eastAsia="zh-CN" w:bidi="ar-SA"/>
    </w:rPr>
  </w:style>
  <w:style w:type="character" w:customStyle="1" w:styleId="56">
    <w:name w:val="页眉 Char"/>
    <w:link w:val="29"/>
    <w:qFormat/>
    <w:uiPriority w:val="0"/>
    <w:rPr>
      <w:rFonts w:hAnsi="宋体"/>
      <w:color w:val="000000"/>
      <w:kern w:val="2"/>
      <w:sz w:val="18"/>
      <w:szCs w:val="18"/>
    </w:rPr>
  </w:style>
  <w:style w:type="character" w:customStyle="1" w:styleId="57">
    <w:name w:val="正文 A Char Char"/>
    <w:link w:val="58"/>
    <w:qFormat/>
    <w:uiPriority w:val="0"/>
    <w:rPr>
      <w:rFonts w:ascii="仿宋_GB2312" w:hAnsi="Heiti SC Light" w:eastAsia="仿宋_GB2312"/>
      <w:kern w:val="2"/>
      <w:sz w:val="24"/>
      <w:lang w:val="en-US" w:eastAsia="zh-CN" w:bidi="ar-SA"/>
    </w:rPr>
  </w:style>
  <w:style w:type="paragraph" w:customStyle="1" w:styleId="58">
    <w:name w:val="正文 A"/>
    <w:link w:val="57"/>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59">
    <w:name w:val="批注框文本 Char"/>
    <w:link w:val="27"/>
    <w:semiHidden/>
    <w:qFormat/>
    <w:locked/>
    <w:uiPriority w:val="0"/>
    <w:rPr>
      <w:kern w:val="2"/>
      <w:sz w:val="18"/>
      <w:szCs w:val="18"/>
    </w:rPr>
  </w:style>
  <w:style w:type="character" w:customStyle="1" w:styleId="60">
    <w:name w:val="正文文本缩进 Char"/>
    <w:link w:val="19"/>
    <w:qFormat/>
    <w:uiPriority w:val="99"/>
    <w:rPr>
      <w:rFonts w:ascii="仿宋_GB2312" w:eastAsia="仿宋_GB2312"/>
      <w:kern w:val="2"/>
      <w:sz w:val="32"/>
    </w:rPr>
  </w:style>
  <w:style w:type="character" w:customStyle="1" w:styleId="61">
    <w:name w:val="xl25 Char"/>
    <w:link w:val="62"/>
    <w:qFormat/>
    <w:uiPriority w:val="0"/>
    <w:rPr>
      <w:rFonts w:ascii="宋体" w:hAnsi="宋体" w:eastAsia="宋体"/>
      <w:sz w:val="21"/>
      <w:szCs w:val="21"/>
      <w:lang w:val="en-US" w:eastAsia="zh-CN" w:bidi="ar-SA"/>
    </w:rPr>
  </w:style>
  <w:style w:type="paragraph" w:customStyle="1" w:styleId="62">
    <w:name w:val="xl25"/>
    <w:basedOn w:val="1"/>
    <w:link w:val="6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63">
    <w:name w:val="font1"/>
    <w:qFormat/>
    <w:uiPriority w:val="0"/>
    <w:rPr>
      <w:sz w:val="18"/>
      <w:szCs w:val="18"/>
      <w:u w:val="none"/>
    </w:rPr>
  </w:style>
  <w:style w:type="character" w:customStyle="1" w:styleId="64">
    <w:name w:val="纯文本 Char"/>
    <w:link w:val="22"/>
    <w:qFormat/>
    <w:uiPriority w:val="0"/>
    <w:rPr>
      <w:rFonts w:ascii="宋体" w:hAnsi="Courier New" w:eastAsia="宋体" w:cs="Courier New"/>
      <w:kern w:val="2"/>
      <w:sz w:val="21"/>
      <w:szCs w:val="21"/>
      <w:lang w:val="en-US" w:eastAsia="zh-CN" w:bidi="ar-SA"/>
    </w:rPr>
  </w:style>
  <w:style w:type="character" w:customStyle="1" w:styleId="65">
    <w:name w:val="标题 2 Char"/>
    <w:qFormat/>
    <w:uiPriority w:val="0"/>
    <w:rPr>
      <w:rFonts w:ascii="Arial" w:hAnsi="Arial" w:eastAsia="黑体"/>
      <w:b/>
      <w:bCs/>
      <w:kern w:val="2"/>
      <w:sz w:val="32"/>
      <w:szCs w:val="32"/>
      <w:lang w:val="en-US" w:eastAsia="zh-CN" w:bidi="ar-SA"/>
    </w:rPr>
  </w:style>
  <w:style w:type="character" w:customStyle="1" w:styleId="66">
    <w:name w:val="纯文本 Char1"/>
    <w:qFormat/>
    <w:uiPriority w:val="0"/>
    <w:rPr>
      <w:rFonts w:ascii="宋体" w:hAnsi="Courier New" w:eastAsia="宋体" w:cs="Times New Roman"/>
      <w:kern w:val="0"/>
      <w:sz w:val="20"/>
      <w:szCs w:val="20"/>
    </w:rPr>
  </w:style>
  <w:style w:type="character" w:customStyle="1" w:styleId="67">
    <w:name w:val="批注文字 Char"/>
    <w:link w:val="16"/>
    <w:semiHidden/>
    <w:qFormat/>
    <w:uiPriority w:val="99"/>
    <w:rPr>
      <w:kern w:val="2"/>
      <w:sz w:val="21"/>
      <w:szCs w:val="24"/>
    </w:rPr>
  </w:style>
  <w:style w:type="character" w:customStyle="1" w:styleId="68">
    <w:name w:val="标题 3 Char"/>
    <w:link w:val="4"/>
    <w:qFormat/>
    <w:uiPriority w:val="0"/>
    <w:rPr>
      <w:rFonts w:eastAsia="宋体"/>
      <w:b/>
      <w:bCs/>
      <w:kern w:val="2"/>
      <w:sz w:val="32"/>
      <w:szCs w:val="32"/>
      <w:lang w:val="en-US" w:eastAsia="zh-CN" w:bidi="ar-SA"/>
    </w:rPr>
  </w:style>
  <w:style w:type="character" w:customStyle="1" w:styleId="69">
    <w:name w:val="mark8"/>
    <w:qFormat/>
    <w:uiPriority w:val="0"/>
    <w:rPr>
      <w:b/>
      <w:bCs/>
      <w:sz w:val="21"/>
      <w:szCs w:val="21"/>
    </w:rPr>
  </w:style>
  <w:style w:type="character" w:customStyle="1" w:styleId="70">
    <w:name w:val="列出段落 Char"/>
    <w:link w:val="71"/>
    <w:qFormat/>
    <w:uiPriority w:val="0"/>
    <w:rPr>
      <w:rFonts w:ascii="Calibri" w:hAnsi="Calibri"/>
      <w:kern w:val="2"/>
      <w:sz w:val="21"/>
      <w:szCs w:val="22"/>
    </w:rPr>
  </w:style>
  <w:style w:type="paragraph" w:styleId="71">
    <w:name w:val="List Paragraph"/>
    <w:basedOn w:val="1"/>
    <w:link w:val="70"/>
    <w:qFormat/>
    <w:uiPriority w:val="0"/>
    <w:pPr>
      <w:ind w:firstLine="420" w:firstLineChars="200"/>
    </w:pPr>
    <w:rPr>
      <w:rFonts w:ascii="Calibri" w:hAnsi="Calibri"/>
      <w:szCs w:val="22"/>
    </w:rPr>
  </w:style>
  <w:style w:type="character" w:customStyle="1" w:styleId="72">
    <w:name w:val="Char Char10"/>
    <w:qFormat/>
    <w:uiPriority w:val="0"/>
    <w:rPr>
      <w:rFonts w:eastAsia="宋体"/>
      <w:kern w:val="2"/>
      <w:sz w:val="18"/>
      <w:szCs w:val="18"/>
      <w:lang w:val="en-US" w:eastAsia="zh-CN" w:bidi="ar-SA"/>
    </w:rPr>
  </w:style>
  <w:style w:type="character" w:customStyle="1" w:styleId="73">
    <w:name w:val="nine-11"/>
    <w:qFormat/>
    <w:uiPriority w:val="0"/>
    <w:rPr>
      <w:rFonts w:hint="default"/>
      <w:sz w:val="18"/>
      <w:szCs w:val="18"/>
    </w:rPr>
  </w:style>
  <w:style w:type="character" w:customStyle="1" w:styleId="74">
    <w:name w:val="题注 Char"/>
    <w:link w:val="13"/>
    <w:qFormat/>
    <w:uiPriority w:val="0"/>
    <w:rPr>
      <w:rFonts w:ascii="Arial" w:hAnsi="Arial" w:eastAsia="黑体" w:cs="Arial"/>
      <w:kern w:val="2"/>
    </w:rPr>
  </w:style>
  <w:style w:type="character" w:customStyle="1" w:styleId="75">
    <w:name w:val="mark"/>
    <w:basedOn w:val="44"/>
    <w:qFormat/>
    <w:uiPriority w:val="0"/>
  </w:style>
  <w:style w:type="character" w:customStyle="1" w:styleId="76">
    <w:name w:val="Char Char3"/>
    <w:qFormat/>
    <w:uiPriority w:val="0"/>
    <w:rPr>
      <w:rFonts w:eastAsia="宋体"/>
      <w:kern w:val="2"/>
      <w:sz w:val="18"/>
      <w:lang w:val="en-US" w:eastAsia="zh-CN" w:bidi="ar-SA"/>
    </w:rPr>
  </w:style>
  <w:style w:type="character" w:customStyle="1" w:styleId="77">
    <w:name w:val="页脚 Char"/>
    <w:link w:val="28"/>
    <w:qFormat/>
    <w:uiPriority w:val="0"/>
    <w:rPr>
      <w:rFonts w:eastAsia="宋体"/>
      <w:kern w:val="2"/>
      <w:sz w:val="18"/>
      <w:szCs w:val="18"/>
      <w:lang w:val="en-US" w:eastAsia="zh-CN" w:bidi="ar-SA"/>
    </w:rPr>
  </w:style>
  <w:style w:type="character" w:customStyle="1" w:styleId="78">
    <w:name w:val="font31"/>
    <w:qFormat/>
    <w:uiPriority w:val="0"/>
    <w:rPr>
      <w:rFonts w:hint="eastAsia" w:ascii="宋体" w:hAnsi="宋体" w:eastAsia="宋体" w:cs="宋体"/>
      <w:color w:val="000000"/>
      <w:sz w:val="20"/>
      <w:szCs w:val="20"/>
      <w:u w:val="none"/>
    </w:rPr>
  </w:style>
  <w:style w:type="character" w:customStyle="1" w:styleId="79">
    <w:name w:val="Font Style17"/>
    <w:qFormat/>
    <w:uiPriority w:val="0"/>
    <w:rPr>
      <w:rFonts w:ascii="黑体" w:eastAsia="黑体" w:cs="黑体"/>
      <w:sz w:val="28"/>
      <w:szCs w:val="28"/>
    </w:rPr>
  </w:style>
  <w:style w:type="character" w:customStyle="1" w:styleId="80">
    <w:name w:val="标题 1 Char"/>
    <w:qFormat/>
    <w:uiPriority w:val="0"/>
    <w:rPr>
      <w:rFonts w:ascii="Times New Roman" w:hAnsi="Times New Roman" w:eastAsia="宋体" w:cs="Times New Roman"/>
      <w:b/>
      <w:bCs/>
      <w:kern w:val="44"/>
      <w:sz w:val="44"/>
      <w:szCs w:val="44"/>
    </w:rPr>
  </w:style>
  <w:style w:type="character" w:customStyle="1" w:styleId="81">
    <w:name w:val="List Paragraph Char"/>
    <w:link w:val="82"/>
    <w:qFormat/>
    <w:locked/>
    <w:uiPriority w:val="0"/>
    <w:rPr>
      <w:rFonts w:ascii="Calibri" w:hAnsi="Calibri"/>
      <w:kern w:val="2"/>
      <w:sz w:val="21"/>
      <w:szCs w:val="22"/>
    </w:rPr>
  </w:style>
  <w:style w:type="paragraph" w:customStyle="1" w:styleId="82">
    <w:name w:val="列出段落2"/>
    <w:basedOn w:val="1"/>
    <w:link w:val="81"/>
    <w:qFormat/>
    <w:uiPriority w:val="0"/>
    <w:pPr>
      <w:ind w:firstLine="420" w:firstLineChars="200"/>
    </w:pPr>
    <w:rPr>
      <w:rFonts w:ascii="Calibri" w:hAnsi="Calibri"/>
      <w:szCs w:val="22"/>
    </w:rPr>
  </w:style>
  <w:style w:type="character" w:customStyle="1" w:styleId="83">
    <w:name w:val="标题 1 Char1"/>
    <w:link w:val="2"/>
    <w:qFormat/>
    <w:locked/>
    <w:uiPriority w:val="0"/>
    <w:rPr>
      <w:b/>
      <w:bCs/>
      <w:kern w:val="44"/>
      <w:sz w:val="44"/>
      <w:szCs w:val="44"/>
    </w:rPr>
  </w:style>
  <w:style w:type="character" w:customStyle="1" w:styleId="84">
    <w:name w:val="标题 2 Char1"/>
    <w:link w:val="3"/>
    <w:qFormat/>
    <w:locked/>
    <w:uiPriority w:val="0"/>
    <w:rPr>
      <w:rFonts w:ascii="Arial" w:hAnsi="Arial" w:eastAsia="黑体"/>
      <w:b/>
      <w:bCs/>
      <w:kern w:val="2"/>
      <w:sz w:val="32"/>
      <w:szCs w:val="32"/>
    </w:rPr>
  </w:style>
  <w:style w:type="character" w:customStyle="1" w:styleId="85">
    <w:name w:val="标题 5 Char"/>
    <w:link w:val="6"/>
    <w:qFormat/>
    <w:locked/>
    <w:uiPriority w:val="0"/>
    <w:rPr>
      <w:b/>
      <w:sz w:val="28"/>
    </w:rPr>
  </w:style>
  <w:style w:type="character" w:customStyle="1" w:styleId="86">
    <w:name w:val="标题 6 Char"/>
    <w:link w:val="7"/>
    <w:qFormat/>
    <w:locked/>
    <w:uiPriority w:val="0"/>
    <w:rPr>
      <w:rFonts w:ascii="Arial" w:hAnsi="Arial" w:eastAsia="黑体"/>
      <w:b/>
      <w:kern w:val="2"/>
      <w:sz w:val="24"/>
    </w:rPr>
  </w:style>
  <w:style w:type="character" w:customStyle="1" w:styleId="87">
    <w:name w:val="标题 8 Char"/>
    <w:link w:val="10"/>
    <w:qFormat/>
    <w:locked/>
    <w:uiPriority w:val="0"/>
    <w:rPr>
      <w:rFonts w:ascii="Arial" w:hAnsi="Arial" w:eastAsia="黑体"/>
      <w:kern w:val="2"/>
      <w:sz w:val="24"/>
    </w:rPr>
  </w:style>
  <w:style w:type="character" w:customStyle="1" w:styleId="88">
    <w:name w:val="标题 Char"/>
    <w:link w:val="39"/>
    <w:qFormat/>
    <w:uiPriority w:val="0"/>
    <w:rPr>
      <w:rFonts w:ascii="Arial" w:hAnsi="Arial" w:cs="Arial"/>
      <w:b/>
      <w:bCs/>
      <w:kern w:val="2"/>
      <w:sz w:val="32"/>
      <w:szCs w:val="32"/>
    </w:rPr>
  </w:style>
  <w:style w:type="character" w:customStyle="1" w:styleId="89">
    <w:name w:val="正文文本缩进 2 Char"/>
    <w:link w:val="26"/>
    <w:qFormat/>
    <w:uiPriority w:val="0"/>
    <w:rPr>
      <w:kern w:val="2"/>
      <w:sz w:val="21"/>
      <w:szCs w:val="24"/>
    </w:rPr>
  </w:style>
  <w:style w:type="character" w:customStyle="1" w:styleId="90">
    <w:name w:val="表标题 Char Char"/>
    <w:link w:val="91"/>
    <w:qFormat/>
    <w:uiPriority w:val="0"/>
    <w:rPr>
      <w:b/>
    </w:rPr>
  </w:style>
  <w:style w:type="paragraph" w:customStyle="1" w:styleId="91">
    <w:name w:val="表标题"/>
    <w:basedOn w:val="8"/>
    <w:link w:val="90"/>
    <w:qFormat/>
    <w:uiPriority w:val="0"/>
    <w:pPr>
      <w:adjustRightInd w:val="0"/>
      <w:snapToGrid w:val="0"/>
      <w:spacing w:before="62" w:after="62"/>
      <w:ind w:firstLine="0"/>
      <w:jc w:val="center"/>
    </w:pPr>
    <w:rPr>
      <w:b/>
      <w:kern w:val="0"/>
      <w:sz w:val="20"/>
    </w:rPr>
  </w:style>
  <w:style w:type="paragraph" w:customStyle="1" w:styleId="9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93">
    <w:name w:val="_Style 4"/>
    <w:basedOn w:val="1"/>
    <w:qFormat/>
    <w:uiPriority w:val="0"/>
    <w:pPr>
      <w:spacing w:beforeLines="50" w:afterLines="50"/>
    </w:pPr>
  </w:style>
  <w:style w:type="paragraph" w:customStyle="1" w:styleId="94">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9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96">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97">
    <w:name w:val="办公自动化专用标题"/>
    <w:basedOn w:val="39"/>
    <w:qFormat/>
    <w:uiPriority w:val="0"/>
    <w:pPr>
      <w:spacing w:line="560" w:lineRule="atLeast"/>
    </w:pPr>
    <w:rPr>
      <w:rFonts w:ascii="宋体"/>
      <w:bCs w:val="0"/>
      <w:sz w:val="44"/>
      <w:szCs w:val="20"/>
    </w:rPr>
  </w:style>
  <w:style w:type="paragraph" w:customStyle="1" w:styleId="98">
    <w:name w:val="Char3"/>
    <w:basedOn w:val="1"/>
    <w:qFormat/>
    <w:uiPriority w:val="0"/>
  </w:style>
  <w:style w:type="paragraph" w:customStyle="1" w:styleId="99">
    <w:name w:val="表格"/>
    <w:basedOn w:val="1"/>
    <w:qFormat/>
    <w:uiPriority w:val="0"/>
    <w:pPr>
      <w:jc w:val="center"/>
    </w:pPr>
    <w:rPr>
      <w:rFonts w:ascii="宋体"/>
      <w:b/>
      <w:szCs w:val="20"/>
    </w:rPr>
  </w:style>
  <w:style w:type="paragraph" w:customStyle="1" w:styleId="100">
    <w:name w:val="Char Char3 Char Char"/>
    <w:basedOn w:val="1"/>
    <w:qFormat/>
    <w:uiPriority w:val="0"/>
    <w:pPr>
      <w:spacing w:line="360" w:lineRule="auto"/>
      <w:ind w:firstLine="200" w:firstLineChars="200"/>
    </w:pPr>
    <w:rPr>
      <w:rFonts w:ascii="宋体" w:hAnsi="宋体" w:cs="宋体"/>
      <w:sz w:val="24"/>
    </w:rPr>
  </w:style>
  <w:style w:type="paragraph" w:customStyle="1" w:styleId="101">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02">
    <w:name w:val="p0"/>
    <w:basedOn w:val="1"/>
    <w:qFormat/>
    <w:uiPriority w:val="0"/>
    <w:pPr>
      <w:widowControl/>
    </w:pPr>
    <w:rPr>
      <w:kern w:val="0"/>
      <w:szCs w:val="21"/>
    </w:rPr>
  </w:style>
  <w:style w:type="paragraph" w:customStyle="1" w:styleId="103">
    <w:name w:val="图框内的文字"/>
    <w:basedOn w:val="1"/>
    <w:qFormat/>
    <w:uiPriority w:val="0"/>
    <w:pPr>
      <w:jc w:val="center"/>
    </w:pPr>
    <w:rPr>
      <w:position w:val="6"/>
      <w:szCs w:val="20"/>
    </w:rPr>
  </w:style>
  <w:style w:type="paragraph" w:customStyle="1" w:styleId="104">
    <w:name w:val="默认段落字体 Para Char"/>
    <w:basedOn w:val="1"/>
    <w:qFormat/>
    <w:uiPriority w:val="0"/>
    <w:rPr>
      <w:rFonts w:ascii="宋体" w:hAnsi="宋体"/>
      <w:b/>
      <w:sz w:val="28"/>
      <w:szCs w:val="28"/>
    </w:rPr>
  </w:style>
  <w:style w:type="paragraph" w:customStyle="1" w:styleId="105">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06">
    <w:name w:val="font12"/>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107">
    <w:name w:val="字元 字元"/>
    <w:basedOn w:val="1"/>
    <w:qFormat/>
    <w:uiPriority w:val="0"/>
    <w:pPr>
      <w:spacing w:line="360" w:lineRule="auto"/>
      <w:ind w:firstLine="200" w:firstLineChars="200"/>
    </w:pPr>
    <w:rPr>
      <w:rFonts w:ascii="宋体" w:hAnsi="宋体" w:cs="宋体"/>
      <w:sz w:val="24"/>
    </w:rPr>
  </w:style>
  <w:style w:type="paragraph" w:customStyle="1" w:styleId="108">
    <w:name w:val="正文段落"/>
    <w:basedOn w:val="1"/>
    <w:qFormat/>
    <w:uiPriority w:val="0"/>
    <w:pPr>
      <w:widowControl/>
      <w:spacing w:after="40" w:line="360" w:lineRule="auto"/>
      <w:ind w:firstLine="200" w:firstLineChars="200"/>
    </w:pPr>
    <w:rPr>
      <w:kern w:val="0"/>
      <w:sz w:val="24"/>
    </w:rPr>
  </w:style>
  <w:style w:type="paragraph" w:customStyle="1" w:styleId="109">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10">
    <w:name w:val="Char Char2 Char"/>
    <w:basedOn w:val="1"/>
    <w:qFormat/>
    <w:uiPriority w:val="0"/>
    <w:rPr>
      <w:rFonts w:ascii="宋体" w:hAnsi="宋体"/>
      <w:b/>
      <w:sz w:val="28"/>
      <w:szCs w:val="28"/>
    </w:rPr>
  </w:style>
  <w:style w:type="paragraph" w:customStyle="1" w:styleId="111">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12">
    <w:name w:val="Char Char"/>
    <w:basedOn w:val="1"/>
    <w:qFormat/>
    <w:uiPriority w:val="0"/>
    <w:rPr>
      <w:rFonts w:ascii="宋体" w:hAnsi="宋体"/>
      <w:b/>
      <w:sz w:val="28"/>
      <w:szCs w:val="28"/>
    </w:rPr>
  </w:style>
  <w:style w:type="paragraph" w:customStyle="1" w:styleId="113">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14">
    <w:name w:val="题注5"/>
    <w:basedOn w:val="1"/>
    <w:next w:val="13"/>
    <w:qFormat/>
    <w:uiPriority w:val="0"/>
    <w:pPr>
      <w:jc w:val="center"/>
    </w:pPr>
    <w:rPr>
      <w:b/>
      <w:color w:val="000000"/>
      <w:sz w:val="24"/>
      <w:szCs w:val="21"/>
    </w:rPr>
  </w:style>
  <w:style w:type="paragraph" w:customStyle="1" w:styleId="115">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116">
    <w:name w:val="题注4"/>
    <w:basedOn w:val="1"/>
    <w:next w:val="13"/>
    <w:qFormat/>
    <w:uiPriority w:val="0"/>
    <w:pPr>
      <w:ind w:left="-132" w:leftChars="-64" w:right="-105" w:rightChars="-50" w:hanging="2"/>
      <w:jc w:val="center"/>
    </w:pPr>
    <w:rPr>
      <w:b/>
      <w:color w:val="FF0000"/>
      <w:szCs w:val="21"/>
      <w:lang w:val="en-GB"/>
    </w:rPr>
  </w:style>
  <w:style w:type="paragraph" w:customStyle="1" w:styleId="117">
    <w:name w:val="表格文字"/>
    <w:basedOn w:val="1"/>
    <w:next w:val="1"/>
    <w:qFormat/>
    <w:uiPriority w:val="0"/>
    <w:pPr>
      <w:spacing w:before="25" w:after="25"/>
      <w:jc w:val="left"/>
    </w:pPr>
    <w:rPr>
      <w:bCs/>
      <w:spacing w:val="10"/>
      <w:kern w:val="0"/>
      <w:sz w:val="24"/>
      <w:szCs w:val="20"/>
    </w:rPr>
  </w:style>
  <w:style w:type="paragraph" w:customStyle="1" w:styleId="118">
    <w:name w:val="文档正文"/>
    <w:basedOn w:val="1"/>
    <w:qFormat/>
    <w:uiPriority w:val="0"/>
    <w:pPr>
      <w:adjustRightInd w:val="0"/>
      <w:spacing w:line="312" w:lineRule="atLeast"/>
      <w:ind w:firstLine="567"/>
      <w:textAlignment w:val="baseline"/>
    </w:pPr>
    <w:rPr>
      <w:rFonts w:ascii="长城仿宋" w:eastAsia="长城仿宋"/>
      <w:kern w:val="0"/>
      <w:sz w:val="28"/>
      <w:szCs w:val="20"/>
    </w:rPr>
  </w:style>
  <w:style w:type="paragraph" w:customStyle="1" w:styleId="11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120">
    <w:name w:val="列出段落1"/>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121">
    <w:name w:val="font6"/>
    <w:basedOn w:val="1"/>
    <w:qFormat/>
    <w:uiPriority w:val="0"/>
    <w:pPr>
      <w:widowControl/>
      <w:spacing w:before="100" w:beforeAutospacing="1" w:after="100" w:afterAutospacing="1"/>
      <w:jc w:val="left"/>
    </w:pPr>
    <w:rPr>
      <w:rFonts w:eastAsia="Arial Unicode MS"/>
      <w:kern w:val="0"/>
      <w:sz w:val="24"/>
    </w:rPr>
  </w:style>
  <w:style w:type="paragraph" w:customStyle="1" w:styleId="122">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2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24">
    <w:name w:val="Char Char Char Char Char Char Char Char Char"/>
    <w:basedOn w:val="1"/>
    <w:qFormat/>
    <w:uiPriority w:val="0"/>
    <w:rPr>
      <w:sz w:val="28"/>
    </w:rPr>
  </w:style>
  <w:style w:type="paragraph" w:customStyle="1" w:styleId="125">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6">
    <w:name w:val="Char Char Char Char Char Char Char"/>
    <w:basedOn w:val="1"/>
    <w:qFormat/>
    <w:uiPriority w:val="0"/>
    <w:pPr>
      <w:tabs>
        <w:tab w:val="left" w:pos="425"/>
      </w:tabs>
      <w:ind w:left="425" w:hanging="425"/>
    </w:pPr>
    <w:rPr>
      <w:rFonts w:eastAsia="仿宋_GB2312"/>
      <w:kern w:val="24"/>
      <w:sz w:val="24"/>
    </w:rPr>
  </w:style>
  <w:style w:type="paragraph" w:customStyle="1" w:styleId="127">
    <w:name w:val="font9"/>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28">
    <w:name w:val="font11"/>
    <w:basedOn w:val="1"/>
    <w:qFormat/>
    <w:uiPriority w:val="0"/>
    <w:pPr>
      <w:widowControl/>
      <w:spacing w:before="100" w:beforeAutospacing="1" w:after="100" w:afterAutospacing="1"/>
      <w:jc w:val="left"/>
    </w:pPr>
    <w:rPr>
      <w:rFonts w:eastAsia="Arial Unicode MS"/>
      <w:color w:val="000000"/>
      <w:kern w:val="0"/>
      <w:szCs w:val="21"/>
    </w:rPr>
  </w:style>
  <w:style w:type="paragraph" w:customStyle="1" w:styleId="12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30">
    <w:name w:val="样式1"/>
    <w:basedOn w:val="5"/>
    <w:qFormat/>
    <w:uiPriority w:val="0"/>
    <w:pPr>
      <w:spacing w:line="416" w:lineRule="auto"/>
      <w:ind w:left="560" w:leftChars="200"/>
    </w:pPr>
    <w:rPr>
      <w:rFonts w:ascii="宋体"/>
      <w:bCs w:val="0"/>
      <w:color w:val="FF0000"/>
    </w:rPr>
  </w:style>
  <w:style w:type="paragraph" w:customStyle="1" w:styleId="131">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132">
    <w:name w:val="Char1 Char Char Char"/>
    <w:basedOn w:val="1"/>
    <w:qFormat/>
    <w:uiPriority w:val="0"/>
    <w:pPr>
      <w:numPr>
        <w:ilvl w:val="0"/>
        <w:numId w:val="2"/>
      </w:numPr>
    </w:pPr>
    <w:rPr>
      <w:sz w:val="24"/>
    </w:rPr>
  </w:style>
  <w:style w:type="paragraph" w:customStyle="1" w:styleId="133">
    <w:name w:val="正文1"/>
    <w:qFormat/>
    <w:uiPriority w:val="0"/>
    <w:pPr>
      <w:widowControl w:val="0"/>
      <w:jc w:val="both"/>
    </w:pPr>
    <w:rPr>
      <w:rFonts w:ascii="Times New Roman" w:hAnsi="Times New Roman" w:eastAsia="宋体" w:cs="Times New Roman"/>
      <w:lang w:val="en-US" w:eastAsia="zh-CN" w:bidi="ar-SA"/>
    </w:rPr>
  </w:style>
  <w:style w:type="paragraph" w:customStyle="1" w:styleId="134">
    <w:name w:val="font8"/>
    <w:basedOn w:val="1"/>
    <w:qFormat/>
    <w:uiPriority w:val="0"/>
    <w:pPr>
      <w:widowControl/>
      <w:spacing w:before="100" w:beforeAutospacing="1" w:after="100" w:afterAutospacing="1"/>
      <w:jc w:val="left"/>
    </w:pPr>
    <w:rPr>
      <w:rFonts w:hint="eastAsia" w:ascii="宋体" w:hAnsi="宋体" w:cs="Arial Unicode MS"/>
      <w:kern w:val="0"/>
      <w:sz w:val="28"/>
      <w:szCs w:val="28"/>
    </w:rPr>
  </w:style>
  <w:style w:type="paragraph" w:customStyle="1" w:styleId="135">
    <w:name w:val="xl33"/>
    <w:basedOn w:val="1"/>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136">
    <w:name w:val="font10"/>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13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13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13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140">
    <w:name w:val="List Paragraph1"/>
    <w:basedOn w:val="1"/>
    <w:qFormat/>
    <w:uiPriority w:val="0"/>
    <w:pPr>
      <w:ind w:firstLine="420" w:firstLineChars="200"/>
    </w:pPr>
    <w:rPr>
      <w:rFonts w:ascii="Calibri" w:hAnsi="Calibri" w:cs="黑体"/>
      <w:szCs w:val="22"/>
    </w:rPr>
  </w:style>
  <w:style w:type="paragraph" w:customStyle="1" w:styleId="14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142">
    <w:name w:val="正文 + 宋体"/>
    <w:basedOn w:val="1"/>
    <w:qFormat/>
    <w:uiPriority w:val="0"/>
    <w:pPr>
      <w:numPr>
        <w:ilvl w:val="0"/>
        <w:numId w:val="3"/>
      </w:numPr>
      <w:autoSpaceDE w:val="0"/>
      <w:autoSpaceDN w:val="0"/>
      <w:spacing w:line="360" w:lineRule="auto"/>
    </w:pPr>
    <w:rPr>
      <w:rFonts w:ascii="宋体" w:hAnsi="宋体"/>
      <w:szCs w:val="21"/>
    </w:rPr>
  </w:style>
  <w:style w:type="paragraph" w:customStyle="1" w:styleId="143">
    <w:name w:val="Char Char Char1 Char Char Char Char Char Char Char"/>
    <w:basedOn w:val="1"/>
    <w:qFormat/>
    <w:uiPriority w:val="0"/>
    <w:rPr>
      <w:rFonts w:ascii="Arial" w:hAnsi="Arial" w:cs="Arial"/>
      <w:sz w:val="20"/>
      <w:szCs w:val="20"/>
    </w:rPr>
  </w:style>
  <w:style w:type="paragraph" w:customStyle="1" w:styleId="144">
    <w:name w:val="表身（左）"/>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145">
    <w:name w:val="_Style 2"/>
    <w:basedOn w:val="1"/>
    <w:qFormat/>
    <w:uiPriority w:val="34"/>
    <w:pPr>
      <w:ind w:firstLine="420" w:firstLineChars="200"/>
    </w:pPr>
  </w:style>
  <w:style w:type="paragraph" w:customStyle="1" w:styleId="146">
    <w:name w:val="Normal_2"/>
    <w:qFormat/>
    <w:uiPriority w:val="0"/>
    <w:pPr>
      <w:spacing w:before="120" w:after="240"/>
      <w:jc w:val="both"/>
    </w:pPr>
    <w:rPr>
      <w:rFonts w:ascii="Calibri" w:hAnsi="Calibri" w:eastAsia="Calibri" w:cs="Times New Roman"/>
      <w:sz w:val="22"/>
      <w:szCs w:val="22"/>
      <w:lang w:val="ru-RU" w:eastAsia="en-US" w:bidi="ar-SA"/>
    </w:rPr>
  </w:style>
  <w:style w:type="paragraph" w:customStyle="1" w:styleId="147">
    <w:name w:val="列举"/>
    <w:basedOn w:val="1"/>
    <w:qFormat/>
    <w:uiPriority w:val="0"/>
    <w:pPr>
      <w:numPr>
        <w:ilvl w:val="0"/>
        <w:numId w:val="4"/>
      </w:numPr>
      <w:spacing w:line="360" w:lineRule="auto"/>
    </w:pPr>
    <w:rPr>
      <w:rFonts w:ascii="宋体"/>
    </w:rPr>
  </w:style>
  <w:style w:type="table" w:customStyle="1" w:styleId="148">
    <w:name w:val="网格型1"/>
    <w:basedOn w:val="4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9">
    <w:name w:val="Placeholder Text"/>
    <w:semiHidden/>
    <w:qFormat/>
    <w:uiPriority w:val="99"/>
    <w:rPr>
      <w:color w:val="808080"/>
    </w:rPr>
  </w:style>
  <w:style w:type="paragraph" w:customStyle="1" w:styleId="150">
    <w:name w:val="样式 样式 标题 4Alt+41.1.1.1 Heading 4bulletblbbH44h4H41h41H42... + 自动..."/>
    <w:basedOn w:val="1"/>
    <w:qFormat/>
    <w:uiPriority w:val="0"/>
    <w:pPr>
      <w:keepNext/>
      <w:keepLines/>
      <w:numPr>
        <w:ilvl w:val="3"/>
        <w:numId w:val="5"/>
      </w:numPr>
      <w:spacing w:before="120" w:after="120" w:line="376" w:lineRule="auto"/>
      <w:outlineLvl w:val="3"/>
    </w:pPr>
    <w:rPr>
      <w:rFonts w:ascii="宋体" w:hAnsi="宋体" w:eastAsia="黑体"/>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DE51DB-101A-4BFA-B8A2-A91F8A5E5B9D}">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53</Pages>
  <Words>25657</Words>
  <Characters>27332</Characters>
  <Lines>196</Lines>
  <Paragraphs>55</Paragraphs>
  <TotalTime>22</TotalTime>
  <ScaleCrop>false</ScaleCrop>
  <LinksUpToDate>false</LinksUpToDate>
  <CharactersWithSpaces>29938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2017-11-24T01:24:00Z</dcterms:created>
  <dc:creator>ibm</dc:creator>
  <cp:lastModifiedBy>冯国辉</cp:lastModifiedBy>
  <cp:lastPrinted>2016-12-28T09:38:00Z</cp:lastPrinted>
  <dcterms:modified xsi:type="dcterms:W3CDTF">2022-06-15T03:42:29Z</dcterms:modified>
  <dc:title>第三部分  政府采购规范文本</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FB33A76588214F839E93C0502BD7D6D7</vt:lpwstr>
  </property>
</Properties>
</file>