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jc w:val="left"/>
        <w:rPr>
          <w:rFonts w:hAnsi="宋体"/>
          <w:bCs/>
          <w:color w:val="auto"/>
          <w:sz w:val="32"/>
          <w:highlight w:val="none"/>
        </w:rPr>
      </w:pPr>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1"/>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hAnsi="宋体"/>
          <w:bCs/>
          <w:color w:val="auto"/>
          <w:sz w:val="52"/>
          <w:szCs w:val="52"/>
          <w:highlight w:val="none"/>
        </w:rPr>
      </w:pPr>
    </w:p>
    <w:p>
      <w:pPr>
        <w:pStyle w:val="23"/>
        <w:widowControl/>
        <w:adjustRightInd w:val="0"/>
        <w:snapToGrid w:val="0"/>
        <w:spacing w:line="360" w:lineRule="auto"/>
        <w:jc w:val="center"/>
        <w:rPr>
          <w:rFonts w:hAnsi="宋体"/>
          <w:b/>
          <w:bCs/>
          <w:color w:val="auto"/>
          <w:sz w:val="52"/>
          <w:szCs w:val="52"/>
          <w:highlight w:val="none"/>
        </w:rPr>
      </w:pPr>
      <w:r>
        <w:rPr>
          <w:rFonts w:hint="eastAsia" w:hAnsi="宋体"/>
          <w:b/>
          <w:bCs/>
          <w:color w:val="auto"/>
          <w:sz w:val="52"/>
          <w:szCs w:val="52"/>
          <w:highlight w:val="none"/>
        </w:rPr>
        <w:t>竞争性谈判</w:t>
      </w:r>
    </w:p>
    <w:p>
      <w:pPr>
        <w:pStyle w:val="23"/>
        <w:widowControl/>
        <w:adjustRightInd w:val="0"/>
        <w:snapToGrid w:val="0"/>
        <w:spacing w:line="360" w:lineRule="auto"/>
        <w:jc w:val="center"/>
        <w:rPr>
          <w:rFonts w:hAnsi="宋体"/>
          <w:bCs/>
          <w:color w:val="auto"/>
          <w:sz w:val="72"/>
          <w:szCs w:val="72"/>
          <w:highlight w:val="none"/>
        </w:rPr>
      </w:pPr>
    </w:p>
    <w:p>
      <w:pPr>
        <w:pStyle w:val="23"/>
        <w:widowControl/>
        <w:adjustRightInd w:val="0"/>
        <w:snapToGrid w:val="0"/>
        <w:spacing w:line="360" w:lineRule="auto"/>
        <w:jc w:val="center"/>
        <w:rPr>
          <w:rFonts w:ascii="黑体" w:hAnsi="黑体" w:eastAsia="黑体"/>
          <w:b/>
          <w:bCs/>
          <w:color w:val="auto"/>
          <w:sz w:val="36"/>
          <w:highlight w:val="none"/>
        </w:rPr>
      </w:pPr>
      <w:r>
        <w:rPr>
          <w:rFonts w:hint="eastAsia" w:ascii="黑体" w:hAnsi="黑体" w:eastAsia="黑体"/>
          <w:b/>
          <w:bCs/>
          <w:color w:val="auto"/>
          <w:sz w:val="72"/>
          <w:highlight w:val="none"/>
        </w:rPr>
        <w:t>谈  判  文  件</w:t>
      </w:r>
    </w:p>
    <w:p>
      <w:pPr>
        <w:pStyle w:val="23"/>
        <w:widowControl/>
        <w:adjustRightInd w:val="0"/>
        <w:snapToGrid w:val="0"/>
        <w:spacing w:line="360" w:lineRule="auto"/>
        <w:jc w:val="center"/>
        <w:rPr>
          <w:rFonts w:hAnsi="宋体"/>
          <w:bCs/>
          <w:color w:val="auto"/>
          <w:sz w:val="52"/>
          <w:szCs w:val="52"/>
          <w:highlight w:val="none"/>
        </w:rPr>
      </w:pPr>
    </w:p>
    <w:p>
      <w:pPr>
        <w:pStyle w:val="23"/>
        <w:widowControl/>
        <w:adjustRightInd w:val="0"/>
        <w:snapToGrid w:val="0"/>
        <w:spacing w:line="360" w:lineRule="auto"/>
        <w:jc w:val="center"/>
        <w:rPr>
          <w:rFonts w:hAnsi="宋体"/>
          <w:bCs/>
          <w:color w:val="auto"/>
          <w:sz w:val="52"/>
          <w:szCs w:val="52"/>
          <w:highlight w:val="none"/>
        </w:rPr>
      </w:pPr>
    </w:p>
    <w:p>
      <w:pPr>
        <w:pStyle w:val="23"/>
        <w:widowControl/>
        <w:adjustRightInd w:val="0"/>
        <w:snapToGrid w:val="0"/>
        <w:spacing w:line="360" w:lineRule="auto"/>
        <w:jc w:val="center"/>
        <w:rPr>
          <w:rFonts w:hAnsi="宋体"/>
          <w:bCs/>
          <w:color w:val="auto"/>
          <w:sz w:val="52"/>
          <w:szCs w:val="52"/>
          <w:highlight w:val="none"/>
        </w:rPr>
      </w:pPr>
    </w:p>
    <w:p>
      <w:pPr>
        <w:pStyle w:val="23"/>
        <w:widowControl/>
        <w:adjustRightInd w:val="0"/>
        <w:snapToGrid w:val="0"/>
        <w:spacing w:line="360" w:lineRule="auto"/>
        <w:rPr>
          <w:rFonts w:hAnsi="宋体"/>
          <w:bCs/>
          <w:color w:val="auto"/>
          <w:sz w:val="52"/>
          <w:szCs w:val="52"/>
          <w:highlight w:val="none"/>
        </w:rPr>
      </w:pPr>
    </w:p>
    <w:tbl>
      <w:tblPr>
        <w:tblStyle w:val="43"/>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3"/>
              <w:widowControl/>
              <w:adjustRightInd w:val="0"/>
              <w:snapToGrid w:val="0"/>
              <w:spacing w:line="360" w:lineRule="auto"/>
              <w:jc w:val="left"/>
              <w:rPr>
                <w:rFonts w:hint="eastAsia" w:hAnsi="宋体" w:eastAsia="宋体"/>
                <w:b/>
                <w:bCs/>
                <w:color w:val="auto"/>
                <w:sz w:val="28"/>
                <w:szCs w:val="28"/>
                <w:highlight w:val="none"/>
                <w:lang w:eastAsia="zh-CN"/>
              </w:rPr>
            </w:pPr>
            <w:r>
              <w:rPr>
                <w:rFonts w:hint="eastAsia" w:hAnsi="宋体"/>
                <w:b/>
                <w:color w:val="auto"/>
                <w:sz w:val="28"/>
                <w:szCs w:val="28"/>
                <w:highlight w:val="none"/>
                <w:lang w:eastAsia="zh-CN"/>
              </w:rPr>
              <w:t>YXZB-20220608</w:t>
            </w:r>
          </w:p>
        </w:tc>
      </w:tr>
      <w:tr>
        <w:tblPrEx>
          <w:tblCellMar>
            <w:top w:w="0" w:type="dxa"/>
            <w:left w:w="108" w:type="dxa"/>
            <w:bottom w:w="0" w:type="dxa"/>
            <w:right w:w="108" w:type="dxa"/>
          </w:tblCellMar>
        </w:tblPrEx>
        <w:trPr>
          <w:trHeight w:val="77" w:hRule="atLeast"/>
        </w:trPr>
        <w:tc>
          <w:tcPr>
            <w:tcW w:w="1951" w:type="dxa"/>
          </w:tcPr>
          <w:p>
            <w:pPr>
              <w:pStyle w:val="23"/>
              <w:widowControl/>
              <w:adjustRightInd w:val="0"/>
              <w:snapToGrid w:val="0"/>
              <w:spacing w:line="360" w:lineRule="auto"/>
              <w:jc w:val="center"/>
              <w:rPr>
                <w:rFonts w:hAnsi="宋体"/>
                <w:b/>
                <w:bCs/>
                <w:color w:val="auto"/>
                <w:sz w:val="28"/>
                <w:szCs w:val="28"/>
                <w:highlight w:val="none"/>
              </w:rPr>
            </w:pPr>
            <w:r>
              <w:rPr>
                <w:rFonts w:hint="eastAsia" w:hAnsi="宋体"/>
                <w:b/>
                <w:bCs/>
                <w:color w:val="auto"/>
                <w:sz w:val="28"/>
                <w:szCs w:val="28"/>
                <w:highlight w:val="none"/>
              </w:rPr>
              <w:t>项 目 名 称</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color w:val="auto"/>
                <w:sz w:val="28"/>
                <w:szCs w:val="28"/>
                <w:highlight w:val="none"/>
                <w:lang w:eastAsia="zh-CN"/>
              </w:rPr>
              <w:t>2022年度阳西县人民法院诉讼档案资料数字化扫描采集项目</w:t>
            </w:r>
          </w:p>
        </w:tc>
      </w:tr>
      <w:tr>
        <w:tblPrEx>
          <w:tblCellMar>
            <w:top w:w="0" w:type="dxa"/>
            <w:left w:w="108" w:type="dxa"/>
            <w:bottom w:w="0" w:type="dxa"/>
            <w:right w:w="108" w:type="dxa"/>
          </w:tblCellMar>
        </w:tblPrEx>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3"/>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阳西县人民法院</w:t>
            </w:r>
          </w:p>
        </w:tc>
      </w:tr>
      <w:tr>
        <w:tblPrEx>
          <w:tblCellMar>
            <w:top w:w="0" w:type="dxa"/>
            <w:left w:w="108" w:type="dxa"/>
            <w:bottom w:w="0" w:type="dxa"/>
            <w:right w:w="108" w:type="dxa"/>
          </w:tblCellMar>
        </w:tblPrEx>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3"/>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3"/>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23"/>
        <w:widowControl/>
        <w:adjustRightInd w:val="0"/>
        <w:snapToGrid w:val="0"/>
        <w:spacing w:line="360" w:lineRule="auto"/>
        <w:jc w:val="center"/>
        <w:rPr>
          <w:rFonts w:hAnsi="宋体"/>
          <w:bCs/>
          <w:color w:val="auto"/>
          <w:sz w:val="24"/>
          <w:szCs w:val="24"/>
          <w:highlight w:val="none"/>
        </w:rPr>
      </w:pPr>
    </w:p>
    <w:p>
      <w:pPr>
        <w:pStyle w:val="23"/>
        <w:widowControl/>
        <w:adjustRightInd w:val="0"/>
        <w:snapToGrid w:val="0"/>
        <w:spacing w:line="360" w:lineRule="auto"/>
        <w:jc w:val="center"/>
        <w:rPr>
          <w:rFonts w:hAnsi="宋体"/>
          <w:b/>
          <w:bCs/>
          <w:color w:val="auto"/>
          <w:sz w:val="24"/>
          <w:szCs w:val="24"/>
          <w:highlight w:val="none"/>
        </w:rPr>
      </w:pPr>
      <w:r>
        <w:rPr>
          <w:rFonts w:hint="eastAsia" w:hAnsi="宋体"/>
          <w:b/>
          <w:bCs/>
          <w:color w:val="auto"/>
          <w:sz w:val="24"/>
          <w:szCs w:val="24"/>
          <w:highlight w:val="none"/>
        </w:rPr>
        <w:t>二○</w:t>
      </w:r>
      <w:r>
        <w:rPr>
          <w:rFonts w:hint="eastAsia" w:hAnsi="宋体"/>
          <w:b/>
          <w:bCs/>
          <w:color w:val="auto"/>
          <w:sz w:val="24"/>
          <w:szCs w:val="24"/>
          <w:highlight w:val="none"/>
          <w:lang w:val="en-US" w:eastAsia="zh-CN"/>
        </w:rPr>
        <w:t>二二</w:t>
      </w:r>
      <w:r>
        <w:rPr>
          <w:rFonts w:hint="eastAsia" w:hAnsi="宋体"/>
          <w:b/>
          <w:bCs/>
          <w:color w:val="auto"/>
          <w:sz w:val="24"/>
          <w:szCs w:val="24"/>
          <w:highlight w:val="none"/>
        </w:rPr>
        <w:t>年</w:t>
      </w:r>
      <w:r>
        <w:rPr>
          <w:rFonts w:hint="eastAsia" w:hAnsi="宋体"/>
          <w:b/>
          <w:bCs/>
          <w:color w:val="auto"/>
          <w:sz w:val="24"/>
          <w:szCs w:val="24"/>
          <w:highlight w:val="none"/>
          <w:lang w:val="en-US" w:eastAsia="zh-CN"/>
        </w:rPr>
        <w:t>六</w:t>
      </w:r>
      <w:r>
        <w:rPr>
          <w:rFonts w:hint="eastAsia" w:hAnsi="宋体"/>
          <w:b/>
          <w:bCs/>
          <w:color w:val="auto"/>
          <w:sz w:val="24"/>
          <w:szCs w:val="24"/>
          <w:highlight w:val="none"/>
        </w:rPr>
        <w:t>月</w:t>
      </w:r>
    </w:p>
    <w:p>
      <w:pPr>
        <w:spacing w:beforeLines="50" w:afterLines="50" w:line="360" w:lineRule="auto"/>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请供应商特别留意谈判文件上注明的投标截止和开标时间，逾期送达或邮寄送达的谈判文件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hint="eastAsia" w:ascii="宋体" w:hAnsi="宋体"/>
          <w:color w:val="auto"/>
          <w:szCs w:val="21"/>
          <w:highlight w:val="none"/>
          <w:lang w:val="en-US" w:eastAsia="zh-CN"/>
        </w:rPr>
        <w:t>现场</w:t>
      </w:r>
      <w:r>
        <w:rPr>
          <w:rFonts w:ascii="宋体" w:hAnsi="宋体"/>
          <w:color w:val="auto"/>
          <w:szCs w:val="21"/>
          <w:highlight w:val="none"/>
        </w:rPr>
        <w:t>。</w:t>
      </w:r>
    </w:p>
    <w:p>
      <w:pPr>
        <w:numPr>
          <w:ilvl w:val="0"/>
          <w:numId w:val="6"/>
        </w:numPr>
        <w:spacing w:line="480" w:lineRule="exact"/>
        <w:ind w:left="709" w:hanging="709"/>
        <w:rPr>
          <w:rFonts w:ascii="宋体" w:hAnsi="宋体"/>
          <w:color w:val="auto"/>
          <w:szCs w:val="21"/>
          <w:highlight w:val="none"/>
        </w:rPr>
      </w:pPr>
      <w:r>
        <w:rPr>
          <w:rFonts w:ascii="宋体" w:hAnsi="宋体"/>
          <w:b/>
          <w:color w:val="auto"/>
          <w:szCs w:val="21"/>
          <w:highlight w:val="none"/>
          <w:u w:val="single"/>
        </w:rPr>
        <w:t>谈判文件中标有“★”的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请仔细检查《投标函》、</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Cs/>
          <w:color w:val="auto"/>
          <w:szCs w:val="21"/>
          <w:highlight w:val="none"/>
        </w:rPr>
        <w:t>。</w:t>
      </w:r>
    </w:p>
    <w:p>
      <w:pPr>
        <w:numPr>
          <w:ilvl w:val="0"/>
          <w:numId w:val="6"/>
        </w:numPr>
        <w:spacing w:line="480" w:lineRule="exact"/>
        <w:ind w:left="709" w:hanging="709"/>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6"/>
        </w:numPr>
        <w:spacing w:line="480" w:lineRule="exact"/>
        <w:ind w:left="709" w:hanging="709"/>
        <w:rPr>
          <w:rFonts w:ascii="宋体" w:hAnsi="宋体"/>
          <w:color w:val="auto"/>
          <w:szCs w:val="21"/>
          <w:highlight w:val="none"/>
        </w:rPr>
      </w:pPr>
      <w:r>
        <w:rPr>
          <w:rFonts w:ascii="宋体" w:hAnsi="宋体"/>
          <w:color w:val="auto"/>
          <w:szCs w:val="21"/>
          <w:highlight w:val="none"/>
        </w:rPr>
        <w:t>建议将谈判文件按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6"/>
        </w:numPr>
        <w:spacing w:line="480" w:lineRule="exact"/>
        <w:ind w:left="709" w:hanging="709"/>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6"/>
        </w:numPr>
        <w:spacing w:line="480" w:lineRule="exact"/>
        <w:ind w:left="709" w:hanging="709"/>
        <w:rPr>
          <w:rFonts w:ascii="宋体" w:hAnsi="宋体" w:cs="仿宋_GB2312"/>
          <w:b/>
          <w:bCs/>
          <w:color w:val="auto"/>
          <w:szCs w:val="21"/>
          <w:highlight w:val="none"/>
          <w:lang w:val="zh-CN"/>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，务必将保证金按谈判文件的要求缴纳，招标代理服务费存入谈判文件指定的服务费账户。切勿将款项转错账户，以免影响采购活动。</w:t>
      </w:r>
    </w:p>
    <w:p>
      <w:pPr>
        <w:numPr>
          <w:ilvl w:val="0"/>
          <w:numId w:val="6"/>
        </w:numPr>
        <w:spacing w:line="480" w:lineRule="exact"/>
        <w:ind w:left="709" w:hanging="709"/>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为采购代理机构，不对供应商购买谈判文件时提交的相关资料的真伪做出判断，如供应商发现相关资料被盗用或复制，建议遵循法律途径解决，追究侵权者责任。对一家供应商递交两份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谈判小组</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3"/>
        <w:widowControl/>
        <w:adjustRightInd w:val="0"/>
        <w:snapToGrid w:val="0"/>
        <w:spacing w:line="480" w:lineRule="exact"/>
        <w:jc w:val="center"/>
        <w:rPr>
          <w:rFonts w:hAnsi="宋体"/>
          <w:bCs/>
          <w:color w:val="auto"/>
          <w:sz w:val="24"/>
          <w:szCs w:val="24"/>
          <w:highlight w:val="none"/>
        </w:rPr>
      </w:pPr>
      <w:r>
        <w:rPr>
          <w:rFonts w:hint="eastAsia" w:hAnsi="宋体" w:cs="仿宋_GB2312"/>
          <w:b/>
          <w:bCs/>
          <w:color w:val="auto"/>
          <w:highlight w:val="none"/>
          <w:lang w:val="zh-CN"/>
        </w:rPr>
        <w:t>（本提示内容非谈判文件的组成部分，仅为善意提醒。如有不一致，以谈判文件为准。）</w:t>
      </w:r>
    </w:p>
    <w:p>
      <w:pPr>
        <w:pStyle w:val="23"/>
        <w:widowControl/>
        <w:adjustRightInd w:val="0"/>
        <w:snapToGrid w:val="0"/>
        <w:spacing w:line="360" w:lineRule="auto"/>
        <w:rPr>
          <w:rFonts w:hAnsi="宋体"/>
          <w:bCs/>
          <w:color w:val="auto"/>
          <w:sz w:val="24"/>
          <w:szCs w:val="24"/>
          <w:highlight w:val="none"/>
        </w:rPr>
        <w:sectPr>
          <w:footerReference r:id="rId6" w:type="first"/>
          <w:headerReference r:id="rId3" w:type="default"/>
          <w:footerReference r:id="rId4" w:type="default"/>
          <w:footerReference r:id="rId5" w:type="even"/>
          <w:pgSz w:w="11907" w:h="16840"/>
          <w:pgMar w:top="1985" w:right="1474" w:bottom="1418" w:left="1474" w:header="851" w:footer="851" w:gutter="0"/>
          <w:cols w:space="720" w:num="1"/>
          <w:docGrid w:linePitch="380" w:charSpace="-5735"/>
        </w:sectPr>
      </w:pPr>
    </w:p>
    <w:p>
      <w:pPr>
        <w:pStyle w:val="37"/>
        <w:bidi w:val="0"/>
        <w:jc w:val="center"/>
        <w:rPr>
          <w:color w:val="auto"/>
          <w:highlight w:val="none"/>
        </w:rPr>
      </w:pPr>
      <w:r>
        <w:rPr>
          <w:rFonts w:hint="eastAsia"/>
          <w:color w:val="auto"/>
          <w:highlight w:val="none"/>
        </w:rPr>
        <w:t>目     录</w:t>
      </w:r>
    </w:p>
    <w:p>
      <w:pPr>
        <w:pStyle w:val="37"/>
        <w:bidi w:val="0"/>
        <w:rPr>
          <w:color w:val="auto"/>
          <w:highlight w:val="none"/>
        </w:rPr>
      </w:pPr>
      <w:r>
        <w:rPr>
          <w:color w:val="auto"/>
          <w:highlight w:val="none"/>
        </w:rPr>
        <w:fldChar w:fldCharType="begin"/>
      </w:r>
      <w:r>
        <w:rPr>
          <w:color w:val="auto"/>
          <w:highlight w:val="none"/>
        </w:rPr>
        <w:instrText xml:space="preserve"> TOC \o "1-3" \h \z \u </w:instrText>
      </w:r>
      <w:r>
        <w:rPr>
          <w:color w:val="auto"/>
          <w:highlight w:val="none"/>
        </w:rPr>
        <w:fldChar w:fldCharType="separate"/>
      </w:r>
      <w:r>
        <w:rPr>
          <w:color w:val="auto"/>
          <w:highlight w:val="none"/>
        </w:rPr>
        <w:fldChar w:fldCharType="begin"/>
      </w:r>
      <w:r>
        <w:rPr>
          <w:color w:val="auto"/>
          <w:highlight w:val="none"/>
        </w:rPr>
        <w:instrText xml:space="preserve"> HYPERLINK \l _Toc26260 </w:instrText>
      </w:r>
      <w:r>
        <w:rPr>
          <w:color w:val="auto"/>
          <w:highlight w:val="none"/>
        </w:rPr>
        <w:fldChar w:fldCharType="separate"/>
      </w:r>
      <w:r>
        <w:rPr>
          <w:rFonts w:hint="eastAsia"/>
          <w:color w:val="auto"/>
          <w:highlight w:val="none"/>
        </w:rPr>
        <w:t>第一部分  竞争性谈判邀请书</w:t>
      </w:r>
      <w:r>
        <w:rPr>
          <w:color w:val="auto"/>
          <w:highlight w:val="none"/>
        </w:rPr>
        <w:tab/>
      </w:r>
      <w:r>
        <w:rPr>
          <w:color w:val="auto"/>
          <w:highlight w:val="none"/>
        </w:rPr>
        <w:fldChar w:fldCharType="begin"/>
      </w:r>
      <w:r>
        <w:rPr>
          <w:color w:val="auto"/>
          <w:highlight w:val="none"/>
        </w:rPr>
        <w:instrText xml:space="preserve"> PAGEREF _Toc26260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_Toc17052 </w:instrText>
      </w:r>
      <w:r>
        <w:rPr>
          <w:color w:val="auto"/>
          <w:highlight w:val="none"/>
        </w:rPr>
        <w:fldChar w:fldCharType="separate"/>
      </w:r>
      <w:r>
        <w:rPr>
          <w:rFonts w:hint="eastAsia"/>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_Toc17052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_Toc23452 </w:instrText>
      </w:r>
      <w:r>
        <w:rPr>
          <w:color w:val="auto"/>
          <w:highlight w:val="none"/>
        </w:rPr>
        <w:fldChar w:fldCharType="separate"/>
      </w:r>
      <w:r>
        <w:rPr>
          <w:rFonts w:hint="eastAsia"/>
          <w:color w:val="auto"/>
          <w:highlight w:val="none"/>
        </w:rPr>
        <w:t>项目编号：</w:t>
      </w:r>
      <w:r>
        <w:rPr>
          <w:rFonts w:hint="eastAsia"/>
          <w:color w:val="auto"/>
          <w:highlight w:val="none"/>
          <w:lang w:eastAsia="zh-CN"/>
        </w:rPr>
        <w:t>YXZB-20220608</w:t>
      </w:r>
      <w:r>
        <w:rPr>
          <w:color w:val="auto"/>
          <w:highlight w:val="none"/>
        </w:rPr>
        <w:tab/>
      </w:r>
      <w:r>
        <w:rPr>
          <w:color w:val="auto"/>
          <w:highlight w:val="none"/>
        </w:rPr>
        <w:fldChar w:fldCharType="begin"/>
      </w:r>
      <w:r>
        <w:rPr>
          <w:color w:val="auto"/>
          <w:highlight w:val="none"/>
        </w:rPr>
        <w:instrText xml:space="preserve"> PAGEREF _Toc23452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_Toc5572 </w:instrText>
      </w:r>
      <w:r>
        <w:rPr>
          <w:color w:val="auto"/>
          <w:highlight w:val="none"/>
        </w:rPr>
        <w:fldChar w:fldCharType="separate"/>
      </w:r>
      <w:r>
        <w:rPr>
          <w:rFonts w:hint="eastAsia"/>
          <w:color w:val="auto"/>
          <w:highlight w:val="none"/>
        </w:rPr>
        <w:t>项目名称：</w:t>
      </w:r>
      <w:r>
        <w:rPr>
          <w:rFonts w:hint="eastAsia"/>
          <w:color w:val="auto"/>
          <w:highlight w:val="none"/>
          <w:lang w:eastAsia="zh-CN"/>
        </w:rPr>
        <w:t>2022年度阳西县人民法院诉讼档案资料数字化扫描采集项目</w:t>
      </w:r>
      <w:r>
        <w:rPr>
          <w:color w:val="auto"/>
          <w:highlight w:val="none"/>
        </w:rPr>
        <w:tab/>
      </w:r>
      <w:r>
        <w:rPr>
          <w:color w:val="auto"/>
          <w:highlight w:val="none"/>
        </w:rPr>
        <w:fldChar w:fldCharType="begin"/>
      </w:r>
      <w:r>
        <w:rPr>
          <w:color w:val="auto"/>
          <w:highlight w:val="none"/>
        </w:rPr>
        <w:instrText xml:space="preserve"> PAGEREF _Toc5572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_Toc29317 </w:instrText>
      </w:r>
      <w:r>
        <w:rPr>
          <w:color w:val="auto"/>
          <w:highlight w:val="none"/>
        </w:rPr>
        <w:fldChar w:fldCharType="separate"/>
      </w:r>
      <w:r>
        <w:rPr>
          <w:color w:val="auto"/>
          <w:highlight w:val="none"/>
        </w:rPr>
        <w:t xml:space="preserve">A  </w:t>
      </w:r>
      <w:r>
        <w:rPr>
          <w:rFonts w:hint="eastAsia"/>
          <w:color w:val="auto"/>
          <w:highlight w:val="none"/>
        </w:rPr>
        <w:t>商务要求</w:t>
      </w:r>
      <w:r>
        <w:rPr>
          <w:color w:val="auto"/>
          <w:highlight w:val="none"/>
        </w:rPr>
        <w:tab/>
      </w:r>
      <w:r>
        <w:rPr>
          <w:color w:val="auto"/>
          <w:highlight w:val="none"/>
        </w:rPr>
        <w:fldChar w:fldCharType="begin"/>
      </w:r>
      <w:r>
        <w:rPr>
          <w:color w:val="auto"/>
          <w:highlight w:val="none"/>
        </w:rPr>
        <w:instrText xml:space="preserve"> PAGEREF _Toc29317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_Toc10881 </w:instrText>
      </w:r>
      <w:r>
        <w:rPr>
          <w:color w:val="auto"/>
          <w:highlight w:val="none"/>
        </w:rPr>
        <w:fldChar w:fldCharType="separate"/>
      </w:r>
      <w:r>
        <w:rPr>
          <w:rFonts w:hint="eastAsia"/>
          <w:color w:val="auto"/>
          <w:highlight w:val="none"/>
        </w:rPr>
        <w:t>B  技术要求</w:t>
      </w:r>
      <w:r>
        <w:rPr>
          <w:color w:val="auto"/>
          <w:highlight w:val="none"/>
        </w:rPr>
        <w:tab/>
      </w:r>
      <w:r>
        <w:rPr>
          <w:color w:val="auto"/>
          <w:highlight w:val="none"/>
        </w:rPr>
        <w:fldChar w:fldCharType="begin"/>
      </w:r>
      <w:r>
        <w:rPr>
          <w:color w:val="auto"/>
          <w:highlight w:val="none"/>
        </w:rPr>
        <w:instrText xml:space="preserve"> PAGEREF _Toc10881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_Toc2052 </w:instrText>
      </w:r>
      <w:r>
        <w:rPr>
          <w:color w:val="auto"/>
          <w:highlight w:val="none"/>
        </w:rPr>
        <w:fldChar w:fldCharType="separate"/>
      </w:r>
      <w:r>
        <w:rPr>
          <w:rFonts w:hint="eastAsia"/>
          <w:color w:val="auto"/>
          <w:highlight w:val="none"/>
        </w:rPr>
        <w:t>第三部分 报价须知</w:t>
      </w:r>
      <w:r>
        <w:rPr>
          <w:color w:val="auto"/>
          <w:highlight w:val="none"/>
        </w:rPr>
        <w:tab/>
      </w:r>
      <w:r>
        <w:rPr>
          <w:color w:val="auto"/>
          <w:highlight w:val="none"/>
        </w:rPr>
        <w:fldChar w:fldCharType="begin"/>
      </w:r>
      <w:r>
        <w:rPr>
          <w:color w:val="auto"/>
          <w:highlight w:val="none"/>
        </w:rPr>
        <w:instrText xml:space="preserve"> PAGEREF _Toc2052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_Toc20107 </w:instrText>
      </w:r>
      <w:r>
        <w:rPr>
          <w:color w:val="auto"/>
          <w:highlight w:val="none"/>
        </w:rPr>
        <w:fldChar w:fldCharType="separate"/>
      </w:r>
      <w:r>
        <w:rPr>
          <w:rFonts w:hint="eastAsia"/>
          <w:color w:val="auto"/>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_Toc20107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_Toc20341 </w:instrText>
      </w:r>
      <w:r>
        <w:rPr>
          <w:color w:val="auto"/>
          <w:highlight w:val="none"/>
        </w:rPr>
        <w:fldChar w:fldCharType="separate"/>
      </w:r>
      <w:r>
        <w:rPr>
          <w:color w:val="auto"/>
          <w:highlight w:val="none"/>
        </w:rPr>
        <w:t>1</w:t>
      </w:r>
      <w:r>
        <w:rPr>
          <w:rFonts w:hint="eastAsia"/>
          <w:color w:val="auto"/>
          <w:highlight w:val="none"/>
        </w:rPr>
        <w:tab/>
      </w:r>
      <w:r>
        <w:rPr>
          <w:rFonts w:hint="eastAsia"/>
          <w:color w:val="auto"/>
          <w:highlight w:val="none"/>
        </w:rPr>
        <w:t>适用范围和资金来源</w:t>
      </w:r>
      <w:r>
        <w:rPr>
          <w:color w:val="auto"/>
          <w:highlight w:val="none"/>
        </w:rPr>
        <w:tab/>
      </w:r>
      <w:r>
        <w:rPr>
          <w:color w:val="auto"/>
          <w:highlight w:val="none"/>
        </w:rPr>
        <w:fldChar w:fldCharType="begin"/>
      </w:r>
      <w:r>
        <w:rPr>
          <w:color w:val="auto"/>
          <w:highlight w:val="none"/>
        </w:rPr>
        <w:instrText xml:space="preserve"> PAGEREF _Toc20341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_Toc14893 </w:instrText>
      </w:r>
      <w:r>
        <w:rPr>
          <w:color w:val="auto"/>
          <w:highlight w:val="none"/>
        </w:rPr>
        <w:fldChar w:fldCharType="separate"/>
      </w:r>
      <w:r>
        <w:rPr>
          <w:color w:val="auto"/>
          <w:highlight w:val="none"/>
        </w:rPr>
        <w:t>2</w:t>
      </w:r>
      <w:r>
        <w:rPr>
          <w:rFonts w:hint="eastAsia"/>
          <w:color w:val="auto"/>
          <w:highlight w:val="none"/>
        </w:rPr>
        <w:tab/>
      </w:r>
      <w:r>
        <w:rPr>
          <w:rFonts w:hint="eastAsia"/>
          <w:color w:val="auto"/>
          <w:highlight w:val="none"/>
        </w:rPr>
        <w:t>定义</w:t>
      </w:r>
      <w:r>
        <w:rPr>
          <w:color w:val="auto"/>
          <w:highlight w:val="none"/>
        </w:rPr>
        <w:tab/>
      </w:r>
      <w:r>
        <w:rPr>
          <w:color w:val="auto"/>
          <w:highlight w:val="none"/>
        </w:rPr>
        <w:fldChar w:fldCharType="begin"/>
      </w:r>
      <w:r>
        <w:rPr>
          <w:color w:val="auto"/>
          <w:highlight w:val="none"/>
        </w:rPr>
        <w:instrText xml:space="preserve"> PAGEREF _Toc14893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_Toc12498 </w:instrText>
      </w:r>
      <w:r>
        <w:rPr>
          <w:color w:val="auto"/>
          <w:highlight w:val="none"/>
        </w:rPr>
        <w:fldChar w:fldCharType="separate"/>
      </w:r>
      <w:r>
        <w:rPr>
          <w:color w:val="auto"/>
          <w:highlight w:val="none"/>
        </w:rPr>
        <w:t>3</w:t>
      </w:r>
      <w:r>
        <w:rPr>
          <w:rFonts w:hint="eastAsia"/>
          <w:color w:val="auto"/>
          <w:highlight w:val="none"/>
        </w:rPr>
        <w:tab/>
      </w:r>
      <w:r>
        <w:rPr>
          <w:rFonts w:hint="eastAsia"/>
          <w:color w:val="auto"/>
          <w:highlight w:val="none"/>
        </w:rPr>
        <w:t>合格的供应商</w:t>
      </w:r>
      <w:r>
        <w:rPr>
          <w:color w:val="auto"/>
          <w:highlight w:val="none"/>
        </w:rPr>
        <w:tab/>
      </w:r>
      <w:r>
        <w:rPr>
          <w:color w:val="auto"/>
          <w:highlight w:val="none"/>
        </w:rPr>
        <w:fldChar w:fldCharType="begin"/>
      </w:r>
      <w:r>
        <w:rPr>
          <w:color w:val="auto"/>
          <w:highlight w:val="none"/>
        </w:rPr>
        <w:instrText xml:space="preserve"> PAGEREF _Toc12498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_Toc27369 </w:instrText>
      </w:r>
      <w:r>
        <w:rPr>
          <w:color w:val="auto"/>
          <w:highlight w:val="none"/>
        </w:rPr>
        <w:fldChar w:fldCharType="separate"/>
      </w:r>
      <w:r>
        <w:rPr>
          <w:color w:val="auto"/>
          <w:highlight w:val="none"/>
        </w:rPr>
        <w:t>4</w:t>
      </w:r>
      <w:r>
        <w:rPr>
          <w:rFonts w:hint="eastAsia"/>
          <w:color w:val="auto"/>
          <w:highlight w:val="none"/>
        </w:rPr>
        <w:tab/>
      </w:r>
      <w:r>
        <w:rPr>
          <w:rFonts w:hint="eastAsia"/>
          <w:color w:val="auto"/>
          <w:highlight w:val="none"/>
        </w:rPr>
        <w:t>谈判费用</w:t>
      </w:r>
      <w:r>
        <w:rPr>
          <w:color w:val="auto"/>
          <w:highlight w:val="none"/>
        </w:rPr>
        <w:tab/>
      </w:r>
      <w:r>
        <w:rPr>
          <w:color w:val="auto"/>
          <w:highlight w:val="none"/>
        </w:rPr>
        <w:fldChar w:fldCharType="begin"/>
      </w:r>
      <w:r>
        <w:rPr>
          <w:color w:val="auto"/>
          <w:highlight w:val="none"/>
        </w:rPr>
        <w:instrText xml:space="preserve"> PAGEREF _Toc27369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_Toc23360 </w:instrText>
      </w:r>
      <w:r>
        <w:rPr>
          <w:color w:val="auto"/>
          <w:highlight w:val="none"/>
        </w:rPr>
        <w:fldChar w:fldCharType="separate"/>
      </w:r>
      <w:r>
        <w:rPr>
          <w:rFonts w:hint="eastAsia"/>
          <w:color w:val="auto"/>
          <w:highlight w:val="none"/>
        </w:rPr>
        <w:t>Ｂ谈判文件说明</w:t>
      </w:r>
      <w:r>
        <w:rPr>
          <w:color w:val="auto"/>
          <w:highlight w:val="none"/>
        </w:rPr>
        <w:tab/>
      </w:r>
      <w:r>
        <w:rPr>
          <w:color w:val="auto"/>
          <w:highlight w:val="none"/>
        </w:rPr>
        <w:fldChar w:fldCharType="begin"/>
      </w:r>
      <w:r>
        <w:rPr>
          <w:color w:val="auto"/>
          <w:highlight w:val="none"/>
        </w:rPr>
        <w:instrText xml:space="preserve"> PAGEREF _Toc23360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_Toc1108 </w:instrText>
      </w:r>
      <w:r>
        <w:rPr>
          <w:color w:val="auto"/>
          <w:highlight w:val="none"/>
        </w:rPr>
        <w:fldChar w:fldCharType="separate"/>
      </w:r>
      <w:r>
        <w:rPr>
          <w:color w:val="auto"/>
          <w:highlight w:val="none"/>
        </w:rPr>
        <w:t>5</w:t>
      </w:r>
      <w:r>
        <w:rPr>
          <w:rFonts w:hint="eastAsia"/>
          <w:color w:val="auto"/>
          <w:highlight w:val="none"/>
        </w:rPr>
        <w:tab/>
      </w:r>
      <w:r>
        <w:rPr>
          <w:rFonts w:hint="eastAsia"/>
          <w:color w:val="auto"/>
          <w:highlight w:val="none"/>
        </w:rPr>
        <w:t>谈判文件的构成</w:t>
      </w:r>
      <w:r>
        <w:rPr>
          <w:color w:val="auto"/>
          <w:highlight w:val="none"/>
        </w:rPr>
        <w:tab/>
      </w:r>
      <w:r>
        <w:rPr>
          <w:color w:val="auto"/>
          <w:highlight w:val="none"/>
        </w:rPr>
        <w:fldChar w:fldCharType="begin"/>
      </w:r>
      <w:r>
        <w:rPr>
          <w:color w:val="auto"/>
          <w:highlight w:val="none"/>
        </w:rPr>
        <w:instrText xml:space="preserve"> PAGEREF _Toc1108 \h </w:instrText>
      </w:r>
      <w:r>
        <w:rPr>
          <w:color w:val="auto"/>
          <w:highlight w:val="none"/>
        </w:rPr>
        <w:fldChar w:fldCharType="separate"/>
      </w:r>
      <w:r>
        <w:rPr>
          <w:color w:val="auto"/>
          <w:highlight w:val="none"/>
        </w:rPr>
        <w:t>12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_Toc22779 </w:instrText>
      </w:r>
      <w:r>
        <w:rPr>
          <w:color w:val="auto"/>
          <w:highlight w:val="none"/>
        </w:rPr>
        <w:fldChar w:fldCharType="separate"/>
      </w:r>
      <w:r>
        <w:rPr>
          <w:color w:val="auto"/>
          <w:highlight w:val="none"/>
        </w:rPr>
        <w:t>6</w:t>
      </w:r>
      <w:r>
        <w:rPr>
          <w:rFonts w:hint="eastAsia"/>
          <w:color w:val="auto"/>
          <w:highlight w:val="none"/>
        </w:rPr>
        <w:tab/>
      </w:r>
      <w:r>
        <w:rPr>
          <w:rFonts w:hint="eastAsia"/>
          <w:color w:val="auto"/>
          <w:highlight w:val="none"/>
        </w:rPr>
        <w:t>谈判文件的澄清</w:t>
      </w:r>
      <w:r>
        <w:rPr>
          <w:color w:val="auto"/>
          <w:highlight w:val="none"/>
        </w:rPr>
        <w:tab/>
      </w:r>
      <w:r>
        <w:rPr>
          <w:color w:val="auto"/>
          <w:highlight w:val="none"/>
        </w:rPr>
        <w:fldChar w:fldCharType="begin"/>
      </w:r>
      <w:r>
        <w:rPr>
          <w:color w:val="auto"/>
          <w:highlight w:val="none"/>
        </w:rPr>
        <w:instrText xml:space="preserve"> PAGEREF _Toc22779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_Toc28879 </w:instrText>
      </w:r>
      <w:r>
        <w:rPr>
          <w:color w:val="auto"/>
          <w:highlight w:val="none"/>
        </w:rPr>
        <w:fldChar w:fldCharType="separate"/>
      </w:r>
      <w:r>
        <w:rPr>
          <w:color w:val="auto"/>
          <w:highlight w:val="none"/>
        </w:rPr>
        <w:t>7</w:t>
      </w:r>
      <w:r>
        <w:rPr>
          <w:rFonts w:hint="eastAsia"/>
          <w:color w:val="auto"/>
          <w:highlight w:val="none"/>
        </w:rPr>
        <w:tab/>
      </w:r>
      <w:r>
        <w:rPr>
          <w:rFonts w:hint="eastAsia"/>
          <w:color w:val="auto"/>
          <w:highlight w:val="none"/>
        </w:rPr>
        <w:t>谈判文件的修改</w:t>
      </w:r>
      <w:r>
        <w:rPr>
          <w:color w:val="auto"/>
          <w:highlight w:val="none"/>
        </w:rPr>
        <w:tab/>
      </w:r>
      <w:r>
        <w:rPr>
          <w:color w:val="auto"/>
          <w:highlight w:val="none"/>
        </w:rPr>
        <w:fldChar w:fldCharType="begin"/>
      </w:r>
      <w:r>
        <w:rPr>
          <w:color w:val="auto"/>
          <w:highlight w:val="none"/>
        </w:rPr>
        <w:instrText xml:space="preserve"> PAGEREF _Toc28879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_Toc6058 </w:instrText>
      </w:r>
      <w:r>
        <w:rPr>
          <w:color w:val="auto"/>
          <w:highlight w:val="none"/>
        </w:rPr>
        <w:fldChar w:fldCharType="separate"/>
      </w:r>
      <w:r>
        <w:rPr>
          <w:rFonts w:hint="eastAsia"/>
          <w:color w:val="auto"/>
          <w:highlight w:val="none"/>
        </w:rPr>
        <w:t>Ｃ谈判文件的编制</w:t>
      </w:r>
      <w:r>
        <w:rPr>
          <w:color w:val="auto"/>
          <w:highlight w:val="none"/>
        </w:rPr>
        <w:tab/>
      </w:r>
      <w:r>
        <w:rPr>
          <w:color w:val="auto"/>
          <w:highlight w:val="none"/>
        </w:rPr>
        <w:fldChar w:fldCharType="begin"/>
      </w:r>
      <w:r>
        <w:rPr>
          <w:color w:val="auto"/>
          <w:highlight w:val="none"/>
        </w:rPr>
        <w:instrText xml:space="preserve"> PAGEREF _Toc6058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_Toc2308 </w:instrText>
      </w:r>
      <w:r>
        <w:rPr>
          <w:color w:val="auto"/>
          <w:highlight w:val="none"/>
        </w:rPr>
        <w:fldChar w:fldCharType="separate"/>
      </w:r>
      <w:r>
        <w:rPr>
          <w:rFonts w:hint="eastAsia"/>
          <w:color w:val="auto"/>
          <w:highlight w:val="none"/>
        </w:rPr>
        <w:t>8</w:t>
      </w:r>
      <w:r>
        <w:rPr>
          <w:rFonts w:hint="eastAsia"/>
          <w:color w:val="auto"/>
          <w:highlight w:val="none"/>
        </w:rPr>
        <w:tab/>
      </w:r>
      <w:r>
        <w:rPr>
          <w:rFonts w:hint="eastAsia"/>
          <w:color w:val="auto"/>
          <w:highlight w:val="none"/>
        </w:rPr>
        <w:t>要求</w:t>
      </w:r>
      <w:r>
        <w:rPr>
          <w:color w:val="auto"/>
          <w:highlight w:val="none"/>
        </w:rPr>
        <w:tab/>
      </w:r>
      <w:r>
        <w:rPr>
          <w:color w:val="auto"/>
          <w:highlight w:val="none"/>
        </w:rPr>
        <w:fldChar w:fldCharType="begin"/>
      </w:r>
      <w:r>
        <w:rPr>
          <w:color w:val="auto"/>
          <w:highlight w:val="none"/>
        </w:rPr>
        <w:instrText xml:space="preserve"> PAGEREF _Toc2308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_Toc12393 </w:instrText>
      </w:r>
      <w:r>
        <w:rPr>
          <w:color w:val="auto"/>
          <w:highlight w:val="none"/>
        </w:rPr>
        <w:fldChar w:fldCharType="separate"/>
      </w:r>
      <w:r>
        <w:rPr>
          <w:color w:val="auto"/>
          <w:highlight w:val="none"/>
        </w:rPr>
        <w:t>9</w:t>
      </w:r>
      <w:r>
        <w:rPr>
          <w:rFonts w:hint="eastAsia"/>
          <w:color w:val="auto"/>
          <w:highlight w:val="none"/>
        </w:rPr>
        <w:tab/>
      </w:r>
      <w:r>
        <w:rPr>
          <w:rFonts w:hint="eastAsia"/>
          <w:color w:val="auto"/>
          <w:highlight w:val="none"/>
        </w:rPr>
        <w:t>投标语言及计量单位</w:t>
      </w:r>
      <w:r>
        <w:rPr>
          <w:color w:val="auto"/>
          <w:highlight w:val="none"/>
        </w:rPr>
        <w:tab/>
      </w:r>
      <w:r>
        <w:rPr>
          <w:color w:val="auto"/>
          <w:highlight w:val="none"/>
        </w:rPr>
        <w:fldChar w:fldCharType="begin"/>
      </w:r>
      <w:r>
        <w:rPr>
          <w:color w:val="auto"/>
          <w:highlight w:val="none"/>
        </w:rPr>
        <w:instrText xml:space="preserve"> PAGEREF _Toc12393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_Toc80 </w:instrText>
      </w:r>
      <w:r>
        <w:rPr>
          <w:color w:val="auto"/>
          <w:highlight w:val="none"/>
        </w:rPr>
        <w:fldChar w:fldCharType="separate"/>
      </w:r>
      <w:r>
        <w:rPr>
          <w:color w:val="auto"/>
          <w:highlight w:val="none"/>
        </w:rPr>
        <w:t>10</w:t>
      </w:r>
      <w:r>
        <w:rPr>
          <w:rFonts w:hint="eastAsia"/>
          <w:color w:val="auto"/>
          <w:highlight w:val="none"/>
        </w:rPr>
        <w:tab/>
      </w:r>
      <w:r>
        <w:rPr>
          <w:rFonts w:hint="eastAsia"/>
          <w:color w:val="auto"/>
          <w:highlight w:val="none"/>
        </w:rPr>
        <w:t>谈判文件的构成</w:t>
      </w:r>
      <w:r>
        <w:rPr>
          <w:color w:val="auto"/>
          <w:highlight w:val="none"/>
        </w:rPr>
        <w:tab/>
      </w:r>
      <w:r>
        <w:rPr>
          <w:color w:val="auto"/>
          <w:highlight w:val="none"/>
        </w:rPr>
        <w:fldChar w:fldCharType="begin"/>
      </w:r>
      <w:r>
        <w:rPr>
          <w:color w:val="auto"/>
          <w:highlight w:val="none"/>
        </w:rPr>
        <w:instrText xml:space="preserve"> PAGEREF _Toc80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_Toc21768 </w:instrText>
      </w:r>
      <w:r>
        <w:rPr>
          <w:color w:val="auto"/>
          <w:highlight w:val="none"/>
        </w:rPr>
        <w:fldChar w:fldCharType="separate"/>
      </w:r>
      <w:r>
        <w:rPr>
          <w:color w:val="auto"/>
          <w:highlight w:val="none"/>
        </w:rPr>
        <w:t>11</w:t>
      </w:r>
      <w:r>
        <w:rPr>
          <w:rFonts w:hint="eastAsia"/>
          <w:color w:val="auto"/>
          <w:highlight w:val="none"/>
        </w:rPr>
        <w:tab/>
      </w:r>
      <w:r>
        <w:rPr>
          <w:rFonts w:hint="eastAsia"/>
          <w:color w:val="auto"/>
          <w:highlight w:val="none"/>
        </w:rPr>
        <w:t>谈判响应文件格式</w:t>
      </w:r>
      <w:r>
        <w:rPr>
          <w:color w:val="auto"/>
          <w:highlight w:val="none"/>
        </w:rPr>
        <w:tab/>
      </w:r>
      <w:r>
        <w:rPr>
          <w:color w:val="auto"/>
          <w:highlight w:val="none"/>
        </w:rPr>
        <w:fldChar w:fldCharType="begin"/>
      </w:r>
      <w:r>
        <w:rPr>
          <w:color w:val="auto"/>
          <w:highlight w:val="none"/>
        </w:rPr>
        <w:instrText xml:space="preserve"> PAGEREF _Toc21768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_Toc1414 </w:instrText>
      </w:r>
      <w:r>
        <w:rPr>
          <w:color w:val="auto"/>
          <w:highlight w:val="none"/>
        </w:rPr>
        <w:fldChar w:fldCharType="separate"/>
      </w:r>
      <w:r>
        <w:rPr>
          <w:rFonts w:hint="eastAsia"/>
          <w:color w:val="auto"/>
          <w:highlight w:val="none"/>
        </w:rPr>
        <w:t>12</w:t>
      </w:r>
      <w:r>
        <w:rPr>
          <w:rFonts w:hint="eastAsia"/>
          <w:color w:val="auto"/>
          <w:highlight w:val="none"/>
        </w:rPr>
        <w:tab/>
      </w:r>
      <w:r>
        <w:rPr>
          <w:rFonts w:hint="eastAsia"/>
          <w:color w:val="auto"/>
          <w:highlight w:val="none"/>
        </w:rPr>
        <w:t>资格证明文件</w:t>
      </w:r>
      <w:r>
        <w:rPr>
          <w:color w:val="auto"/>
          <w:highlight w:val="none"/>
        </w:rPr>
        <w:tab/>
      </w:r>
      <w:r>
        <w:rPr>
          <w:color w:val="auto"/>
          <w:highlight w:val="none"/>
        </w:rPr>
        <w:fldChar w:fldCharType="begin"/>
      </w:r>
      <w:r>
        <w:rPr>
          <w:color w:val="auto"/>
          <w:highlight w:val="none"/>
        </w:rPr>
        <w:instrText xml:space="preserve"> PAGEREF _Toc1414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_Toc13389 </w:instrText>
      </w:r>
      <w:r>
        <w:rPr>
          <w:color w:val="auto"/>
          <w:highlight w:val="none"/>
        </w:rPr>
        <w:fldChar w:fldCharType="separate"/>
      </w:r>
      <w:r>
        <w:rPr>
          <w:rFonts w:hint="eastAsia"/>
          <w:color w:val="auto"/>
          <w:highlight w:val="none"/>
        </w:rPr>
        <w:t>13</w:t>
      </w:r>
      <w:r>
        <w:rPr>
          <w:rFonts w:hint="eastAsia"/>
          <w:color w:val="auto"/>
          <w:highlight w:val="none"/>
        </w:rPr>
        <w:tab/>
      </w:r>
      <w:r>
        <w:rPr>
          <w:rFonts w:hint="eastAsia"/>
          <w:color w:val="auto"/>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_Toc13389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_Toc17062 </w:instrText>
      </w:r>
      <w:r>
        <w:rPr>
          <w:color w:val="auto"/>
          <w:highlight w:val="none"/>
        </w:rPr>
        <w:fldChar w:fldCharType="separate"/>
      </w:r>
      <w:r>
        <w:rPr>
          <w:color w:val="auto"/>
          <w:highlight w:val="none"/>
        </w:rPr>
        <w:t>14</w:t>
      </w:r>
      <w:r>
        <w:rPr>
          <w:rFonts w:hint="eastAsia"/>
          <w:color w:val="auto"/>
          <w:highlight w:val="none"/>
        </w:rPr>
        <w:tab/>
      </w:r>
      <w:r>
        <w:rPr>
          <w:rFonts w:hint="eastAsia"/>
          <w:color w:val="auto"/>
          <w:highlight w:val="none"/>
        </w:rPr>
        <w:t>投报价格与报价货币</w:t>
      </w:r>
      <w:r>
        <w:rPr>
          <w:color w:val="auto"/>
          <w:highlight w:val="none"/>
        </w:rPr>
        <w:tab/>
      </w:r>
      <w:r>
        <w:rPr>
          <w:color w:val="auto"/>
          <w:highlight w:val="none"/>
        </w:rPr>
        <w:fldChar w:fldCharType="begin"/>
      </w:r>
      <w:r>
        <w:rPr>
          <w:color w:val="auto"/>
          <w:highlight w:val="none"/>
        </w:rPr>
        <w:instrText xml:space="preserve"> PAGEREF _Toc17062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_Toc30013 </w:instrText>
      </w:r>
      <w:r>
        <w:rPr>
          <w:color w:val="auto"/>
          <w:highlight w:val="none"/>
        </w:rPr>
        <w:fldChar w:fldCharType="separate"/>
      </w:r>
      <w:r>
        <w:rPr>
          <w:color w:val="auto"/>
          <w:highlight w:val="none"/>
        </w:rPr>
        <w:t>15</w:t>
      </w:r>
      <w:r>
        <w:rPr>
          <w:rFonts w:hint="eastAsia"/>
          <w:color w:val="auto"/>
          <w:highlight w:val="none"/>
        </w:rPr>
        <w:tab/>
      </w:r>
      <w:r>
        <w:rPr>
          <w:rFonts w:hint="eastAsia"/>
          <w:color w:val="auto"/>
          <w:highlight w:val="none"/>
        </w:rPr>
        <w:t>谈判保证金</w:t>
      </w:r>
      <w:r>
        <w:rPr>
          <w:color w:val="auto"/>
          <w:highlight w:val="none"/>
        </w:rPr>
        <w:tab/>
      </w:r>
      <w:r>
        <w:rPr>
          <w:color w:val="auto"/>
          <w:highlight w:val="none"/>
        </w:rPr>
        <w:fldChar w:fldCharType="begin"/>
      </w:r>
      <w:r>
        <w:rPr>
          <w:color w:val="auto"/>
          <w:highlight w:val="none"/>
        </w:rPr>
        <w:instrText xml:space="preserve"> PAGEREF _Toc30013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_Toc31621 </w:instrText>
      </w:r>
      <w:r>
        <w:rPr>
          <w:color w:val="auto"/>
          <w:highlight w:val="none"/>
        </w:rPr>
        <w:fldChar w:fldCharType="separate"/>
      </w:r>
      <w:r>
        <w:rPr>
          <w:color w:val="auto"/>
          <w:highlight w:val="none"/>
        </w:rPr>
        <w:t>16</w:t>
      </w:r>
      <w:r>
        <w:rPr>
          <w:rFonts w:hint="eastAsia"/>
          <w:color w:val="auto"/>
          <w:highlight w:val="none"/>
        </w:rPr>
        <w:tab/>
      </w:r>
      <w:r>
        <w:rPr>
          <w:rFonts w:hint="eastAsia"/>
          <w:color w:val="auto"/>
          <w:highlight w:val="none"/>
        </w:rPr>
        <w:t>谈判有效期</w:t>
      </w:r>
      <w:r>
        <w:rPr>
          <w:color w:val="auto"/>
          <w:highlight w:val="none"/>
        </w:rPr>
        <w:tab/>
      </w:r>
      <w:r>
        <w:rPr>
          <w:color w:val="auto"/>
          <w:highlight w:val="none"/>
        </w:rPr>
        <w:fldChar w:fldCharType="begin"/>
      </w:r>
      <w:r>
        <w:rPr>
          <w:color w:val="auto"/>
          <w:highlight w:val="none"/>
        </w:rPr>
        <w:instrText xml:space="preserve"> PAGEREF _Toc31621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_Toc10679 </w:instrText>
      </w:r>
      <w:r>
        <w:rPr>
          <w:color w:val="auto"/>
          <w:highlight w:val="none"/>
        </w:rPr>
        <w:fldChar w:fldCharType="separate"/>
      </w:r>
      <w:r>
        <w:rPr>
          <w:color w:val="auto"/>
          <w:highlight w:val="none"/>
        </w:rPr>
        <w:t>17</w:t>
      </w:r>
      <w:r>
        <w:rPr>
          <w:rFonts w:hint="eastAsia"/>
          <w:color w:val="auto"/>
          <w:highlight w:val="none"/>
        </w:rPr>
        <w:tab/>
      </w:r>
      <w:r>
        <w:rPr>
          <w:rFonts w:hint="eastAsia"/>
          <w:color w:val="auto"/>
          <w:highlight w:val="none"/>
        </w:rPr>
        <w:t>谈判响应文件的签署及规定</w:t>
      </w:r>
      <w:r>
        <w:rPr>
          <w:color w:val="auto"/>
          <w:highlight w:val="none"/>
        </w:rPr>
        <w:tab/>
      </w:r>
      <w:r>
        <w:rPr>
          <w:color w:val="auto"/>
          <w:highlight w:val="none"/>
        </w:rPr>
        <w:fldChar w:fldCharType="begin"/>
      </w:r>
      <w:r>
        <w:rPr>
          <w:color w:val="auto"/>
          <w:highlight w:val="none"/>
        </w:rPr>
        <w:instrText xml:space="preserve"> PAGEREF _Toc10679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_Toc19062 </w:instrText>
      </w:r>
      <w:r>
        <w:rPr>
          <w:color w:val="auto"/>
          <w:highlight w:val="none"/>
        </w:rPr>
        <w:fldChar w:fldCharType="separate"/>
      </w:r>
      <w:r>
        <w:rPr>
          <w:rFonts w:hint="eastAsia"/>
          <w:color w:val="auto"/>
          <w:highlight w:val="none"/>
        </w:rPr>
        <w:t>Ｄ谈判响应文件的递交</w:t>
      </w:r>
      <w:r>
        <w:rPr>
          <w:color w:val="auto"/>
          <w:highlight w:val="none"/>
        </w:rPr>
        <w:tab/>
      </w:r>
      <w:r>
        <w:rPr>
          <w:color w:val="auto"/>
          <w:highlight w:val="none"/>
        </w:rPr>
        <w:fldChar w:fldCharType="begin"/>
      </w:r>
      <w:r>
        <w:rPr>
          <w:color w:val="auto"/>
          <w:highlight w:val="none"/>
        </w:rPr>
        <w:instrText xml:space="preserve"> PAGEREF _Toc19062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_Toc23272 </w:instrText>
      </w:r>
      <w:r>
        <w:rPr>
          <w:color w:val="auto"/>
          <w:highlight w:val="none"/>
        </w:rPr>
        <w:fldChar w:fldCharType="separate"/>
      </w:r>
      <w:r>
        <w:rPr>
          <w:color w:val="auto"/>
          <w:highlight w:val="none"/>
        </w:rPr>
        <w:t>18</w:t>
      </w:r>
      <w:r>
        <w:rPr>
          <w:rFonts w:hint="eastAsia"/>
          <w:color w:val="auto"/>
          <w:highlight w:val="none"/>
        </w:rPr>
        <w:tab/>
      </w:r>
      <w:r>
        <w:rPr>
          <w:rFonts w:hint="eastAsia"/>
          <w:color w:val="auto"/>
          <w:highlight w:val="none"/>
        </w:rPr>
        <w:t>谈判响应文件的密封和标记</w:t>
      </w:r>
      <w:r>
        <w:rPr>
          <w:color w:val="auto"/>
          <w:highlight w:val="none"/>
        </w:rPr>
        <w:tab/>
      </w:r>
      <w:r>
        <w:rPr>
          <w:color w:val="auto"/>
          <w:highlight w:val="none"/>
        </w:rPr>
        <w:fldChar w:fldCharType="begin"/>
      </w:r>
      <w:r>
        <w:rPr>
          <w:color w:val="auto"/>
          <w:highlight w:val="none"/>
        </w:rPr>
        <w:instrText xml:space="preserve"> PAGEREF _Toc23272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_Toc13169 </w:instrText>
      </w:r>
      <w:r>
        <w:rPr>
          <w:color w:val="auto"/>
          <w:highlight w:val="none"/>
        </w:rPr>
        <w:fldChar w:fldCharType="separate"/>
      </w:r>
      <w:r>
        <w:rPr>
          <w:rFonts w:hint="eastAsia"/>
          <w:color w:val="auto"/>
          <w:highlight w:val="none"/>
        </w:rPr>
        <w:t>19</w:t>
      </w:r>
      <w:r>
        <w:rPr>
          <w:rFonts w:hint="eastAsia"/>
          <w:color w:val="auto"/>
          <w:highlight w:val="none"/>
        </w:rPr>
        <w:tab/>
      </w:r>
      <w:r>
        <w:rPr>
          <w:rFonts w:hint="eastAsia"/>
          <w:color w:val="auto"/>
          <w:highlight w:val="none"/>
        </w:rPr>
        <w:t>递交谈判响应文件的时间、地点及截止时间</w:t>
      </w:r>
      <w:r>
        <w:rPr>
          <w:color w:val="auto"/>
          <w:highlight w:val="none"/>
        </w:rPr>
        <w:tab/>
      </w:r>
      <w:r>
        <w:rPr>
          <w:color w:val="auto"/>
          <w:highlight w:val="none"/>
        </w:rPr>
        <w:fldChar w:fldCharType="begin"/>
      </w:r>
      <w:r>
        <w:rPr>
          <w:color w:val="auto"/>
          <w:highlight w:val="none"/>
        </w:rPr>
        <w:instrText xml:space="preserve"> PAGEREF _Toc13169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_Toc9828 </w:instrText>
      </w:r>
      <w:r>
        <w:rPr>
          <w:color w:val="auto"/>
          <w:highlight w:val="none"/>
        </w:rPr>
        <w:fldChar w:fldCharType="separate"/>
      </w:r>
      <w:r>
        <w:rPr>
          <w:color w:val="auto"/>
          <w:highlight w:val="none"/>
        </w:rPr>
        <w:t>20</w:t>
      </w:r>
      <w:r>
        <w:rPr>
          <w:rFonts w:hint="eastAsia"/>
          <w:color w:val="auto"/>
          <w:highlight w:val="none"/>
        </w:rPr>
        <w:tab/>
      </w:r>
      <w:r>
        <w:rPr>
          <w:rFonts w:hint="eastAsia"/>
          <w:color w:val="auto"/>
          <w:highlight w:val="none"/>
        </w:rPr>
        <w:t>迟交的谈判响应文件</w:t>
      </w:r>
      <w:r>
        <w:rPr>
          <w:color w:val="auto"/>
          <w:highlight w:val="none"/>
        </w:rPr>
        <w:tab/>
      </w:r>
      <w:r>
        <w:rPr>
          <w:color w:val="auto"/>
          <w:highlight w:val="none"/>
        </w:rPr>
        <w:fldChar w:fldCharType="begin"/>
      </w:r>
      <w:r>
        <w:rPr>
          <w:color w:val="auto"/>
          <w:highlight w:val="none"/>
        </w:rPr>
        <w:instrText xml:space="preserve"> PAGEREF _Toc9828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_Toc18773 </w:instrText>
      </w:r>
      <w:r>
        <w:rPr>
          <w:color w:val="auto"/>
          <w:highlight w:val="none"/>
        </w:rPr>
        <w:fldChar w:fldCharType="separate"/>
      </w:r>
      <w:r>
        <w:rPr>
          <w:color w:val="auto"/>
          <w:highlight w:val="none"/>
        </w:rPr>
        <w:t>21</w:t>
      </w:r>
      <w:r>
        <w:rPr>
          <w:rFonts w:hint="eastAsia"/>
          <w:color w:val="auto"/>
          <w:highlight w:val="none"/>
        </w:rPr>
        <w:tab/>
      </w:r>
      <w:r>
        <w:rPr>
          <w:rFonts w:hint="eastAsia"/>
          <w:color w:val="auto"/>
          <w:highlight w:val="none"/>
        </w:rPr>
        <w:t>谈判响应文件的修改和撤回</w:t>
      </w:r>
      <w:r>
        <w:rPr>
          <w:color w:val="auto"/>
          <w:highlight w:val="none"/>
        </w:rPr>
        <w:tab/>
      </w:r>
      <w:r>
        <w:rPr>
          <w:color w:val="auto"/>
          <w:highlight w:val="none"/>
        </w:rPr>
        <w:fldChar w:fldCharType="begin"/>
      </w:r>
      <w:r>
        <w:rPr>
          <w:color w:val="auto"/>
          <w:highlight w:val="none"/>
        </w:rPr>
        <w:instrText xml:space="preserve"> PAGEREF _Toc18773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_Toc22748 </w:instrText>
      </w:r>
      <w:r>
        <w:rPr>
          <w:color w:val="auto"/>
          <w:highlight w:val="none"/>
        </w:rPr>
        <w:fldChar w:fldCharType="separate"/>
      </w:r>
      <w:r>
        <w:rPr>
          <w:rFonts w:hint="eastAsia"/>
          <w:color w:val="auto"/>
          <w:highlight w:val="none"/>
        </w:rPr>
        <w:t>Ｅ竞争性谈判采购程序</w:t>
      </w:r>
      <w:r>
        <w:rPr>
          <w:color w:val="auto"/>
          <w:highlight w:val="none"/>
        </w:rPr>
        <w:tab/>
      </w:r>
      <w:r>
        <w:rPr>
          <w:color w:val="auto"/>
          <w:highlight w:val="none"/>
        </w:rPr>
        <w:fldChar w:fldCharType="begin"/>
      </w:r>
      <w:r>
        <w:rPr>
          <w:color w:val="auto"/>
          <w:highlight w:val="none"/>
        </w:rPr>
        <w:instrText xml:space="preserve"> PAGEREF _Toc22748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_Toc15910 </w:instrText>
      </w:r>
      <w:r>
        <w:rPr>
          <w:color w:val="auto"/>
          <w:highlight w:val="none"/>
        </w:rPr>
        <w:fldChar w:fldCharType="separate"/>
      </w:r>
      <w:r>
        <w:rPr>
          <w:color w:val="auto"/>
          <w:highlight w:val="none"/>
        </w:rPr>
        <w:t>22</w:t>
      </w:r>
      <w:r>
        <w:rPr>
          <w:rFonts w:hint="eastAsia"/>
          <w:color w:val="auto"/>
          <w:highlight w:val="none"/>
        </w:rPr>
        <w:tab/>
      </w:r>
      <w:r>
        <w:rPr>
          <w:rFonts w:hint="eastAsia"/>
          <w:color w:val="auto"/>
          <w:highlight w:val="none"/>
        </w:rPr>
        <w:t>接收谈判响应文件</w:t>
      </w:r>
      <w:r>
        <w:rPr>
          <w:color w:val="auto"/>
          <w:highlight w:val="none"/>
        </w:rPr>
        <w:tab/>
      </w:r>
      <w:r>
        <w:rPr>
          <w:color w:val="auto"/>
          <w:highlight w:val="none"/>
        </w:rPr>
        <w:fldChar w:fldCharType="begin"/>
      </w:r>
      <w:r>
        <w:rPr>
          <w:color w:val="auto"/>
          <w:highlight w:val="none"/>
        </w:rPr>
        <w:instrText xml:space="preserve"> PAGEREF _Toc15910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_Toc7126 </w:instrText>
      </w:r>
      <w:r>
        <w:rPr>
          <w:color w:val="auto"/>
          <w:highlight w:val="none"/>
        </w:rPr>
        <w:fldChar w:fldCharType="separate"/>
      </w:r>
      <w:r>
        <w:rPr>
          <w:color w:val="auto"/>
          <w:highlight w:val="none"/>
        </w:rPr>
        <w:t>23</w:t>
      </w:r>
      <w:r>
        <w:rPr>
          <w:rFonts w:hint="eastAsia"/>
          <w:color w:val="auto"/>
          <w:highlight w:val="none"/>
        </w:rPr>
        <w:tab/>
      </w:r>
      <w:r>
        <w:rPr>
          <w:rFonts w:hint="eastAsia"/>
          <w:color w:val="auto"/>
          <w:highlight w:val="none"/>
        </w:rPr>
        <w:t>谈判小组</w:t>
      </w:r>
      <w:r>
        <w:rPr>
          <w:color w:val="auto"/>
          <w:highlight w:val="none"/>
        </w:rPr>
        <w:tab/>
      </w:r>
      <w:r>
        <w:rPr>
          <w:color w:val="auto"/>
          <w:highlight w:val="none"/>
        </w:rPr>
        <w:fldChar w:fldCharType="begin"/>
      </w:r>
      <w:r>
        <w:rPr>
          <w:color w:val="auto"/>
          <w:highlight w:val="none"/>
        </w:rPr>
        <w:instrText xml:space="preserve"> PAGEREF _Toc7126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_Toc16010 </w:instrText>
      </w:r>
      <w:r>
        <w:rPr>
          <w:color w:val="auto"/>
          <w:highlight w:val="none"/>
        </w:rPr>
        <w:fldChar w:fldCharType="separate"/>
      </w:r>
      <w:r>
        <w:rPr>
          <w:color w:val="auto"/>
          <w:highlight w:val="none"/>
        </w:rPr>
        <w:t>2</w:t>
      </w:r>
      <w:r>
        <w:rPr>
          <w:rFonts w:hint="eastAsia"/>
          <w:color w:val="auto"/>
          <w:highlight w:val="none"/>
        </w:rPr>
        <w:t>4</w:t>
      </w:r>
      <w:r>
        <w:rPr>
          <w:rFonts w:hint="eastAsia"/>
          <w:color w:val="auto"/>
          <w:highlight w:val="none"/>
        </w:rPr>
        <w:tab/>
      </w:r>
      <w:r>
        <w:rPr>
          <w:rFonts w:hint="eastAsia"/>
          <w:color w:val="auto"/>
          <w:highlight w:val="none"/>
        </w:rPr>
        <w:t>对谈判响应文件的初审</w:t>
      </w:r>
      <w:r>
        <w:rPr>
          <w:color w:val="auto"/>
          <w:highlight w:val="none"/>
        </w:rPr>
        <w:tab/>
      </w:r>
      <w:r>
        <w:rPr>
          <w:color w:val="auto"/>
          <w:highlight w:val="none"/>
        </w:rPr>
        <w:fldChar w:fldCharType="begin"/>
      </w:r>
      <w:r>
        <w:rPr>
          <w:color w:val="auto"/>
          <w:highlight w:val="none"/>
        </w:rPr>
        <w:instrText xml:space="preserve"> PAGEREF _Toc16010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_Toc13777 </w:instrText>
      </w:r>
      <w:r>
        <w:rPr>
          <w:color w:val="auto"/>
          <w:highlight w:val="none"/>
        </w:rPr>
        <w:fldChar w:fldCharType="separate"/>
      </w:r>
      <w:r>
        <w:rPr>
          <w:rFonts w:hint="eastAsia"/>
          <w:color w:val="auto"/>
          <w:highlight w:val="none"/>
        </w:rPr>
        <w:t>25</w:t>
      </w:r>
      <w:r>
        <w:rPr>
          <w:rFonts w:hint="eastAsia"/>
          <w:color w:val="auto"/>
          <w:highlight w:val="none"/>
        </w:rPr>
        <w:tab/>
      </w:r>
      <w:r>
        <w:rPr>
          <w:rFonts w:hint="eastAsia"/>
          <w:color w:val="auto"/>
          <w:highlight w:val="none"/>
        </w:rPr>
        <w:t>谈判报价的审核</w:t>
      </w:r>
      <w:r>
        <w:rPr>
          <w:color w:val="auto"/>
          <w:highlight w:val="none"/>
        </w:rPr>
        <w:tab/>
      </w:r>
      <w:r>
        <w:rPr>
          <w:color w:val="auto"/>
          <w:highlight w:val="none"/>
        </w:rPr>
        <w:fldChar w:fldCharType="begin"/>
      </w:r>
      <w:r>
        <w:rPr>
          <w:color w:val="auto"/>
          <w:highlight w:val="none"/>
        </w:rPr>
        <w:instrText xml:space="preserve"> PAGEREF _Toc13777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_Toc14793 </w:instrText>
      </w:r>
      <w:r>
        <w:rPr>
          <w:color w:val="auto"/>
          <w:highlight w:val="none"/>
        </w:rPr>
        <w:fldChar w:fldCharType="separate"/>
      </w:r>
      <w:r>
        <w:rPr>
          <w:color w:val="auto"/>
          <w:highlight w:val="none"/>
        </w:rPr>
        <w:t>2</w:t>
      </w:r>
      <w:r>
        <w:rPr>
          <w:rFonts w:hint="eastAsia"/>
          <w:color w:val="auto"/>
          <w:highlight w:val="none"/>
        </w:rPr>
        <w:t>6</w:t>
      </w:r>
      <w:r>
        <w:rPr>
          <w:rFonts w:hint="eastAsia"/>
          <w:color w:val="auto"/>
          <w:highlight w:val="none"/>
        </w:rPr>
        <w:tab/>
      </w:r>
      <w:r>
        <w:rPr>
          <w:rFonts w:hint="eastAsia"/>
          <w:color w:val="auto"/>
          <w:highlight w:val="none"/>
        </w:rPr>
        <w:t>谈判</w:t>
      </w:r>
      <w:r>
        <w:rPr>
          <w:color w:val="auto"/>
          <w:highlight w:val="none"/>
        </w:rPr>
        <w:tab/>
      </w:r>
      <w:r>
        <w:rPr>
          <w:color w:val="auto"/>
          <w:highlight w:val="none"/>
        </w:rPr>
        <w:fldChar w:fldCharType="begin"/>
      </w:r>
      <w:r>
        <w:rPr>
          <w:color w:val="auto"/>
          <w:highlight w:val="none"/>
        </w:rPr>
        <w:instrText xml:space="preserve"> PAGEREF _Toc14793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_Toc6314 </w:instrText>
      </w:r>
      <w:r>
        <w:rPr>
          <w:color w:val="auto"/>
          <w:highlight w:val="none"/>
        </w:rPr>
        <w:fldChar w:fldCharType="separate"/>
      </w:r>
      <w:r>
        <w:rPr>
          <w:color w:val="auto"/>
          <w:highlight w:val="none"/>
        </w:rPr>
        <w:t>27</w:t>
      </w:r>
      <w:r>
        <w:rPr>
          <w:rFonts w:hint="eastAsia"/>
          <w:color w:val="auto"/>
          <w:highlight w:val="none"/>
        </w:rPr>
        <w:tab/>
      </w:r>
      <w:r>
        <w:rPr>
          <w:rFonts w:hint="eastAsia"/>
          <w:color w:val="auto"/>
          <w:highlight w:val="none"/>
        </w:rPr>
        <w:t>评审原则</w:t>
      </w:r>
      <w:r>
        <w:rPr>
          <w:color w:val="auto"/>
          <w:highlight w:val="none"/>
        </w:rPr>
        <w:tab/>
      </w:r>
      <w:r>
        <w:rPr>
          <w:color w:val="auto"/>
          <w:highlight w:val="none"/>
        </w:rPr>
        <w:fldChar w:fldCharType="begin"/>
      </w:r>
      <w:r>
        <w:rPr>
          <w:color w:val="auto"/>
          <w:highlight w:val="none"/>
        </w:rPr>
        <w:instrText xml:space="preserve"> PAGEREF _Toc6314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_Toc789 </w:instrText>
      </w:r>
      <w:r>
        <w:rPr>
          <w:color w:val="auto"/>
          <w:highlight w:val="none"/>
        </w:rPr>
        <w:fldChar w:fldCharType="separate"/>
      </w:r>
      <w:r>
        <w:rPr>
          <w:color w:val="auto"/>
          <w:highlight w:val="none"/>
        </w:rPr>
        <w:t>28</w:t>
      </w:r>
      <w:r>
        <w:rPr>
          <w:rFonts w:hint="eastAsia"/>
          <w:color w:val="auto"/>
          <w:highlight w:val="none"/>
        </w:rPr>
        <w:tab/>
      </w:r>
      <w:r>
        <w:rPr>
          <w:rFonts w:hint="eastAsia"/>
          <w:color w:val="auto"/>
          <w:highlight w:val="none"/>
        </w:rPr>
        <w:t>评审办法</w:t>
      </w:r>
      <w:r>
        <w:rPr>
          <w:color w:val="auto"/>
          <w:highlight w:val="none"/>
        </w:rPr>
        <w:tab/>
      </w:r>
      <w:r>
        <w:rPr>
          <w:color w:val="auto"/>
          <w:highlight w:val="none"/>
        </w:rPr>
        <w:fldChar w:fldCharType="begin"/>
      </w:r>
      <w:r>
        <w:rPr>
          <w:color w:val="auto"/>
          <w:highlight w:val="none"/>
        </w:rPr>
        <w:instrText xml:space="preserve"> PAGEREF _Toc789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_Toc6233 </w:instrText>
      </w:r>
      <w:r>
        <w:rPr>
          <w:color w:val="auto"/>
          <w:highlight w:val="none"/>
        </w:rPr>
        <w:fldChar w:fldCharType="separate"/>
      </w:r>
      <w:r>
        <w:rPr>
          <w:rFonts w:hint="eastAsia"/>
          <w:color w:val="auto"/>
          <w:highlight w:val="none"/>
        </w:rPr>
        <w:t>29</w:t>
      </w:r>
      <w:r>
        <w:rPr>
          <w:rFonts w:hint="eastAsia"/>
          <w:color w:val="auto"/>
          <w:highlight w:val="none"/>
        </w:rPr>
        <w:tab/>
      </w:r>
      <w:r>
        <w:rPr>
          <w:rFonts w:hint="eastAsia"/>
          <w:color w:val="auto"/>
          <w:highlight w:val="none"/>
        </w:rPr>
        <w:t>评审注意事项</w:t>
      </w:r>
      <w:r>
        <w:rPr>
          <w:color w:val="auto"/>
          <w:highlight w:val="none"/>
        </w:rPr>
        <w:tab/>
      </w:r>
      <w:r>
        <w:rPr>
          <w:color w:val="auto"/>
          <w:highlight w:val="none"/>
        </w:rPr>
        <w:fldChar w:fldCharType="begin"/>
      </w:r>
      <w:r>
        <w:rPr>
          <w:color w:val="auto"/>
          <w:highlight w:val="none"/>
        </w:rPr>
        <w:instrText xml:space="preserve"> PAGEREF _Toc6233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_Toc24051 </w:instrText>
      </w:r>
      <w:r>
        <w:rPr>
          <w:color w:val="auto"/>
          <w:highlight w:val="none"/>
        </w:rPr>
        <w:fldChar w:fldCharType="separate"/>
      </w:r>
      <w:r>
        <w:rPr>
          <w:rFonts w:hint="eastAsia"/>
          <w:color w:val="auto"/>
          <w:highlight w:val="none"/>
        </w:rPr>
        <w:t>30</w:t>
      </w:r>
      <w:r>
        <w:rPr>
          <w:rFonts w:hint="eastAsia"/>
          <w:color w:val="auto"/>
          <w:highlight w:val="none"/>
        </w:rPr>
        <w:tab/>
      </w:r>
      <w:r>
        <w:rPr>
          <w:rFonts w:hint="eastAsia"/>
          <w:color w:val="auto"/>
          <w:highlight w:val="none"/>
        </w:rPr>
        <w:t>发布成交结果公告和发放成交通知书</w:t>
      </w:r>
      <w:r>
        <w:rPr>
          <w:color w:val="auto"/>
          <w:highlight w:val="none"/>
        </w:rPr>
        <w:tab/>
      </w:r>
      <w:r>
        <w:rPr>
          <w:color w:val="auto"/>
          <w:highlight w:val="none"/>
        </w:rPr>
        <w:fldChar w:fldCharType="begin"/>
      </w:r>
      <w:r>
        <w:rPr>
          <w:color w:val="auto"/>
          <w:highlight w:val="none"/>
        </w:rPr>
        <w:instrText xml:space="preserve"> PAGEREF _Toc24051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_Toc13351 </w:instrText>
      </w:r>
      <w:r>
        <w:rPr>
          <w:color w:val="auto"/>
          <w:highlight w:val="none"/>
        </w:rPr>
        <w:fldChar w:fldCharType="separate"/>
      </w:r>
      <w:r>
        <w:rPr>
          <w:rFonts w:hint="eastAsia"/>
          <w:color w:val="auto"/>
          <w:highlight w:val="none"/>
        </w:rPr>
        <w:t>31     投标供应商对成交结果的质疑、投诉</w:t>
      </w:r>
      <w:r>
        <w:rPr>
          <w:color w:val="auto"/>
          <w:highlight w:val="none"/>
        </w:rPr>
        <w:tab/>
      </w:r>
      <w:r>
        <w:rPr>
          <w:color w:val="auto"/>
          <w:highlight w:val="none"/>
        </w:rPr>
        <w:fldChar w:fldCharType="begin"/>
      </w:r>
      <w:r>
        <w:rPr>
          <w:color w:val="auto"/>
          <w:highlight w:val="none"/>
        </w:rPr>
        <w:instrText xml:space="preserve"> PAGEREF _Toc13351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_Toc22257 </w:instrText>
      </w:r>
      <w:r>
        <w:rPr>
          <w:color w:val="auto"/>
          <w:highlight w:val="none"/>
        </w:rPr>
        <w:fldChar w:fldCharType="separate"/>
      </w:r>
      <w:r>
        <w:rPr>
          <w:rFonts w:hint="eastAsia"/>
          <w:color w:val="auto"/>
          <w:highlight w:val="none"/>
        </w:rPr>
        <w:t>Ｆ  授予合同</w:t>
      </w:r>
      <w:r>
        <w:rPr>
          <w:color w:val="auto"/>
          <w:highlight w:val="none"/>
        </w:rPr>
        <w:tab/>
      </w:r>
      <w:r>
        <w:rPr>
          <w:color w:val="auto"/>
          <w:highlight w:val="none"/>
        </w:rPr>
        <w:fldChar w:fldCharType="begin"/>
      </w:r>
      <w:r>
        <w:rPr>
          <w:color w:val="auto"/>
          <w:highlight w:val="none"/>
        </w:rPr>
        <w:instrText xml:space="preserve"> PAGEREF _Toc22257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_Toc28437 </w:instrText>
      </w:r>
      <w:r>
        <w:rPr>
          <w:color w:val="auto"/>
          <w:highlight w:val="none"/>
        </w:rPr>
        <w:fldChar w:fldCharType="separate"/>
      </w:r>
      <w:r>
        <w:rPr>
          <w:rFonts w:hint="eastAsia"/>
          <w:color w:val="auto"/>
          <w:highlight w:val="none"/>
        </w:rPr>
        <w:t>32     接受和拒绝投标的权利</w:t>
      </w:r>
      <w:r>
        <w:rPr>
          <w:color w:val="auto"/>
          <w:highlight w:val="none"/>
        </w:rPr>
        <w:tab/>
      </w:r>
      <w:r>
        <w:rPr>
          <w:color w:val="auto"/>
          <w:highlight w:val="none"/>
        </w:rPr>
        <w:fldChar w:fldCharType="begin"/>
      </w:r>
      <w:r>
        <w:rPr>
          <w:color w:val="auto"/>
          <w:highlight w:val="none"/>
        </w:rPr>
        <w:instrText xml:space="preserve"> PAGEREF _Toc28437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_Toc4882 </w:instrText>
      </w:r>
      <w:r>
        <w:rPr>
          <w:color w:val="auto"/>
          <w:highlight w:val="none"/>
        </w:rPr>
        <w:fldChar w:fldCharType="separate"/>
      </w:r>
      <w:r>
        <w:rPr>
          <w:rFonts w:hint="eastAsia"/>
          <w:color w:val="auto"/>
          <w:highlight w:val="none"/>
        </w:rPr>
        <w:t>33</w:t>
      </w:r>
      <w:r>
        <w:rPr>
          <w:rFonts w:hint="eastAsia"/>
          <w:color w:val="auto"/>
          <w:highlight w:val="none"/>
        </w:rPr>
        <w:tab/>
      </w:r>
      <w:r>
        <w:rPr>
          <w:rFonts w:hint="eastAsia"/>
          <w:color w:val="auto"/>
          <w:highlight w:val="none"/>
        </w:rPr>
        <w:t xml:space="preserve">   合同授予标准</w:t>
      </w:r>
      <w:r>
        <w:rPr>
          <w:color w:val="auto"/>
          <w:highlight w:val="none"/>
        </w:rPr>
        <w:tab/>
      </w:r>
      <w:r>
        <w:rPr>
          <w:color w:val="auto"/>
          <w:highlight w:val="none"/>
        </w:rPr>
        <w:fldChar w:fldCharType="begin"/>
      </w:r>
      <w:r>
        <w:rPr>
          <w:color w:val="auto"/>
          <w:highlight w:val="none"/>
        </w:rPr>
        <w:instrText xml:space="preserve"> PAGEREF _Toc4882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_Toc22547 </w:instrText>
      </w:r>
      <w:r>
        <w:rPr>
          <w:color w:val="auto"/>
          <w:highlight w:val="none"/>
        </w:rPr>
        <w:fldChar w:fldCharType="separate"/>
      </w:r>
      <w:r>
        <w:rPr>
          <w:rFonts w:hint="eastAsia"/>
          <w:color w:val="auto"/>
          <w:highlight w:val="none"/>
        </w:rPr>
        <w:t>34</w:t>
      </w:r>
      <w:r>
        <w:rPr>
          <w:rFonts w:hint="eastAsia"/>
          <w:color w:val="auto"/>
          <w:highlight w:val="none"/>
        </w:rPr>
        <w:tab/>
      </w:r>
      <w:r>
        <w:rPr>
          <w:rFonts w:hint="eastAsia"/>
          <w:color w:val="auto"/>
          <w:highlight w:val="none"/>
        </w:rPr>
        <w:t xml:space="preserve">   签订合同</w:t>
      </w:r>
      <w:r>
        <w:rPr>
          <w:color w:val="auto"/>
          <w:highlight w:val="none"/>
        </w:rPr>
        <w:tab/>
      </w:r>
      <w:r>
        <w:rPr>
          <w:color w:val="auto"/>
          <w:highlight w:val="none"/>
        </w:rPr>
        <w:fldChar w:fldCharType="begin"/>
      </w:r>
      <w:r>
        <w:rPr>
          <w:color w:val="auto"/>
          <w:highlight w:val="none"/>
        </w:rPr>
        <w:instrText xml:space="preserve"> PAGEREF _Toc22547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_Toc21399 </w:instrText>
      </w:r>
      <w:r>
        <w:rPr>
          <w:color w:val="auto"/>
          <w:highlight w:val="none"/>
        </w:rPr>
        <w:fldChar w:fldCharType="separate"/>
      </w:r>
      <w:r>
        <w:rPr>
          <w:color w:val="auto"/>
          <w:highlight w:val="none"/>
        </w:rPr>
        <w:t>G</w:t>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_Toc21399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_Toc10536 </w:instrText>
      </w:r>
      <w:r>
        <w:rPr>
          <w:color w:val="auto"/>
          <w:highlight w:val="none"/>
        </w:rPr>
        <w:fldChar w:fldCharType="separate"/>
      </w:r>
      <w:r>
        <w:rPr>
          <w:rFonts w:hint="eastAsia"/>
          <w:color w:val="auto"/>
          <w:highlight w:val="none"/>
        </w:rPr>
        <w:t>第四部分  合同书格式（参考范本）</w:t>
      </w:r>
      <w:r>
        <w:rPr>
          <w:color w:val="auto"/>
          <w:highlight w:val="none"/>
        </w:rPr>
        <w:tab/>
      </w:r>
      <w:r>
        <w:rPr>
          <w:color w:val="auto"/>
          <w:highlight w:val="none"/>
        </w:rPr>
        <w:fldChar w:fldCharType="begin"/>
      </w:r>
      <w:r>
        <w:rPr>
          <w:color w:val="auto"/>
          <w:highlight w:val="none"/>
        </w:rPr>
        <w:instrText xml:space="preserve"> PAGEREF _Toc10536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_Toc6412 </w:instrText>
      </w:r>
      <w:r>
        <w:rPr>
          <w:color w:val="auto"/>
          <w:highlight w:val="none"/>
        </w:rPr>
        <w:fldChar w:fldCharType="separate"/>
      </w:r>
      <w:r>
        <w:rPr>
          <w:rFonts w:hint="eastAsia"/>
          <w:color w:val="auto"/>
          <w:highlight w:val="none"/>
        </w:rPr>
        <w:t>第五部分  谈判文件格式</w:t>
      </w:r>
      <w:r>
        <w:rPr>
          <w:color w:val="auto"/>
          <w:highlight w:val="none"/>
        </w:rPr>
        <w:tab/>
      </w:r>
      <w:r>
        <w:rPr>
          <w:color w:val="auto"/>
          <w:highlight w:val="none"/>
        </w:rPr>
        <w:fldChar w:fldCharType="begin"/>
      </w:r>
      <w:r>
        <w:rPr>
          <w:color w:val="auto"/>
          <w:highlight w:val="none"/>
        </w:rPr>
        <w:instrText xml:space="preserve"> PAGEREF _Toc6412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_Toc23754 </w:instrText>
      </w:r>
      <w:r>
        <w:rPr>
          <w:color w:val="auto"/>
          <w:highlight w:val="none"/>
        </w:rPr>
        <w:fldChar w:fldCharType="separate"/>
      </w:r>
      <w:r>
        <w:rPr>
          <w:rFonts w:hint="eastAsia"/>
          <w:color w:val="auto"/>
          <w:highlight w:val="none"/>
        </w:rPr>
        <w:t>封面格式</w:t>
      </w:r>
      <w:r>
        <w:rPr>
          <w:color w:val="auto"/>
          <w:highlight w:val="none"/>
        </w:rPr>
        <w:tab/>
      </w:r>
      <w:r>
        <w:rPr>
          <w:color w:val="auto"/>
          <w:highlight w:val="none"/>
        </w:rPr>
        <w:fldChar w:fldCharType="begin"/>
      </w:r>
      <w:r>
        <w:rPr>
          <w:color w:val="auto"/>
          <w:highlight w:val="none"/>
        </w:rPr>
        <w:instrText xml:space="preserve"> PAGEREF _Toc23754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_Toc26563 </w:instrText>
      </w:r>
      <w:r>
        <w:rPr>
          <w:color w:val="auto"/>
          <w:highlight w:val="none"/>
        </w:rPr>
        <w:fldChar w:fldCharType="separate"/>
      </w:r>
      <w:r>
        <w:rPr>
          <w:rFonts w:hint="eastAsia"/>
          <w:color w:val="auto"/>
          <w:highlight w:val="none"/>
        </w:rPr>
        <w:t>第一章  资格性/符合性自查表</w:t>
      </w:r>
      <w:r>
        <w:rPr>
          <w:color w:val="auto"/>
          <w:highlight w:val="none"/>
        </w:rPr>
        <w:tab/>
      </w:r>
      <w:r>
        <w:rPr>
          <w:color w:val="auto"/>
          <w:highlight w:val="none"/>
        </w:rPr>
        <w:fldChar w:fldCharType="begin"/>
      </w:r>
      <w:r>
        <w:rPr>
          <w:color w:val="auto"/>
          <w:highlight w:val="none"/>
        </w:rPr>
        <w:instrText xml:space="preserve"> PAGEREF _Toc26563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_Toc21228 </w:instrText>
      </w:r>
      <w:r>
        <w:rPr>
          <w:color w:val="auto"/>
          <w:highlight w:val="none"/>
        </w:rPr>
        <w:fldChar w:fldCharType="separate"/>
      </w:r>
      <w:r>
        <w:rPr>
          <w:rFonts w:hint="eastAsia"/>
          <w:color w:val="auto"/>
          <w:highlight w:val="none"/>
        </w:rPr>
        <w:t>（一）无重大违法记录声明函</w:t>
      </w:r>
      <w:r>
        <w:rPr>
          <w:color w:val="auto"/>
          <w:highlight w:val="none"/>
        </w:rPr>
        <w:tab/>
      </w:r>
      <w:r>
        <w:rPr>
          <w:color w:val="auto"/>
          <w:highlight w:val="none"/>
        </w:rPr>
        <w:fldChar w:fldCharType="begin"/>
      </w:r>
      <w:r>
        <w:rPr>
          <w:color w:val="auto"/>
          <w:highlight w:val="none"/>
        </w:rPr>
        <w:instrText xml:space="preserve"> PAGEREF _Toc21228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_Toc293 </w:instrText>
      </w:r>
      <w:r>
        <w:rPr>
          <w:color w:val="auto"/>
          <w:highlight w:val="none"/>
        </w:rPr>
        <w:fldChar w:fldCharType="separate"/>
      </w:r>
      <w:r>
        <w:rPr>
          <w:rFonts w:hint="eastAsia"/>
          <w:color w:val="auto"/>
          <w:highlight w:val="none"/>
        </w:rPr>
        <w:t>（二）法定代表人（负责人）证明书</w:t>
      </w:r>
      <w:r>
        <w:rPr>
          <w:color w:val="auto"/>
          <w:highlight w:val="none"/>
        </w:rPr>
        <w:tab/>
      </w:r>
      <w:r>
        <w:rPr>
          <w:color w:val="auto"/>
          <w:highlight w:val="none"/>
        </w:rPr>
        <w:fldChar w:fldCharType="begin"/>
      </w:r>
      <w:r>
        <w:rPr>
          <w:color w:val="auto"/>
          <w:highlight w:val="none"/>
        </w:rPr>
        <w:instrText xml:space="preserve"> PAGEREF _Toc293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_Toc11153 </w:instrText>
      </w:r>
      <w:r>
        <w:rPr>
          <w:color w:val="auto"/>
          <w:highlight w:val="none"/>
        </w:rPr>
        <w:fldChar w:fldCharType="separate"/>
      </w:r>
      <w:r>
        <w:rPr>
          <w:rFonts w:hint="eastAsia"/>
          <w:color w:val="auto"/>
          <w:highlight w:val="none"/>
        </w:rPr>
        <w:t>（三）法定代表人（负责人）授权书</w:t>
      </w:r>
      <w:r>
        <w:rPr>
          <w:color w:val="auto"/>
          <w:highlight w:val="none"/>
        </w:rPr>
        <w:tab/>
      </w:r>
      <w:r>
        <w:rPr>
          <w:color w:val="auto"/>
          <w:highlight w:val="none"/>
        </w:rPr>
        <w:fldChar w:fldCharType="begin"/>
      </w:r>
      <w:r>
        <w:rPr>
          <w:color w:val="auto"/>
          <w:highlight w:val="none"/>
        </w:rPr>
        <w:instrText xml:space="preserve"> PAGEREF _Toc11153 \h </w:instrText>
      </w:r>
      <w:r>
        <w:rPr>
          <w:color w:val="auto"/>
          <w:highlight w:val="none"/>
        </w:rPr>
        <w:fldChar w:fldCharType="separate"/>
      </w:r>
      <w:r>
        <w:rPr>
          <w:color w:val="auto"/>
          <w:highlight w:val="none"/>
        </w:rPr>
        <w:t>31</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_Toc16506 </w:instrText>
      </w:r>
      <w:r>
        <w:rPr>
          <w:color w:val="auto"/>
          <w:highlight w:val="none"/>
        </w:rPr>
        <w:fldChar w:fldCharType="separate"/>
      </w:r>
      <w:r>
        <w:rPr>
          <w:rFonts w:hint="eastAsia"/>
          <w:color w:val="auto"/>
          <w:highlight w:val="none"/>
        </w:rPr>
        <w:t>（四）资格审查文件要求提交的其它有效证明文件</w:t>
      </w:r>
      <w:r>
        <w:rPr>
          <w:color w:val="auto"/>
          <w:highlight w:val="none"/>
        </w:rPr>
        <w:tab/>
      </w:r>
      <w:r>
        <w:rPr>
          <w:color w:val="auto"/>
          <w:highlight w:val="none"/>
        </w:rPr>
        <w:fldChar w:fldCharType="begin"/>
      </w:r>
      <w:r>
        <w:rPr>
          <w:color w:val="auto"/>
          <w:highlight w:val="none"/>
        </w:rPr>
        <w:instrText xml:space="preserve"> PAGEREF _Toc16506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_Toc27364 </w:instrText>
      </w:r>
      <w:r>
        <w:rPr>
          <w:color w:val="auto"/>
          <w:highlight w:val="none"/>
        </w:rPr>
        <w:fldChar w:fldCharType="separate"/>
      </w:r>
      <w:r>
        <w:rPr>
          <w:rFonts w:hint="eastAsia"/>
          <w:color w:val="auto"/>
          <w:highlight w:val="none"/>
        </w:rPr>
        <w:t>第二章  谈判响应文件商务及技术部分</w:t>
      </w:r>
      <w:r>
        <w:rPr>
          <w:color w:val="auto"/>
          <w:highlight w:val="none"/>
        </w:rPr>
        <w:tab/>
      </w:r>
      <w:r>
        <w:rPr>
          <w:color w:val="auto"/>
          <w:highlight w:val="none"/>
        </w:rPr>
        <w:fldChar w:fldCharType="begin"/>
      </w:r>
      <w:r>
        <w:rPr>
          <w:color w:val="auto"/>
          <w:highlight w:val="none"/>
        </w:rPr>
        <w:instrText xml:space="preserve"> PAGEREF _Toc27364 \h </w:instrText>
      </w:r>
      <w:r>
        <w:rPr>
          <w:color w:val="auto"/>
          <w:highlight w:val="none"/>
        </w:rPr>
        <w:fldChar w:fldCharType="separate"/>
      </w:r>
      <w:r>
        <w:rPr>
          <w:color w:val="auto"/>
          <w:highlight w:val="none"/>
        </w:rPr>
        <w:t>33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_Toc32546 </w:instrText>
      </w:r>
      <w:r>
        <w:rPr>
          <w:color w:val="auto"/>
          <w:highlight w:val="none"/>
        </w:rPr>
        <w:fldChar w:fldCharType="separate"/>
      </w:r>
      <w:r>
        <w:rPr>
          <w:rFonts w:hint="eastAsia"/>
          <w:color w:val="auto"/>
          <w:highlight w:val="none"/>
        </w:rPr>
        <w:t>附件一：谈判响应函</w:t>
      </w:r>
      <w:r>
        <w:rPr>
          <w:color w:val="auto"/>
          <w:highlight w:val="none"/>
        </w:rPr>
        <w:tab/>
      </w:r>
      <w:r>
        <w:rPr>
          <w:color w:val="auto"/>
          <w:highlight w:val="none"/>
        </w:rPr>
        <w:fldChar w:fldCharType="begin"/>
      </w:r>
      <w:r>
        <w:rPr>
          <w:color w:val="auto"/>
          <w:highlight w:val="none"/>
        </w:rPr>
        <w:instrText xml:space="preserve"> PAGEREF _Toc32546 \h </w:instrText>
      </w:r>
      <w:r>
        <w:rPr>
          <w:color w:val="auto"/>
          <w:highlight w:val="none"/>
        </w:rPr>
        <w:fldChar w:fldCharType="separate"/>
      </w:r>
      <w:r>
        <w:rPr>
          <w:color w:val="auto"/>
          <w:highlight w:val="none"/>
        </w:rPr>
        <w:t>33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_Toc23335 </w:instrText>
      </w:r>
      <w:r>
        <w:rPr>
          <w:color w:val="auto"/>
          <w:highlight w:val="none"/>
        </w:rPr>
        <w:fldChar w:fldCharType="separate"/>
      </w:r>
      <w:r>
        <w:rPr>
          <w:rFonts w:hint="eastAsia"/>
          <w:color w:val="auto"/>
          <w:highlight w:val="none"/>
        </w:rPr>
        <w:t>附件二：第一次报价一览表</w:t>
      </w:r>
      <w:r>
        <w:rPr>
          <w:color w:val="auto"/>
          <w:highlight w:val="none"/>
        </w:rPr>
        <w:tab/>
      </w:r>
      <w:r>
        <w:rPr>
          <w:color w:val="auto"/>
          <w:highlight w:val="none"/>
        </w:rPr>
        <w:fldChar w:fldCharType="begin"/>
      </w:r>
      <w:r>
        <w:rPr>
          <w:color w:val="auto"/>
          <w:highlight w:val="none"/>
        </w:rPr>
        <w:instrText xml:space="preserve"> PAGEREF _Toc23335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_Toc17228 </w:instrText>
      </w:r>
      <w:r>
        <w:rPr>
          <w:color w:val="auto"/>
          <w:highlight w:val="none"/>
        </w:rPr>
        <w:fldChar w:fldCharType="separate"/>
      </w:r>
      <w:r>
        <w:rPr>
          <w:rFonts w:hint="eastAsia"/>
          <w:color w:val="auto"/>
          <w:highlight w:val="none"/>
        </w:rPr>
        <w:t>附件三：谈判分项报价</w:t>
      </w:r>
      <w:r>
        <w:rPr>
          <w:color w:val="auto"/>
          <w:highlight w:val="none"/>
        </w:rPr>
        <w:t>表</w:t>
      </w:r>
      <w:r>
        <w:rPr>
          <w:color w:val="auto"/>
          <w:highlight w:val="none"/>
        </w:rPr>
        <w:tab/>
      </w:r>
      <w:r>
        <w:rPr>
          <w:color w:val="auto"/>
          <w:highlight w:val="none"/>
        </w:rPr>
        <w:fldChar w:fldCharType="begin"/>
      </w:r>
      <w:r>
        <w:rPr>
          <w:color w:val="auto"/>
          <w:highlight w:val="none"/>
        </w:rPr>
        <w:instrText xml:space="preserve"> PAGEREF _Toc17228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_Toc754 </w:instrText>
      </w:r>
      <w:r>
        <w:rPr>
          <w:color w:val="auto"/>
          <w:highlight w:val="none"/>
        </w:rPr>
        <w:fldChar w:fldCharType="separate"/>
      </w:r>
      <w:r>
        <w:rPr>
          <w:rFonts w:hint="eastAsia"/>
          <w:color w:val="auto"/>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_Toc754 \h </w:instrText>
      </w:r>
      <w:r>
        <w:rPr>
          <w:color w:val="auto"/>
          <w:highlight w:val="none"/>
        </w:rPr>
        <w:fldChar w:fldCharType="separate"/>
      </w:r>
      <w:r>
        <w:rPr>
          <w:color w:val="auto"/>
          <w:highlight w:val="none"/>
        </w:rPr>
        <w:t>36</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_Toc21934 </w:instrText>
      </w:r>
      <w:r>
        <w:rPr>
          <w:color w:val="auto"/>
          <w:highlight w:val="none"/>
        </w:rPr>
        <w:fldChar w:fldCharType="separate"/>
      </w:r>
      <w:r>
        <w:rPr>
          <w:rFonts w:hint="eastAsia"/>
          <w:color w:val="auto"/>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_Toc21934 \h </w:instrText>
      </w:r>
      <w:r>
        <w:rPr>
          <w:color w:val="auto"/>
          <w:highlight w:val="none"/>
        </w:rPr>
        <w:fldChar w:fldCharType="separate"/>
      </w:r>
      <w:r>
        <w:rPr>
          <w:color w:val="auto"/>
          <w:highlight w:val="none"/>
        </w:rPr>
        <w:t>37</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_Toc31389 </w:instrText>
      </w:r>
      <w:r>
        <w:rPr>
          <w:color w:val="auto"/>
          <w:highlight w:val="none"/>
        </w:rPr>
        <w:fldChar w:fldCharType="separate"/>
      </w:r>
      <w:r>
        <w:rPr>
          <w:rFonts w:hint="eastAsia"/>
          <w:color w:val="auto"/>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_Toc31389 \h </w:instrText>
      </w:r>
      <w:r>
        <w:rPr>
          <w:color w:val="auto"/>
          <w:highlight w:val="none"/>
        </w:rPr>
        <w:fldChar w:fldCharType="separate"/>
      </w:r>
      <w:r>
        <w:rPr>
          <w:color w:val="auto"/>
          <w:highlight w:val="none"/>
        </w:rPr>
        <w:t>38</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_Toc32215 </w:instrText>
      </w:r>
      <w:r>
        <w:rPr>
          <w:color w:val="auto"/>
          <w:highlight w:val="none"/>
        </w:rPr>
        <w:fldChar w:fldCharType="separate"/>
      </w:r>
      <w:r>
        <w:rPr>
          <w:rFonts w:hint="eastAsia"/>
          <w:color w:val="auto"/>
          <w:highlight w:val="none"/>
        </w:rPr>
        <w:t>附件七：中小微企业声明函</w:t>
      </w:r>
      <w:r>
        <w:rPr>
          <w:color w:val="auto"/>
          <w:highlight w:val="none"/>
        </w:rPr>
        <w:tab/>
      </w:r>
      <w:r>
        <w:rPr>
          <w:color w:val="auto"/>
          <w:highlight w:val="none"/>
        </w:rPr>
        <w:fldChar w:fldCharType="begin"/>
      </w:r>
      <w:r>
        <w:rPr>
          <w:color w:val="auto"/>
          <w:highlight w:val="none"/>
        </w:rPr>
        <w:instrText xml:space="preserve"> PAGEREF _Toc32215 \h </w:instrText>
      </w:r>
      <w:r>
        <w:rPr>
          <w:color w:val="auto"/>
          <w:highlight w:val="none"/>
        </w:rPr>
        <w:fldChar w:fldCharType="separate"/>
      </w:r>
      <w:r>
        <w:rPr>
          <w:color w:val="auto"/>
          <w:highlight w:val="none"/>
        </w:rPr>
        <w:t>39</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_Toc458 </w:instrText>
      </w:r>
      <w:r>
        <w:rPr>
          <w:color w:val="auto"/>
          <w:highlight w:val="none"/>
        </w:rPr>
        <w:fldChar w:fldCharType="separate"/>
      </w:r>
      <w:r>
        <w:rPr>
          <w:rFonts w:hint="eastAsia"/>
          <w:color w:val="auto"/>
          <w:highlight w:val="none"/>
        </w:rPr>
        <w:t>附件八：残疾人福利性单位声明函</w:t>
      </w:r>
      <w:r>
        <w:rPr>
          <w:color w:val="auto"/>
          <w:highlight w:val="none"/>
        </w:rPr>
        <w:tab/>
      </w:r>
      <w:r>
        <w:rPr>
          <w:color w:val="auto"/>
          <w:highlight w:val="none"/>
        </w:rPr>
        <w:fldChar w:fldCharType="begin"/>
      </w:r>
      <w:r>
        <w:rPr>
          <w:color w:val="auto"/>
          <w:highlight w:val="none"/>
        </w:rPr>
        <w:instrText xml:space="preserve"> PAGEREF _Toc458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_Toc25086 </w:instrText>
      </w:r>
      <w:r>
        <w:rPr>
          <w:color w:val="auto"/>
          <w:highlight w:val="none"/>
        </w:rPr>
        <w:fldChar w:fldCharType="separate"/>
      </w:r>
      <w:r>
        <w:rPr>
          <w:rFonts w:hint="eastAsia"/>
          <w:color w:val="auto"/>
          <w:highlight w:val="none"/>
        </w:rPr>
        <w:t>附件九：成交服务费承诺</w:t>
      </w:r>
      <w:r>
        <w:rPr>
          <w:color w:val="auto"/>
          <w:highlight w:val="none"/>
        </w:rPr>
        <w:tab/>
      </w:r>
      <w:r>
        <w:rPr>
          <w:color w:val="auto"/>
          <w:highlight w:val="none"/>
        </w:rPr>
        <w:fldChar w:fldCharType="begin"/>
      </w:r>
      <w:r>
        <w:rPr>
          <w:color w:val="auto"/>
          <w:highlight w:val="none"/>
        </w:rPr>
        <w:instrText xml:space="preserve"> PAGEREF _Toc25086 \h </w:instrText>
      </w:r>
      <w:r>
        <w:rPr>
          <w:color w:val="auto"/>
          <w:highlight w:val="none"/>
        </w:rPr>
        <w:fldChar w:fldCharType="separate"/>
      </w:r>
      <w:r>
        <w:rPr>
          <w:color w:val="auto"/>
          <w:highlight w:val="none"/>
        </w:rPr>
        <w:t>41</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_Toc32360 </w:instrText>
      </w:r>
      <w:r>
        <w:rPr>
          <w:color w:val="auto"/>
          <w:highlight w:val="none"/>
        </w:rPr>
        <w:fldChar w:fldCharType="separate"/>
      </w:r>
      <w:r>
        <w:rPr>
          <w:rFonts w:hint="eastAsia"/>
          <w:color w:val="auto"/>
          <w:highlight w:val="none"/>
        </w:rPr>
        <w:t>附件十：谈判供应商提交的其他资料</w:t>
      </w:r>
      <w:r>
        <w:rPr>
          <w:color w:val="auto"/>
          <w:highlight w:val="none"/>
        </w:rPr>
        <w:tab/>
      </w:r>
      <w:r>
        <w:rPr>
          <w:color w:val="auto"/>
          <w:highlight w:val="none"/>
        </w:rPr>
        <w:fldChar w:fldCharType="begin"/>
      </w:r>
      <w:r>
        <w:rPr>
          <w:color w:val="auto"/>
          <w:highlight w:val="none"/>
        </w:rPr>
        <w:instrText xml:space="preserve"> PAGEREF _Toc32360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_Toc11916 </w:instrText>
      </w:r>
      <w:r>
        <w:rPr>
          <w:color w:val="auto"/>
          <w:highlight w:val="none"/>
        </w:rPr>
        <w:fldChar w:fldCharType="separate"/>
      </w:r>
      <w:r>
        <w:rPr>
          <w:rFonts w:hint="eastAsia"/>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_Toc11916 \h </w:instrText>
      </w:r>
      <w:r>
        <w:rPr>
          <w:color w:val="auto"/>
          <w:highlight w:val="none"/>
        </w:rPr>
        <w:fldChar w:fldCharType="separate"/>
      </w:r>
      <w:r>
        <w:rPr>
          <w:color w:val="auto"/>
          <w:highlight w:val="none"/>
        </w:rPr>
        <w:t>43</w:t>
      </w:r>
      <w:r>
        <w:rPr>
          <w:color w:val="auto"/>
          <w:highlight w:val="none"/>
        </w:rPr>
        <w:fldChar w:fldCharType="end"/>
      </w:r>
      <w:r>
        <w:rPr>
          <w:color w:val="auto"/>
          <w:highlight w:val="none"/>
        </w:rPr>
        <w:fldChar w:fldCharType="end"/>
      </w:r>
    </w:p>
    <w:p>
      <w:pPr>
        <w:pStyle w:val="37"/>
        <w:bidi w:val="0"/>
        <w:rPr>
          <w:color w:val="auto"/>
          <w:highlight w:val="none"/>
        </w:rPr>
      </w:pPr>
      <w:r>
        <w:rPr>
          <w:color w:val="auto"/>
          <w:highlight w:val="none"/>
        </w:rPr>
        <w:fldChar w:fldCharType="begin"/>
      </w:r>
      <w:r>
        <w:rPr>
          <w:color w:val="auto"/>
          <w:highlight w:val="none"/>
        </w:rPr>
        <w:instrText xml:space="preserve"> HYPERLINK \l _Toc6311 </w:instrText>
      </w:r>
      <w:r>
        <w:rPr>
          <w:color w:val="auto"/>
          <w:highlight w:val="none"/>
        </w:rPr>
        <w:fldChar w:fldCharType="separate"/>
      </w:r>
      <w:r>
        <w:rPr>
          <w:rFonts w:hint="eastAsia"/>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_Toc6311 \h </w:instrText>
      </w:r>
      <w:r>
        <w:rPr>
          <w:color w:val="auto"/>
          <w:highlight w:val="none"/>
        </w:rPr>
        <w:fldChar w:fldCharType="separate"/>
      </w:r>
      <w:r>
        <w:rPr>
          <w:color w:val="auto"/>
          <w:highlight w:val="none"/>
        </w:rPr>
        <w:t>44</w:t>
      </w:r>
      <w:r>
        <w:rPr>
          <w:color w:val="auto"/>
          <w:highlight w:val="none"/>
        </w:rPr>
        <w:fldChar w:fldCharType="end"/>
      </w:r>
      <w:r>
        <w:rPr>
          <w:color w:val="auto"/>
          <w:highlight w:val="none"/>
        </w:rPr>
        <w:fldChar w:fldCharType="end"/>
      </w:r>
    </w:p>
    <w:p>
      <w:pPr>
        <w:pStyle w:val="37"/>
        <w:bidi w:val="0"/>
        <w:ind w:left="0" w:leftChars="0" w:firstLine="0" w:firstLineChars="0"/>
        <w:rPr>
          <w:color w:val="auto"/>
          <w:sz w:val="13"/>
          <w:szCs w:val="13"/>
          <w:highlight w:val="none"/>
        </w:rPr>
      </w:pPr>
      <w:r>
        <w:rPr>
          <w:color w:val="auto"/>
          <w:highlight w:val="none"/>
        </w:rPr>
        <w:fldChar w:fldCharType="end"/>
      </w:r>
    </w:p>
    <w:p>
      <w:pPr>
        <w:pStyle w:val="3"/>
        <w:numPr>
          <w:ilvl w:val="0"/>
          <w:numId w:val="0"/>
        </w:numPr>
        <w:autoSpaceDE w:val="0"/>
        <w:autoSpaceDN w:val="0"/>
        <w:adjustRightInd w:val="0"/>
        <w:snapToGrid w:val="0"/>
        <w:spacing w:beforeLines="100" w:after="0" w:line="360" w:lineRule="auto"/>
        <w:jc w:val="center"/>
        <w:textAlignment w:val="baseline"/>
        <w:rPr>
          <w:color w:val="auto"/>
          <w:highlight w:val="none"/>
        </w:rPr>
      </w:pPr>
      <w:bookmarkStart w:id="0" w:name="_Toc7087"/>
      <w:bookmarkStart w:id="1" w:name="_Toc26260"/>
      <w:bookmarkStart w:id="2" w:name="_Toc452826425"/>
      <w:bookmarkStart w:id="3" w:name="_Toc351990145"/>
      <w:bookmarkStart w:id="4" w:name="_Toc351987964"/>
      <w:bookmarkStart w:id="5" w:name="_Toc353522392"/>
      <w:bookmarkStart w:id="6" w:name="_Toc357151175"/>
      <w:bookmarkStart w:id="7" w:name="_Toc369180022"/>
      <w:bookmarkStart w:id="8" w:name="_Toc351987768"/>
      <w:bookmarkStart w:id="9" w:name="_Toc351988709"/>
      <w:r>
        <w:rPr>
          <w:rFonts w:hint="eastAsia" w:ascii="宋体" w:hAnsi="宋体"/>
          <w:color w:val="auto"/>
          <w:sz w:val="21"/>
          <w:szCs w:val="21"/>
          <w:highlight w:val="none"/>
        </w:rPr>
        <w:t>第一部分  竞争性谈判邀请书</w:t>
      </w:r>
      <w:bookmarkEnd w:id="0"/>
      <w:bookmarkEnd w:id="1"/>
      <w:bookmarkEnd w:id="2"/>
    </w:p>
    <w:p>
      <w:pPr>
        <w:spacing w:line="360" w:lineRule="auto"/>
        <w:ind w:left="178" w:leftChars="85" w:firstLine="420" w:firstLineChars="200"/>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受</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阳西县人民法院</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的委托，拟对</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2022年度阳西县人民法院诉讼档案资料数字化扫描采集项目</w:t>
      </w:r>
      <w:r>
        <w:rPr>
          <w:rFonts w:hint="eastAsia" w:ascii="宋体" w:hAnsi="宋体"/>
          <w:color w:val="auto"/>
          <w:szCs w:val="21"/>
          <w:highlight w:val="none"/>
          <w:u w:val="single"/>
          <w:lang w:val="en-US" w:eastAsia="zh-CN"/>
        </w:rPr>
        <w:t xml:space="preserve"> </w:t>
      </w:r>
      <w:r>
        <w:rPr>
          <w:rFonts w:hint="eastAsia" w:ascii="宋体" w:hAnsi="宋体"/>
          <w:color w:val="auto"/>
          <w:highlight w:val="none"/>
        </w:rPr>
        <w:t>接受合格的国内供应商提交密封报价,</w:t>
      </w:r>
      <w:r>
        <w:rPr>
          <w:rFonts w:hint="eastAsia" w:ascii="宋体" w:hAnsi="宋体"/>
          <w:color w:val="auto"/>
          <w:szCs w:val="21"/>
          <w:highlight w:val="none"/>
          <w:lang w:val="zh-CN"/>
        </w:rPr>
        <w:t xml:space="preserve"> 欢迎符合资格条件</w:t>
      </w:r>
      <w:r>
        <w:rPr>
          <w:rFonts w:hint="eastAsia" w:ascii="宋体" w:hAnsi="宋体"/>
          <w:color w:val="auto"/>
          <w:szCs w:val="21"/>
          <w:highlight w:val="none"/>
        </w:rPr>
        <w:t>的供应商参加。</w:t>
      </w:r>
      <w:r>
        <w:rPr>
          <w:rFonts w:hint="eastAsia" w:ascii="宋体" w:hAnsi="宋体"/>
          <w:color w:val="auto"/>
          <w:highlight w:val="none"/>
        </w:rPr>
        <w:t>有关事项如下：</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一、</w:t>
      </w:r>
      <w:r>
        <w:rPr>
          <w:rFonts w:ascii="宋体" w:hAnsi="宋体"/>
          <w:b/>
          <w:color w:val="auto"/>
          <w:highlight w:val="none"/>
        </w:rPr>
        <w:t>投标人</w:t>
      </w:r>
      <w:r>
        <w:rPr>
          <w:rFonts w:hint="eastAsia" w:ascii="宋体" w:hAnsi="宋体" w:cs="Tahoma"/>
          <w:b/>
          <w:bCs/>
          <w:color w:val="auto"/>
          <w:szCs w:val="21"/>
          <w:highlight w:val="none"/>
        </w:rPr>
        <w:t>投标资格要求</w:t>
      </w:r>
    </w:p>
    <w:p>
      <w:pPr>
        <w:spacing w:line="360" w:lineRule="auto"/>
        <w:ind w:left="15" w:leftChars="7" w:firstLine="182" w:firstLineChars="87"/>
        <w:rPr>
          <w:rFonts w:ascii="宋体" w:hAnsi="宋体"/>
          <w:color w:val="auto"/>
          <w:highlight w:val="none"/>
        </w:rPr>
      </w:pPr>
      <w:r>
        <w:rPr>
          <w:rFonts w:ascii="宋体" w:hAnsi="宋体"/>
          <w:color w:val="auto"/>
          <w:highlight w:val="none"/>
        </w:rPr>
        <w:t>1.投标人应具备《中华人民共和国政府采购法》第二十二条规定的条件</w:t>
      </w:r>
      <w:r>
        <w:rPr>
          <w:rFonts w:hint="eastAsia" w:ascii="宋体" w:hAnsi="宋体"/>
          <w:color w:val="auto"/>
          <w:highlight w:val="none"/>
        </w:rPr>
        <w:t>:</w:t>
      </w:r>
    </w:p>
    <w:p>
      <w:pPr>
        <w:tabs>
          <w:tab w:val="left" w:pos="8042"/>
        </w:tabs>
        <w:spacing w:line="360" w:lineRule="auto"/>
        <w:ind w:left="405" w:leftChars="192" w:hanging="2" w:hangingChars="1"/>
        <w:rPr>
          <w:rFonts w:ascii="宋体" w:hAnsi="宋体"/>
          <w:color w:val="auto"/>
          <w:highlight w:val="none"/>
        </w:rPr>
      </w:pPr>
      <w:r>
        <w:rPr>
          <w:rFonts w:ascii="宋体" w:hAnsi="宋体"/>
          <w:color w:val="auto"/>
          <w:highlight w:val="none"/>
        </w:rPr>
        <w:t>1）具有独立承担民事责任的能力；</w:t>
      </w:r>
      <w:r>
        <w:rPr>
          <w:rFonts w:ascii="宋体" w:hAnsi="宋体"/>
          <w:color w:val="auto"/>
          <w:highlight w:val="none"/>
        </w:rPr>
        <w:tab/>
      </w:r>
      <w:r>
        <w:rPr>
          <w:rFonts w:ascii="宋体" w:hAnsi="宋体"/>
          <w:color w:val="auto"/>
          <w:highlight w:val="none"/>
        </w:rPr>
        <w:br w:type="textWrapping"/>
      </w:r>
      <w:r>
        <w:rPr>
          <w:rFonts w:ascii="宋体" w:hAnsi="宋体"/>
          <w:color w:val="auto"/>
          <w:highlight w:val="none"/>
        </w:rPr>
        <w:t>2）具有良好的商业信誉和健全的财务会计制度；</w:t>
      </w:r>
      <w:r>
        <w:rPr>
          <w:rFonts w:ascii="宋体" w:hAnsi="宋体"/>
          <w:color w:val="auto"/>
          <w:highlight w:val="none"/>
        </w:rPr>
        <w:br w:type="textWrapping"/>
      </w:r>
      <w:r>
        <w:rPr>
          <w:rFonts w:ascii="宋体" w:hAnsi="宋体"/>
          <w:color w:val="auto"/>
          <w:highlight w:val="none"/>
        </w:rPr>
        <w:t>3）具有履行合同所必需的设备和专业技术能力；</w:t>
      </w:r>
      <w:r>
        <w:rPr>
          <w:rFonts w:ascii="宋体" w:hAnsi="宋体"/>
          <w:color w:val="auto"/>
          <w:highlight w:val="none"/>
        </w:rPr>
        <w:br w:type="textWrapping"/>
      </w:r>
      <w:r>
        <w:rPr>
          <w:rFonts w:ascii="宋体" w:hAnsi="宋体"/>
          <w:color w:val="auto"/>
          <w:highlight w:val="none"/>
        </w:rPr>
        <w:t>4）有依法缴纳税收和社会保障资金的良好记录；</w:t>
      </w:r>
      <w:r>
        <w:rPr>
          <w:rFonts w:ascii="宋体" w:hAnsi="宋体"/>
          <w:color w:val="auto"/>
          <w:highlight w:val="none"/>
        </w:rPr>
        <w:br w:type="textWrapping"/>
      </w:r>
      <w:r>
        <w:rPr>
          <w:rFonts w:ascii="宋体" w:hAnsi="宋体"/>
          <w:color w:val="auto"/>
          <w:highlight w:val="none"/>
        </w:rPr>
        <w:t>5）参加政府采购活动前三年内，在经营活动中没有重大违法记录；</w:t>
      </w:r>
      <w:r>
        <w:rPr>
          <w:rFonts w:ascii="宋体" w:hAnsi="宋体"/>
          <w:color w:val="auto"/>
          <w:highlight w:val="none"/>
        </w:rPr>
        <w:br w:type="textWrapping"/>
      </w:r>
      <w:r>
        <w:rPr>
          <w:rFonts w:ascii="宋体" w:hAnsi="宋体"/>
          <w:color w:val="auto"/>
          <w:highlight w:val="none"/>
        </w:rPr>
        <w:t>6）法律、行政法规规定的其他条件。</w:t>
      </w:r>
    </w:p>
    <w:p>
      <w:pPr>
        <w:spacing w:line="360" w:lineRule="auto"/>
        <w:ind w:left="211" w:leftChars="93" w:hanging="16" w:hangingChars="8"/>
        <w:rPr>
          <w:rFonts w:hint="eastAsia" w:ascii="宋体" w:hAnsi="宋体"/>
          <w:color w:val="auto"/>
          <w:highlight w:val="none"/>
        </w:rPr>
      </w:pPr>
      <w:r>
        <w:rPr>
          <w:rFonts w:hint="eastAsia" w:ascii="宋体" w:hAnsi="宋体"/>
          <w:color w:val="auto"/>
          <w:highlight w:val="none"/>
        </w:rPr>
        <w:t>2.单位负责人为同一人或者存在直接控股、管理关系的不同投标人，不得参加同一合同项下的政府采购活动；（提供《谈判响应函》承诺）</w:t>
      </w:r>
    </w:p>
    <w:p>
      <w:pPr>
        <w:spacing w:line="360" w:lineRule="auto"/>
        <w:ind w:left="211" w:leftChars="93" w:hanging="16" w:hangingChars="8"/>
        <w:rPr>
          <w:rFonts w:hint="eastAsia" w:ascii="宋体" w:hAnsi="宋体"/>
          <w:color w:val="auto"/>
          <w:highlight w:val="none"/>
        </w:rPr>
      </w:pPr>
      <w:r>
        <w:rPr>
          <w:rFonts w:hint="eastAsia" w:ascii="宋体" w:hAnsi="宋体"/>
          <w:color w:val="auto"/>
          <w:highlight w:val="none"/>
        </w:rPr>
        <w:t>3.为采购项目提供整体设计、规范编制或者项目管理、监理、检测等服务的投标人，不得再参加该项目的其他采购活动；（提供《谈判响应函》承诺）</w:t>
      </w:r>
    </w:p>
    <w:p>
      <w:pPr>
        <w:spacing w:line="360" w:lineRule="auto"/>
        <w:ind w:left="15" w:leftChars="7" w:firstLine="182" w:firstLineChars="87"/>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本项目不接受联合体投标</w:t>
      </w:r>
      <w:r>
        <w:rPr>
          <w:rFonts w:hint="eastAsia" w:ascii="宋体" w:hAnsi="宋体"/>
          <w:color w:val="auto"/>
          <w:highlight w:val="none"/>
          <w:lang w:eastAsia="zh-CN"/>
        </w:rPr>
        <w:t>。</w:t>
      </w:r>
    </w:p>
    <w:p>
      <w:pPr>
        <w:spacing w:line="360" w:lineRule="auto"/>
        <w:ind w:left="15" w:leftChars="7" w:firstLine="182" w:firstLineChars="87"/>
        <w:rPr>
          <w:rFonts w:ascii="宋体" w:hAnsi="宋体"/>
          <w:color w:val="auto"/>
          <w:highlight w:val="none"/>
        </w:rPr>
      </w:pPr>
      <w:r>
        <w:rPr>
          <w:rFonts w:hint="eastAsia" w:ascii="宋体" w:hAnsi="宋体"/>
          <w:color w:val="auto"/>
          <w:highlight w:val="none"/>
          <w:lang w:val="en-US" w:eastAsia="zh-CN"/>
        </w:rPr>
        <w:t>5</w:t>
      </w:r>
      <w:r>
        <w:rPr>
          <w:rFonts w:hint="eastAsia" w:ascii="宋体" w:hAnsi="宋体"/>
          <w:color w:val="auto"/>
          <w:highlight w:val="none"/>
        </w:rPr>
        <w:t>.投标人</w:t>
      </w:r>
      <w:r>
        <w:rPr>
          <w:rFonts w:hint="eastAsia" w:hAnsi="宋体"/>
          <w:color w:val="auto"/>
          <w:szCs w:val="21"/>
          <w:highlight w:val="none"/>
        </w:rPr>
        <w:t>须</w:t>
      </w:r>
      <w:r>
        <w:rPr>
          <w:rFonts w:hint="eastAsia" w:hAnsi="宋体" w:cs="宋体"/>
          <w:color w:val="auto"/>
          <w:szCs w:val="21"/>
          <w:highlight w:val="none"/>
        </w:rPr>
        <w:t>在招标代理机构登记并购买谈判文件。</w:t>
      </w:r>
    </w:p>
    <w:p>
      <w:pPr>
        <w:widowControl/>
        <w:tabs>
          <w:tab w:val="left" w:pos="502"/>
        </w:tabs>
        <w:adjustRightInd w:val="0"/>
        <w:snapToGrid w:val="0"/>
        <w:spacing w:line="360" w:lineRule="auto"/>
        <w:rPr>
          <w:rFonts w:ascii="宋体" w:hAnsi="宋体"/>
          <w:bCs/>
          <w:color w:val="auto"/>
          <w:szCs w:val="21"/>
          <w:highlight w:val="none"/>
        </w:rPr>
      </w:pPr>
      <w:r>
        <w:rPr>
          <w:rFonts w:hint="eastAsia" w:ascii="宋体" w:hAnsi="宋体" w:cs="Arial"/>
          <w:b/>
          <w:bCs/>
          <w:color w:val="auto"/>
          <w:highlight w:val="none"/>
        </w:rPr>
        <w:t>二、谈判</w:t>
      </w:r>
      <w:r>
        <w:rPr>
          <w:rFonts w:hint="eastAsia" w:ascii="宋体" w:hAnsi="宋体" w:cs="Tahoma"/>
          <w:b/>
          <w:bCs/>
          <w:color w:val="auto"/>
          <w:highlight w:val="none"/>
        </w:rPr>
        <w:t>项目的名称、用途、数量、简要技术要求或者</w:t>
      </w:r>
      <w:r>
        <w:rPr>
          <w:rFonts w:hint="eastAsia" w:ascii="宋体" w:hAnsi="宋体" w:cs="Arial"/>
          <w:b/>
          <w:bCs/>
          <w:color w:val="auto"/>
          <w:highlight w:val="none"/>
        </w:rPr>
        <w:t>谈判</w:t>
      </w:r>
      <w:r>
        <w:rPr>
          <w:rFonts w:hint="eastAsia" w:ascii="宋体" w:hAnsi="宋体" w:cs="Tahoma"/>
          <w:b/>
          <w:bCs/>
          <w:color w:val="auto"/>
          <w:highlight w:val="none"/>
        </w:rPr>
        <w:t xml:space="preserve">项目的性质 </w:t>
      </w:r>
    </w:p>
    <w:p>
      <w:pPr>
        <w:widowControl/>
        <w:adjustRightInd w:val="0"/>
        <w:snapToGrid w:val="0"/>
        <w:spacing w:line="360" w:lineRule="auto"/>
        <w:ind w:firstLine="210" w:firstLineChars="100"/>
        <w:rPr>
          <w:rFonts w:hint="eastAsia" w:ascii="宋体" w:hAnsi="宋体" w:eastAsia="宋体"/>
          <w:bCs/>
          <w:color w:val="auto"/>
          <w:szCs w:val="21"/>
          <w:highlight w:val="none"/>
          <w:lang w:eastAsia="zh-CN"/>
        </w:rPr>
      </w:pPr>
      <w:r>
        <w:rPr>
          <w:rFonts w:hint="eastAsia" w:ascii="宋体" w:hAnsi="宋体"/>
          <w:bCs/>
          <w:color w:val="auto"/>
          <w:szCs w:val="21"/>
          <w:highlight w:val="none"/>
        </w:rPr>
        <w:t>1．谈判项目编号：</w:t>
      </w:r>
      <w:r>
        <w:rPr>
          <w:rFonts w:hint="eastAsia" w:ascii="宋体" w:hAnsi="宋体"/>
          <w:b/>
          <w:bCs/>
          <w:color w:val="auto"/>
          <w:szCs w:val="21"/>
          <w:highlight w:val="none"/>
          <w:lang w:eastAsia="zh-CN"/>
        </w:rPr>
        <w:t>YXZB-20220608</w:t>
      </w:r>
    </w:p>
    <w:p>
      <w:pPr>
        <w:widowControl/>
        <w:adjustRightInd w:val="0"/>
        <w:snapToGrid w:val="0"/>
        <w:spacing w:line="360" w:lineRule="auto"/>
        <w:rPr>
          <w:rFonts w:hint="eastAsia" w:ascii="宋体" w:hAnsi="宋体" w:eastAsia="宋体"/>
          <w:bCs/>
          <w:color w:val="auto"/>
          <w:szCs w:val="21"/>
          <w:highlight w:val="none"/>
          <w:lang w:eastAsia="zh-CN"/>
        </w:rPr>
      </w:pPr>
      <w:r>
        <w:rPr>
          <w:rFonts w:hint="eastAsia" w:ascii="宋体" w:hAnsi="宋体"/>
          <w:bCs/>
          <w:color w:val="auto"/>
          <w:szCs w:val="21"/>
          <w:highlight w:val="none"/>
        </w:rPr>
        <w:t xml:space="preserve">  2．谈判项目名称：</w:t>
      </w:r>
      <w:r>
        <w:rPr>
          <w:rFonts w:hint="eastAsia" w:ascii="宋体" w:hAnsi="宋体"/>
          <w:bCs/>
          <w:color w:val="auto"/>
          <w:szCs w:val="21"/>
          <w:highlight w:val="none"/>
          <w:lang w:eastAsia="zh-CN"/>
        </w:rPr>
        <w:t>2022年度阳西县人民法院诉讼档案资料数字化扫描采集项目</w:t>
      </w:r>
    </w:p>
    <w:p>
      <w:pPr>
        <w:widowControl/>
        <w:adjustRightInd w:val="0"/>
        <w:snapToGrid w:val="0"/>
        <w:spacing w:line="360" w:lineRule="auto"/>
        <w:ind w:left="210" w:hanging="210" w:hangingChars="100"/>
        <w:rPr>
          <w:rFonts w:ascii="宋体" w:hAnsi="宋体"/>
          <w:bCs/>
          <w:color w:val="auto"/>
          <w:szCs w:val="21"/>
          <w:highlight w:val="none"/>
        </w:rPr>
      </w:pPr>
      <w:r>
        <w:rPr>
          <w:rFonts w:hint="eastAsia" w:ascii="宋体" w:hAnsi="宋体"/>
          <w:bCs/>
          <w:color w:val="auto"/>
          <w:szCs w:val="21"/>
          <w:highlight w:val="none"/>
        </w:rPr>
        <w:t xml:space="preserve">  3．采购预算：</w:t>
      </w:r>
      <w:r>
        <w:rPr>
          <w:rFonts w:hint="eastAsia" w:ascii="宋体" w:hAnsi="宋体"/>
          <w:bCs/>
          <w:color w:val="auto"/>
          <w:szCs w:val="21"/>
          <w:highlight w:val="none"/>
          <w:lang w:val="en-US" w:eastAsia="zh-CN"/>
        </w:rPr>
        <w:t>人民币300000.00元</w:t>
      </w:r>
      <w:r>
        <w:rPr>
          <w:rFonts w:hint="eastAsia" w:ascii="宋体" w:hAnsi="宋体"/>
          <w:bCs/>
          <w:color w:val="auto"/>
          <w:szCs w:val="21"/>
          <w:highlight w:val="none"/>
        </w:rPr>
        <w:t>（超出该上限的报价将作为无效报价处理）。</w:t>
      </w:r>
    </w:p>
    <w:p>
      <w:pPr>
        <w:widowControl/>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4．数  量：一项</w:t>
      </w:r>
    </w:p>
    <w:p>
      <w:pPr>
        <w:adjustRightInd w:val="0"/>
        <w:snapToGrid w:val="0"/>
        <w:spacing w:line="360" w:lineRule="auto"/>
        <w:rPr>
          <w:rFonts w:hint="eastAsia" w:ascii="宋体" w:hAnsi="宋体"/>
          <w:color w:val="auto"/>
          <w:szCs w:val="21"/>
          <w:highlight w:val="none"/>
          <w:lang w:val="en-US" w:eastAsia="zh-CN"/>
        </w:rPr>
      </w:pPr>
      <w:r>
        <w:rPr>
          <w:rFonts w:hint="eastAsia" w:ascii="宋体" w:hAnsi="宋体"/>
          <w:color w:val="auto"/>
          <w:szCs w:val="21"/>
          <w:highlight w:val="none"/>
        </w:rPr>
        <w:t xml:space="preserve">  5．</w:t>
      </w:r>
      <w:r>
        <w:rPr>
          <w:rFonts w:hint="eastAsia" w:ascii="宋体" w:hAnsi="宋体"/>
          <w:color w:val="auto"/>
          <w:szCs w:val="21"/>
          <w:highlight w:val="none"/>
          <w:lang w:eastAsia="zh-CN"/>
        </w:rPr>
        <w:t>完工</w:t>
      </w:r>
      <w:r>
        <w:rPr>
          <w:rFonts w:hint="eastAsia" w:ascii="宋体" w:hAnsi="宋体"/>
          <w:color w:val="auto"/>
          <w:szCs w:val="21"/>
          <w:highlight w:val="none"/>
        </w:rPr>
        <w:t>期</w:t>
      </w:r>
      <w:r>
        <w:rPr>
          <w:rFonts w:hint="eastAsia" w:ascii="宋体" w:hAnsi="宋体"/>
          <w:color w:val="auto"/>
          <w:szCs w:val="21"/>
          <w:highlight w:val="none"/>
          <w:lang w:val="en-US" w:eastAsia="zh-CN"/>
        </w:rPr>
        <w:t>：</w:t>
      </w:r>
      <w:r>
        <w:rPr>
          <w:rFonts w:hint="eastAsia" w:ascii="宋体" w:hAnsi="宋体" w:cs="宋体"/>
          <w:b w:val="0"/>
          <w:bCs w:val="0"/>
          <w:color w:val="auto"/>
          <w:sz w:val="21"/>
          <w:szCs w:val="21"/>
          <w:highlight w:val="none"/>
          <w:lang w:val="en-US" w:eastAsia="zh-CN"/>
        </w:rPr>
        <w:t>合同签订后6</w:t>
      </w:r>
      <w:r>
        <w:rPr>
          <w:rFonts w:hint="eastAsia" w:ascii="宋体" w:hAnsi="宋体" w:eastAsia="宋体" w:cs="宋体"/>
          <w:b w:val="0"/>
          <w:bCs w:val="0"/>
          <w:color w:val="auto"/>
          <w:sz w:val="21"/>
          <w:szCs w:val="21"/>
          <w:highlight w:val="none"/>
        </w:rPr>
        <w:t>个月（</w:t>
      </w:r>
      <w:r>
        <w:rPr>
          <w:rFonts w:hint="eastAsia" w:ascii="宋体" w:hAnsi="宋体" w:cs="宋体"/>
          <w:color w:val="auto"/>
          <w:sz w:val="21"/>
          <w:szCs w:val="21"/>
          <w:highlight w:val="none"/>
          <w:lang w:val="en-US" w:eastAsia="zh-CN"/>
        </w:rPr>
        <w:t>少于</w:t>
      </w:r>
      <w:r>
        <w:rPr>
          <w:rFonts w:hint="eastAsia" w:ascii="宋体" w:hAnsi="宋体" w:eastAsia="宋体" w:cs="宋体"/>
          <w:color w:val="auto"/>
          <w:sz w:val="21"/>
          <w:szCs w:val="21"/>
          <w:highlight w:val="none"/>
        </w:rPr>
        <w:t>该完工期作为无效投标处理）</w:t>
      </w:r>
      <w:r>
        <w:rPr>
          <w:rFonts w:hint="eastAsia" w:ascii="宋体" w:hAnsi="宋体"/>
          <w:color w:val="auto"/>
          <w:szCs w:val="21"/>
          <w:highlight w:val="none"/>
          <w:lang w:val="en-US" w:eastAsia="zh-CN"/>
        </w:rPr>
        <w:t>。</w:t>
      </w:r>
    </w:p>
    <w:p>
      <w:pPr>
        <w:adjustRightInd w:val="0"/>
        <w:snapToGrid w:val="0"/>
        <w:spacing w:line="360" w:lineRule="auto"/>
        <w:rPr>
          <w:rFonts w:ascii="宋体" w:hAnsi="宋体" w:cs="Tahoma"/>
          <w:iCs/>
          <w:color w:val="auto"/>
          <w:kern w:val="28"/>
          <w:szCs w:val="21"/>
          <w:highlight w:val="none"/>
        </w:rPr>
      </w:pPr>
      <w:r>
        <w:rPr>
          <w:rFonts w:hint="eastAsia" w:ascii="宋体" w:hAnsi="宋体" w:cs="Tahoma"/>
          <w:iCs/>
          <w:color w:val="auto"/>
          <w:kern w:val="28"/>
          <w:szCs w:val="21"/>
          <w:highlight w:val="none"/>
        </w:rPr>
        <w:t xml:space="preserve">  6．谈判项目的性质：竞争性谈判</w:t>
      </w:r>
    </w:p>
    <w:p>
      <w:pPr>
        <w:adjustRightInd w:val="0"/>
        <w:snapToGrid w:val="0"/>
        <w:spacing w:line="360" w:lineRule="auto"/>
        <w:rPr>
          <w:rFonts w:ascii="宋体" w:hAnsi="宋体" w:cs="Tahoma"/>
          <w:b/>
          <w:bCs/>
          <w:color w:val="auto"/>
          <w:szCs w:val="21"/>
          <w:highlight w:val="none"/>
        </w:rPr>
      </w:pPr>
      <w:r>
        <w:rPr>
          <w:rFonts w:hint="eastAsia" w:ascii="宋体" w:hAnsi="宋体" w:cs="Tahoma"/>
          <w:iCs/>
          <w:color w:val="auto"/>
          <w:kern w:val="28"/>
          <w:szCs w:val="21"/>
          <w:highlight w:val="none"/>
        </w:rPr>
        <w:t>三、</w:t>
      </w:r>
      <w:r>
        <w:rPr>
          <w:rFonts w:hint="eastAsia" w:ascii="宋体" w:hAnsi="宋体" w:cs="Tahoma"/>
          <w:b/>
          <w:bCs/>
          <w:color w:val="auto"/>
          <w:szCs w:val="21"/>
          <w:highlight w:val="none"/>
        </w:rPr>
        <w:t>获取谈判文件的时间、地点、方式及谈判文件售价</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1．谈判文件公示时间：</w:t>
      </w:r>
      <w:r>
        <w:rPr>
          <w:rFonts w:hint="eastAsia" w:ascii="宋体" w:hAnsi="宋体" w:cs="Times New Roman"/>
          <w:color w:val="auto"/>
          <w:kern w:val="2"/>
          <w:sz w:val="21"/>
          <w:szCs w:val="21"/>
          <w:highlight w:val="none"/>
          <w:lang w:val="en-US" w:eastAsia="zh-CN" w:bidi="ar-SA"/>
        </w:rPr>
        <w:t xml:space="preserve"> 2022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8</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olor w:val="auto"/>
          <w:szCs w:val="21"/>
          <w:highlight w:val="none"/>
        </w:rPr>
        <w:t>至</w:t>
      </w:r>
      <w:r>
        <w:rPr>
          <w:rFonts w:hint="eastAsia" w:ascii="宋体" w:hAnsi="宋体"/>
          <w:color w:val="auto"/>
          <w:szCs w:val="21"/>
          <w:highlight w:val="none"/>
          <w:lang w:val="en-US" w:eastAsia="zh-CN"/>
        </w:rPr>
        <w:t>2022</w:t>
      </w:r>
      <w:r>
        <w:rPr>
          <w:rFonts w:hint="eastAsia" w:ascii="宋体" w:hAnsi="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6</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13</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olor w:val="auto"/>
          <w:szCs w:val="21"/>
          <w:highlight w:val="none"/>
        </w:rPr>
        <w:t>。</w:t>
      </w:r>
    </w:p>
    <w:p>
      <w:pPr>
        <w:spacing w:line="360" w:lineRule="auto"/>
        <w:ind w:left="525" w:leftChars="100" w:hanging="315" w:hangingChars="150"/>
        <w:rPr>
          <w:rFonts w:ascii="宋体" w:hAnsi="宋体"/>
          <w:color w:val="auto"/>
          <w:szCs w:val="21"/>
          <w:highlight w:val="none"/>
        </w:rPr>
      </w:pPr>
      <w:r>
        <w:rPr>
          <w:rFonts w:hint="eastAsia" w:ascii="宋体" w:hAnsi="宋体"/>
          <w:bCs/>
          <w:color w:val="auto"/>
          <w:highlight w:val="none"/>
        </w:rPr>
        <w:t>2．</w:t>
      </w:r>
      <w:r>
        <w:rPr>
          <w:rFonts w:ascii="宋体" w:hAnsi="宋体"/>
          <w:bCs/>
          <w:color w:val="auto"/>
          <w:highlight w:val="none"/>
        </w:rPr>
        <w:t>根据《广东省实施〈中华人民共和国政府采购法〉办法》规定，投标人认为政府采购文件的内容损害其权益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以上证件须加盖公章），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spacing w:line="360" w:lineRule="auto"/>
        <w:ind w:left="420" w:leftChars="100" w:hanging="210" w:hangingChars="100"/>
        <w:rPr>
          <w:rFonts w:ascii="宋体" w:hAnsi="宋体"/>
          <w:color w:val="auto"/>
          <w:szCs w:val="21"/>
          <w:highlight w:val="none"/>
        </w:rPr>
      </w:pPr>
      <w:r>
        <w:rPr>
          <w:rFonts w:hint="eastAsia" w:ascii="宋体" w:hAnsi="宋体"/>
          <w:color w:val="auto"/>
          <w:szCs w:val="21"/>
          <w:highlight w:val="none"/>
        </w:rPr>
        <w:t>3．获取谈判文件时间及下载：</w:t>
      </w:r>
      <w:r>
        <w:rPr>
          <w:rFonts w:hint="eastAsia" w:ascii="宋体" w:hAnsi="宋体"/>
          <w:color w:val="auto"/>
          <w:szCs w:val="21"/>
          <w:highlight w:val="none"/>
          <w:lang w:val="en-US" w:eastAsia="zh-CN"/>
        </w:rPr>
        <w:t>2022</w:t>
      </w:r>
      <w:r>
        <w:rPr>
          <w:rFonts w:hint="eastAsia" w:ascii="宋体" w:hAnsi="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 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8 </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olor w:val="auto"/>
          <w:szCs w:val="21"/>
          <w:highlight w:val="none"/>
        </w:rPr>
        <w:t>至</w:t>
      </w:r>
      <w:r>
        <w:rPr>
          <w:rFonts w:hint="eastAsia" w:ascii="宋体" w:hAnsi="宋体"/>
          <w:color w:val="auto"/>
          <w:szCs w:val="21"/>
          <w:highlight w:val="none"/>
          <w:lang w:val="en-US" w:eastAsia="zh-CN"/>
        </w:rPr>
        <w:t>2022</w:t>
      </w:r>
      <w:r>
        <w:rPr>
          <w:rFonts w:hint="eastAsia" w:ascii="宋体" w:hAnsi="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13 </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olor w:val="auto"/>
          <w:szCs w:val="21"/>
          <w:highlight w:val="none"/>
        </w:rPr>
        <w:t>，</w:t>
      </w:r>
      <w:r>
        <w:rPr>
          <w:rFonts w:hint="eastAsia" w:ascii="宋体" w:hAnsi="宋体"/>
          <w:bCs/>
          <w:color w:val="auto"/>
          <w:highlight w:val="none"/>
        </w:rPr>
        <w:t>上午9:00～12:00，下午2:30～5:30</w:t>
      </w:r>
      <w:r>
        <w:rPr>
          <w:rFonts w:hint="eastAsia" w:ascii="宋体" w:hAnsi="宋体"/>
          <w:color w:val="auto"/>
          <w:szCs w:val="21"/>
          <w:highlight w:val="none"/>
        </w:rPr>
        <w:t>（节假日除外）（北京时间）。</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4．获取谈判文件地点：</w:t>
      </w:r>
      <w:r>
        <w:rPr>
          <w:rFonts w:hint="eastAsia" w:ascii="宋体" w:hAnsi="宋体"/>
          <w:color w:val="auto"/>
          <w:szCs w:val="21"/>
          <w:highlight w:val="none"/>
          <w:lang w:eastAsia="zh-CN"/>
        </w:rPr>
        <w:t>阳江市江城区猫山四街33号A座2楼</w:t>
      </w:r>
      <w:r>
        <w:rPr>
          <w:rFonts w:hint="eastAsia" w:ascii="宋体" w:hAnsi="宋体" w:cs="宋体"/>
          <w:color w:val="auto"/>
          <w:szCs w:val="21"/>
          <w:highlight w:val="none"/>
          <w:lang w:val="en-US" w:eastAsia="zh-CN"/>
        </w:rPr>
        <w:t>205室</w:t>
      </w:r>
      <w:r>
        <w:rPr>
          <w:rFonts w:hint="eastAsia" w:ascii="宋体" w:hAnsi="宋体"/>
          <w:color w:val="auto"/>
          <w:szCs w:val="21"/>
          <w:highlight w:val="none"/>
        </w:rPr>
        <w:t>。</w:t>
      </w:r>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5．谈判文件售价：谈判文件每套人民币150元，售后不退。</w:t>
      </w:r>
    </w:p>
    <w:p>
      <w:pPr>
        <w:spacing w:line="360" w:lineRule="auto"/>
        <w:ind w:left="283" w:leftChars="-1" w:hanging="285" w:hangingChars="136"/>
        <w:rPr>
          <w:rFonts w:ascii="宋体" w:hAnsi="宋体"/>
          <w:color w:val="auto"/>
          <w:szCs w:val="21"/>
          <w:highlight w:val="none"/>
        </w:rPr>
      </w:pPr>
      <w:r>
        <w:rPr>
          <w:rFonts w:hint="eastAsia" w:ascii="宋体" w:hAnsi="宋体"/>
          <w:color w:val="auto"/>
          <w:szCs w:val="21"/>
          <w:highlight w:val="none"/>
        </w:rPr>
        <w:t xml:space="preserve">  6．谈判</w:t>
      </w:r>
      <w:r>
        <w:rPr>
          <w:rFonts w:hint="eastAsia" w:ascii="宋体" w:hAnsi="宋体"/>
          <w:bCs/>
          <w:color w:val="auto"/>
          <w:highlight w:val="none"/>
        </w:rPr>
        <w:t>文件获取方式：现场发售</w:t>
      </w:r>
      <w:r>
        <w:rPr>
          <w:rFonts w:hint="eastAsia" w:ascii="宋体" w:hAnsi="宋体"/>
          <w:color w:val="auto"/>
          <w:szCs w:val="21"/>
          <w:highlight w:val="none"/>
        </w:rPr>
        <w:t>。</w:t>
      </w:r>
    </w:p>
    <w:p>
      <w:pPr>
        <w:widowControl/>
        <w:tabs>
          <w:tab w:val="left" w:pos="735"/>
        </w:tabs>
        <w:adjustRightInd w:val="0"/>
        <w:snapToGrid w:val="0"/>
        <w:spacing w:line="360" w:lineRule="auto"/>
        <w:ind w:left="420" w:leftChars="100" w:hanging="210" w:hangingChars="100"/>
        <w:rPr>
          <w:rFonts w:ascii="宋体" w:hAnsi="宋体"/>
          <w:bCs/>
          <w:color w:val="auto"/>
          <w:szCs w:val="21"/>
          <w:highlight w:val="none"/>
        </w:rPr>
      </w:pPr>
      <w:r>
        <w:rPr>
          <w:rFonts w:hint="eastAsia" w:ascii="宋体" w:hAnsi="宋体"/>
          <w:color w:val="auto"/>
          <w:szCs w:val="21"/>
          <w:highlight w:val="none"/>
        </w:rPr>
        <w:t>7．</w:t>
      </w:r>
      <w:r>
        <w:rPr>
          <w:rFonts w:hint="eastAsia" w:ascii="宋体" w:hAnsi="宋体"/>
          <w:bCs/>
          <w:color w:val="auto"/>
          <w:szCs w:val="21"/>
          <w:highlight w:val="none"/>
        </w:rPr>
        <w:t>购买谈判文件必须携带:</w:t>
      </w:r>
    </w:p>
    <w:p>
      <w:pPr>
        <w:widowControl/>
        <w:tabs>
          <w:tab w:val="left" w:pos="735"/>
        </w:tabs>
        <w:adjustRightInd w:val="0"/>
        <w:snapToGrid w:val="0"/>
        <w:spacing w:line="360" w:lineRule="auto"/>
        <w:ind w:left="659" w:leftChars="164" w:hanging="315" w:hangingChars="150"/>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1）法定代表人（负责人）证明书原件、法定代表人（负责人）授权委托书原件、法定代表人（负责人）身份证复印件、授权委托人身份证复印件和企业法人营业执照副本复印件及《购买标书登记表》（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48"/>
          <w:color w:val="auto"/>
          <w:highlight w:val="none"/>
        </w:rPr>
        <w:t>http://www.yjcg.cc</w:t>
      </w:r>
      <w:r>
        <w:rPr>
          <w:rStyle w:val="48"/>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48"/>
          <w:rFonts w:hint="eastAsia" w:ascii="宋体" w:hAnsi="宋体"/>
          <w:bCs/>
          <w:color w:val="auto"/>
          <w:szCs w:val="21"/>
          <w:highlight w:val="none"/>
        </w:rPr>
        <w:t>政府采购资料</w:t>
      </w:r>
      <w:r>
        <w:rPr>
          <w:rStyle w:val="48"/>
          <w:rFonts w:hint="eastAsia" w:ascii="宋体" w:hAnsi="宋体"/>
          <w:bCs/>
          <w:color w:val="auto"/>
          <w:szCs w:val="21"/>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tabs>
          <w:tab w:val="left" w:pos="735"/>
        </w:tabs>
        <w:adjustRightInd w:val="0"/>
        <w:snapToGrid w:val="0"/>
        <w:spacing w:line="360" w:lineRule="auto"/>
        <w:ind w:left="660" w:leftChars="164" w:hanging="316" w:hangingChars="150"/>
        <w:rPr>
          <w:rFonts w:ascii="宋体" w:hAnsi="宋体"/>
          <w:color w:val="auto"/>
          <w:szCs w:val="21"/>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四、报价截止时间、开标时间及地点</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Tahoma"/>
          <w:color w:val="auto"/>
          <w:highlight w:val="none"/>
        </w:rPr>
        <w:t>递交谈判响应文件</w:t>
      </w:r>
      <w:r>
        <w:rPr>
          <w:rFonts w:hint="eastAsia" w:ascii="宋体" w:hAnsi="宋体" w:cs="宋体"/>
          <w:color w:val="auto"/>
          <w:kern w:val="0"/>
          <w:szCs w:val="21"/>
          <w:highlight w:val="none"/>
        </w:rPr>
        <w:t>时间：</w:t>
      </w:r>
      <w:r>
        <w:rPr>
          <w:rFonts w:hint="eastAsia" w:ascii="宋体" w:hAnsi="宋体" w:cs="宋体"/>
          <w:color w:val="auto"/>
          <w:kern w:val="0"/>
          <w:szCs w:val="21"/>
          <w:highlight w:val="none"/>
          <w:lang w:val="en-US" w:eastAsia="zh-CN"/>
        </w:rPr>
        <w:t>2022</w:t>
      </w:r>
      <w:r>
        <w:rPr>
          <w:rFonts w:hint="eastAsia" w:ascii="宋体" w:hAnsi="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15 </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:30-1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:00 (北京时间)。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Tahoma"/>
          <w:color w:val="auto"/>
          <w:highlight w:val="none"/>
        </w:rPr>
        <w:t>递交谈判响应文件</w:t>
      </w:r>
      <w:r>
        <w:rPr>
          <w:rFonts w:hint="eastAsia" w:ascii="宋体" w:hAnsi="宋体" w:cs="宋体"/>
          <w:color w:val="auto"/>
          <w:kern w:val="0"/>
          <w:szCs w:val="21"/>
          <w:highlight w:val="none"/>
        </w:rPr>
        <w:t>地点：</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lang w:val="en-US" w:eastAsia="zh-CN"/>
        </w:rPr>
        <w:t>201</w:t>
      </w:r>
      <w:r>
        <w:rPr>
          <w:rFonts w:hint="eastAsia" w:ascii="宋体" w:hAnsi="宋体"/>
          <w:color w:val="auto"/>
          <w:szCs w:val="21"/>
          <w:highlight w:val="none"/>
        </w:rPr>
        <w:t>开标室</w:t>
      </w:r>
      <w:r>
        <w:rPr>
          <w:rFonts w:hint="eastAsia" w:ascii="宋体" w:hAnsi="宋体" w:cs="宋体"/>
          <w:color w:val="auto"/>
          <w:kern w:val="0"/>
          <w:szCs w:val="21"/>
          <w:highlight w:val="none"/>
        </w:rPr>
        <w:t>。</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Tahoma"/>
          <w:color w:val="auto"/>
          <w:highlight w:val="none"/>
        </w:rPr>
        <w:t>报价截止时间（递交谈判响应文件截止时间）</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2022</w:t>
      </w:r>
      <w:r>
        <w:rPr>
          <w:rFonts w:hint="eastAsia" w:ascii="宋体" w:hAnsi="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15 </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s="宋体"/>
          <w:color w:val="auto"/>
          <w:kern w:val="0"/>
          <w:szCs w:val="21"/>
          <w:highlight w:val="none"/>
        </w:rPr>
        <w:t xml:space="preserve">  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:00(北京时间)。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Tahoma"/>
          <w:color w:val="auto"/>
          <w:highlight w:val="none"/>
        </w:rPr>
        <w:t>谈判开始时间</w:t>
      </w:r>
      <w:r>
        <w:rPr>
          <w:rFonts w:hint="eastAsia" w:ascii="宋体" w:hAnsi="宋体" w:cs="宋体"/>
          <w:color w:val="auto"/>
          <w:kern w:val="0"/>
          <w:szCs w:val="21"/>
          <w:highlight w:val="none"/>
        </w:rPr>
        <w:t>：</w:t>
      </w:r>
      <w:r>
        <w:rPr>
          <w:rFonts w:hint="eastAsia" w:ascii="宋体" w:hAnsi="宋体" w:cs="Times New Roman"/>
          <w:color w:val="auto"/>
          <w:kern w:val="2"/>
          <w:sz w:val="21"/>
          <w:szCs w:val="21"/>
          <w:highlight w:val="none"/>
          <w:lang w:val="en-US" w:eastAsia="zh-CN" w:bidi="ar-SA"/>
        </w:rPr>
        <w:t xml:space="preserve"> 2022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 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15 </w:t>
      </w:r>
      <w:r>
        <w:rPr>
          <w:rFonts w:hint="eastAsia" w:ascii="宋体" w:hAnsi="宋体" w:eastAsia="宋体" w:cs="Times New Roman"/>
          <w:color w:val="auto"/>
          <w:kern w:val="2"/>
          <w:sz w:val="21"/>
          <w:szCs w:val="21"/>
          <w:highlight w:val="none"/>
          <w:lang w:val="en-US" w:eastAsia="zh-CN" w:bidi="ar-SA"/>
        </w:rPr>
        <w:t>日</w:t>
      </w:r>
      <w:r>
        <w:rPr>
          <w:rFonts w:hint="eastAsia" w:ascii="宋体" w:hAnsi="宋体" w:cs="宋体"/>
          <w:color w:val="auto"/>
          <w:kern w:val="0"/>
          <w:szCs w:val="21"/>
          <w:highlight w:val="none"/>
        </w:rPr>
        <w:t> 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:00(北京时间)。</w:t>
      </w:r>
    </w:p>
    <w:p>
      <w:pPr>
        <w:widowControl/>
        <w:spacing w:line="360" w:lineRule="auto"/>
        <w:ind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5．</w:t>
      </w:r>
      <w:r>
        <w:rPr>
          <w:rFonts w:hint="eastAsia" w:ascii="宋体" w:hAnsi="宋体" w:cs="Tahoma"/>
          <w:color w:val="auto"/>
          <w:highlight w:val="none"/>
        </w:rPr>
        <w:t>谈判</w:t>
      </w:r>
      <w:r>
        <w:rPr>
          <w:rFonts w:hint="eastAsia" w:ascii="宋体" w:hAnsi="宋体" w:cs="宋体"/>
          <w:color w:val="auto"/>
          <w:kern w:val="0"/>
          <w:szCs w:val="21"/>
          <w:highlight w:val="none"/>
        </w:rPr>
        <w:t>地点：</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lang w:val="en-US" w:eastAsia="zh-CN"/>
        </w:rPr>
        <w:t>202</w:t>
      </w:r>
      <w:r>
        <w:rPr>
          <w:rFonts w:hint="eastAsia" w:ascii="宋体" w:hAnsi="宋体"/>
          <w:color w:val="auto"/>
          <w:szCs w:val="21"/>
          <w:highlight w:val="none"/>
        </w:rPr>
        <w:t>评标室</w:t>
      </w:r>
      <w:r>
        <w:rPr>
          <w:rFonts w:hint="eastAsia" w:ascii="宋体" w:hAnsi="宋体" w:cs="宋体"/>
          <w:color w:val="auto"/>
          <w:kern w:val="0"/>
          <w:szCs w:val="21"/>
          <w:highlight w:val="none"/>
        </w:rPr>
        <w:t>。</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五、采购人、代理采购机构的名称、地址和联系方式</w:t>
      </w:r>
    </w:p>
    <w:p>
      <w:pPr>
        <w:widowControl/>
        <w:tabs>
          <w:tab w:val="left" w:pos="502"/>
        </w:tabs>
        <w:adjustRightInd w:val="0"/>
        <w:snapToGrid w:val="0"/>
        <w:spacing w:line="360" w:lineRule="auto"/>
        <w:ind w:firstLine="210" w:firstLineChars="100"/>
        <w:rPr>
          <w:rFonts w:hint="eastAsia" w:ascii="宋体" w:hAnsi="宋体" w:cs="Tahoma"/>
          <w:color w:val="auto"/>
          <w:szCs w:val="21"/>
          <w:highlight w:val="none"/>
        </w:rPr>
      </w:pPr>
      <w:r>
        <w:rPr>
          <w:rFonts w:hint="eastAsia" w:ascii="宋体" w:hAnsi="宋体" w:cs="Tahoma"/>
          <w:color w:val="auto"/>
          <w:szCs w:val="21"/>
          <w:highlight w:val="none"/>
        </w:rPr>
        <w:t>1.采购人联系方式：</w:t>
      </w:r>
    </w:p>
    <w:p>
      <w:pPr>
        <w:spacing w:line="360" w:lineRule="auto"/>
        <w:ind w:firstLine="420" w:firstLineChars="200"/>
        <w:rPr>
          <w:rFonts w:hint="eastAsia" w:ascii="宋体" w:hAnsi="宋体"/>
          <w:color w:val="auto"/>
          <w:szCs w:val="21"/>
          <w:highlight w:val="none"/>
          <w:lang w:eastAsia="zh-CN"/>
        </w:rPr>
      </w:pPr>
      <w:r>
        <w:rPr>
          <w:rFonts w:hint="eastAsia" w:ascii="宋体" w:hAnsi="宋体"/>
          <w:color w:val="auto"/>
          <w:szCs w:val="21"/>
          <w:highlight w:val="none"/>
        </w:rPr>
        <w:t>名  称：</w:t>
      </w:r>
      <w:r>
        <w:rPr>
          <w:rFonts w:hint="eastAsia" w:ascii="宋体" w:hAnsi="宋体"/>
          <w:color w:val="auto"/>
          <w:szCs w:val="21"/>
          <w:highlight w:val="none"/>
          <w:lang w:eastAsia="zh-CN"/>
        </w:rPr>
        <w:t>阳西县人民法院</w:t>
      </w:r>
    </w:p>
    <w:p>
      <w:pPr>
        <w:widowControl/>
        <w:tabs>
          <w:tab w:val="left" w:pos="502"/>
        </w:tabs>
        <w:adjustRightInd w:val="0"/>
        <w:snapToGrid w:val="0"/>
        <w:spacing w:line="360" w:lineRule="auto"/>
        <w:ind w:firstLine="420" w:firstLineChars="200"/>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地    址：阳江市阳西县新城六区人民大道228号</w:t>
      </w:r>
    </w:p>
    <w:p>
      <w:pPr>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rPr>
        <w:t>联 系 人：</w:t>
      </w:r>
      <w:r>
        <w:rPr>
          <w:rFonts w:hint="eastAsia" w:ascii="宋体" w:hAnsi="宋体"/>
          <w:color w:val="auto"/>
          <w:szCs w:val="21"/>
          <w:highlight w:val="none"/>
          <w:lang w:val="en-US" w:eastAsia="zh-CN"/>
        </w:rPr>
        <w:t>梁立朴</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r>
        <w:rPr>
          <w:rFonts w:hint="eastAsia" w:ascii="宋体" w:hAnsi="宋体"/>
          <w:color w:val="auto"/>
          <w:szCs w:val="21"/>
          <w:highlight w:val="none"/>
          <w:lang w:val="en-US" w:eastAsia="zh-CN"/>
        </w:rPr>
        <w:t>0662-5505158</w:t>
      </w:r>
    </w:p>
    <w:p>
      <w:pPr>
        <w:widowControl/>
        <w:tabs>
          <w:tab w:val="left" w:pos="502"/>
        </w:tabs>
        <w:adjustRightInd w:val="0"/>
        <w:snapToGrid w:val="0"/>
        <w:spacing w:line="360" w:lineRule="auto"/>
        <w:ind w:firstLine="210" w:firstLineChars="100"/>
        <w:rPr>
          <w:rFonts w:ascii="宋体" w:hAnsi="宋体"/>
          <w:color w:val="auto"/>
          <w:szCs w:val="21"/>
          <w:highlight w:val="none"/>
        </w:rPr>
      </w:pPr>
      <w:r>
        <w:rPr>
          <w:rFonts w:hint="eastAsia" w:ascii="宋体" w:hAnsi="宋体" w:cs="Tahoma"/>
          <w:color w:val="auto"/>
          <w:szCs w:val="21"/>
          <w:highlight w:val="none"/>
        </w:rPr>
        <w:t>2.代理采购机构联系方式：</w:t>
      </w:r>
      <w:r>
        <w:rPr>
          <w:rFonts w:hint="eastAsia" w:ascii="宋体" w:hAnsi="宋体"/>
          <w:color w:val="auto"/>
          <w:szCs w:val="21"/>
          <w:highlight w:val="none"/>
          <w:lang w:val="zh-CN"/>
        </w:rPr>
        <w:t>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名  称：</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联系人：冯国辉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电话：0662-</w:t>
      </w:r>
      <w:r>
        <w:rPr>
          <w:rFonts w:hint="eastAsia" w:ascii="宋体" w:hAnsi="宋体" w:cs="Tahoma"/>
          <w:color w:val="auto"/>
          <w:highlight w:val="none"/>
        </w:rPr>
        <w:t>3167266</w:t>
      </w:r>
      <w:r>
        <w:rPr>
          <w:rFonts w:hint="eastAsia" w:ascii="宋体" w:hAnsi="宋体"/>
          <w:color w:val="auto"/>
          <w:szCs w:val="21"/>
          <w:highlight w:val="none"/>
        </w:rPr>
        <w:t xml:space="preserve">                 </w:t>
      </w:r>
    </w:p>
    <w:p>
      <w:pPr>
        <w:tabs>
          <w:tab w:val="left" w:pos="735"/>
          <w:tab w:val="left" w:pos="4680"/>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传真：0662-2669666　　　　　</w:t>
      </w:r>
    </w:p>
    <w:p>
      <w:pPr>
        <w:tabs>
          <w:tab w:val="left" w:pos="735"/>
          <w:tab w:val="left" w:pos="4680"/>
        </w:tabs>
        <w:adjustRightInd w:val="0"/>
        <w:snapToGrid w:val="0"/>
        <w:spacing w:line="360" w:lineRule="auto"/>
        <w:ind w:firstLine="420" w:firstLineChars="200"/>
        <w:rPr>
          <w:rFonts w:ascii="宋体" w:hAnsi="宋体"/>
          <w:color w:val="auto"/>
          <w:szCs w:val="21"/>
          <w:highlight w:val="none"/>
          <w:lang w:val="zh-CN"/>
        </w:rPr>
      </w:pPr>
      <w:r>
        <w:rPr>
          <w:rFonts w:hint="eastAsia" w:ascii="宋体" w:hAnsi="宋体"/>
          <w:color w:val="auto"/>
          <w:szCs w:val="21"/>
          <w:highlight w:val="none"/>
        </w:rPr>
        <w:t>联系地址：</w:t>
      </w:r>
      <w:r>
        <w:rPr>
          <w:rFonts w:hint="eastAsia" w:ascii="宋体" w:hAnsi="宋体"/>
          <w:color w:val="auto"/>
          <w:szCs w:val="21"/>
          <w:highlight w:val="none"/>
          <w:lang w:eastAsia="zh-CN"/>
        </w:rPr>
        <w:t>阳江市江城区猫山四街33号A座2楼</w:t>
      </w:r>
      <w:r>
        <w:rPr>
          <w:rFonts w:hint="eastAsia" w:ascii="宋体" w:hAnsi="宋体"/>
          <w:color w:val="auto"/>
          <w:szCs w:val="21"/>
          <w:highlight w:val="none"/>
        </w:rPr>
        <w:t>　</w:t>
      </w:r>
      <w:r>
        <w:rPr>
          <w:rFonts w:hint="eastAsia" w:ascii="宋体" w:hAnsi="宋体"/>
          <w:color w:val="auto"/>
          <w:szCs w:val="21"/>
          <w:highlight w:val="none"/>
          <w:lang w:val="zh-CN"/>
        </w:rPr>
        <w:t>　　　　　　</w:t>
      </w:r>
    </w:p>
    <w:p>
      <w:pPr>
        <w:widowControl/>
        <w:tabs>
          <w:tab w:val="left" w:pos="502"/>
        </w:tabs>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网址：</w:t>
      </w:r>
      <w:r>
        <w:rPr>
          <w:rFonts w:ascii="宋体" w:hAnsi="宋体"/>
          <w:color w:val="auto"/>
          <w:szCs w:val="21"/>
          <w:highlight w:val="none"/>
        </w:rPr>
        <w:t>http://www.yjcg.cc</w:t>
      </w:r>
      <w:bookmarkStart w:id="10" w:name="_Toc369180017"/>
      <w:bookmarkStart w:id="11" w:name="_Toc351986193"/>
      <w:bookmarkStart w:id="12" w:name="_Toc357151163"/>
      <w:bookmarkStart w:id="13" w:name="_Toc329242667"/>
      <w:bookmarkStart w:id="14" w:name="_Toc353522387"/>
      <w:bookmarkStart w:id="15" w:name="_Toc351990140"/>
      <w:bookmarkStart w:id="16" w:name="_Toc351986013"/>
      <w:bookmarkStart w:id="17" w:name="_Toc351988704"/>
      <w:bookmarkStart w:id="18" w:name="_Toc351987959"/>
      <w:bookmarkStart w:id="19" w:name="_Toc351985908"/>
      <w:bookmarkStart w:id="20" w:name="_Toc351987763"/>
    </w:p>
    <w:p>
      <w:pPr>
        <w:spacing w:line="360" w:lineRule="auto"/>
        <w:ind w:firstLine="3255" w:firstLineChars="1550"/>
        <w:jc w:val="right"/>
        <w:rPr>
          <w:rFonts w:ascii="宋体" w:hAnsi="宋体"/>
          <w:color w:val="auto"/>
          <w:szCs w:val="21"/>
          <w:highlight w:val="none"/>
        </w:rPr>
      </w:pP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 xml:space="preserve">  </w:t>
      </w:r>
    </w:p>
    <w:p>
      <w:pPr>
        <w:spacing w:line="360" w:lineRule="auto"/>
        <w:ind w:left="6615" w:leftChars="2450" w:hanging="1470" w:hangingChars="700"/>
        <w:jc w:val="right"/>
        <w:rPr>
          <w:rFonts w:hint="eastAsia" w:ascii="宋体" w:hAnsi="宋体"/>
          <w:color w:val="auto"/>
          <w:sz w:val="21"/>
          <w:szCs w:val="21"/>
          <w:highlight w:val="none"/>
        </w:rPr>
      </w:pPr>
      <w:r>
        <w:rPr>
          <w:rFonts w:hint="eastAsia" w:ascii="宋体" w:hAnsi="宋体" w:cs="Times New Roman"/>
          <w:color w:val="auto"/>
          <w:kern w:val="2"/>
          <w:sz w:val="21"/>
          <w:szCs w:val="21"/>
          <w:highlight w:val="none"/>
          <w:lang w:val="en-US" w:eastAsia="zh-CN" w:bidi="ar-SA"/>
        </w:rPr>
        <w:t xml:space="preserve">2022 </w:t>
      </w:r>
      <w:r>
        <w:rPr>
          <w:rFonts w:hint="eastAsia" w:ascii="宋体" w:hAnsi="宋体" w:eastAsia="宋体" w:cs="Times New Roman"/>
          <w:color w:val="auto"/>
          <w:kern w:val="2"/>
          <w:sz w:val="21"/>
          <w:szCs w:val="21"/>
          <w:highlight w:val="none"/>
          <w:lang w:val="en-US" w:eastAsia="zh-CN" w:bidi="ar-SA"/>
        </w:rPr>
        <w:t>年</w:t>
      </w:r>
      <w:r>
        <w:rPr>
          <w:rFonts w:hint="eastAsia" w:ascii="宋体" w:hAnsi="宋体" w:cs="Times New Roman"/>
          <w:color w:val="auto"/>
          <w:kern w:val="2"/>
          <w:sz w:val="21"/>
          <w:szCs w:val="21"/>
          <w:highlight w:val="none"/>
          <w:lang w:val="en-US" w:eastAsia="zh-CN" w:bidi="ar-SA"/>
        </w:rPr>
        <w:t xml:space="preserve">6 </w:t>
      </w:r>
      <w:r>
        <w:rPr>
          <w:rFonts w:hint="eastAsia" w:ascii="宋体" w:hAnsi="宋体" w:eastAsia="宋体" w:cs="Times New Roman"/>
          <w:color w:val="auto"/>
          <w:kern w:val="2"/>
          <w:sz w:val="21"/>
          <w:szCs w:val="21"/>
          <w:highlight w:val="none"/>
          <w:lang w:val="en-US" w:eastAsia="zh-CN" w:bidi="ar-SA"/>
        </w:rPr>
        <w:t>月</w:t>
      </w:r>
      <w:r>
        <w:rPr>
          <w:rFonts w:hint="eastAsia" w:ascii="宋体" w:hAnsi="宋体" w:cs="Times New Roman"/>
          <w:color w:val="auto"/>
          <w:kern w:val="2"/>
          <w:sz w:val="21"/>
          <w:szCs w:val="21"/>
          <w:highlight w:val="none"/>
          <w:lang w:val="en-US" w:eastAsia="zh-CN" w:bidi="ar-SA"/>
        </w:rPr>
        <w:t xml:space="preserve"> 8 </w:t>
      </w:r>
      <w:r>
        <w:rPr>
          <w:rFonts w:hint="eastAsia" w:ascii="宋体" w:hAnsi="宋体" w:eastAsia="宋体" w:cs="Times New Roman"/>
          <w:color w:val="auto"/>
          <w:kern w:val="2"/>
          <w:sz w:val="21"/>
          <w:szCs w:val="21"/>
          <w:highlight w:val="none"/>
          <w:lang w:val="en-US" w:eastAsia="zh-CN" w:bidi="ar-SA"/>
        </w:rPr>
        <w:t>日</w:t>
      </w:r>
      <w:bookmarkStart w:id="21" w:name="_Toc452826426"/>
    </w:p>
    <w:p>
      <w:pPr>
        <w:pStyle w:val="3"/>
        <w:numPr>
          <w:ilvl w:val="0"/>
          <w:numId w:val="0"/>
        </w:numPr>
        <w:autoSpaceDE w:val="0"/>
        <w:autoSpaceDN w:val="0"/>
        <w:adjustRightInd w:val="0"/>
        <w:snapToGrid w:val="0"/>
        <w:spacing w:beforeLines="100" w:after="0" w:line="360" w:lineRule="auto"/>
        <w:jc w:val="center"/>
        <w:textAlignment w:val="baseline"/>
        <w:rPr>
          <w:rFonts w:ascii="宋体" w:hAnsi="宋体"/>
          <w:color w:val="auto"/>
          <w:sz w:val="21"/>
          <w:szCs w:val="21"/>
          <w:highlight w:val="none"/>
        </w:rPr>
      </w:pPr>
      <w:bookmarkStart w:id="22" w:name="_Toc11341"/>
      <w:bookmarkStart w:id="23" w:name="_Toc17052"/>
      <w:r>
        <w:rPr>
          <w:rFonts w:hint="eastAsia" w:ascii="宋体" w:hAnsi="宋体"/>
          <w:color w:val="auto"/>
          <w:sz w:val="21"/>
          <w:szCs w:val="21"/>
          <w:highlight w:val="none"/>
        </w:rPr>
        <w:t>第二部分  采购项目内容</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Start w:id="24" w:name="_Toc75570886"/>
    </w:p>
    <w:p>
      <w:pPr>
        <w:pStyle w:val="3"/>
        <w:numPr>
          <w:ilvl w:val="0"/>
          <w:numId w:val="0"/>
        </w:numPr>
        <w:autoSpaceDE w:val="0"/>
        <w:autoSpaceDN w:val="0"/>
        <w:adjustRightInd w:val="0"/>
        <w:snapToGrid w:val="0"/>
        <w:spacing w:beforeLines="100" w:after="0" w:line="360" w:lineRule="auto"/>
        <w:jc w:val="left"/>
        <w:textAlignment w:val="baseline"/>
        <w:rPr>
          <w:rFonts w:hint="eastAsia" w:ascii="宋体" w:hAnsi="宋体" w:eastAsia="宋体"/>
          <w:color w:val="auto"/>
          <w:sz w:val="21"/>
          <w:szCs w:val="21"/>
          <w:highlight w:val="none"/>
          <w:lang w:eastAsia="zh-CN"/>
        </w:rPr>
      </w:pPr>
      <w:bookmarkStart w:id="25" w:name="_Toc329242668"/>
      <w:bookmarkStart w:id="26" w:name="_Toc351986014"/>
      <w:bookmarkStart w:id="27" w:name="_Toc353522388"/>
      <w:bookmarkStart w:id="28" w:name="_Toc351987764"/>
      <w:bookmarkStart w:id="29" w:name="_Toc351990141"/>
      <w:bookmarkStart w:id="30" w:name="_Toc351986194"/>
      <w:bookmarkStart w:id="31" w:name="_Toc351988705"/>
      <w:bookmarkStart w:id="32" w:name="_Toc369180018"/>
      <w:bookmarkStart w:id="33" w:name="_Toc452826427"/>
      <w:bookmarkStart w:id="34" w:name="_Toc351987960"/>
      <w:bookmarkStart w:id="35" w:name="_Toc357151164"/>
      <w:bookmarkStart w:id="36" w:name="_Toc29053"/>
      <w:bookmarkStart w:id="37" w:name="_Toc351985909"/>
      <w:bookmarkStart w:id="38" w:name="_Toc23452"/>
      <w:r>
        <w:rPr>
          <w:rFonts w:hint="eastAsia" w:ascii="宋体" w:hAnsi="宋体"/>
          <w:color w:val="auto"/>
          <w:sz w:val="21"/>
          <w:szCs w:val="21"/>
          <w:highlight w:val="none"/>
        </w:rPr>
        <w:t>项目编号：</w:t>
      </w:r>
      <w:bookmarkEnd w:id="25"/>
      <w:bookmarkEnd w:id="26"/>
      <w:bookmarkEnd w:id="27"/>
      <w:bookmarkEnd w:id="28"/>
      <w:bookmarkEnd w:id="29"/>
      <w:bookmarkEnd w:id="30"/>
      <w:bookmarkEnd w:id="31"/>
      <w:bookmarkEnd w:id="32"/>
      <w:bookmarkEnd w:id="33"/>
      <w:bookmarkEnd w:id="34"/>
      <w:bookmarkEnd w:id="35"/>
      <w:bookmarkEnd w:id="36"/>
      <w:bookmarkEnd w:id="37"/>
      <w:r>
        <w:rPr>
          <w:rFonts w:hint="eastAsia" w:ascii="宋体" w:hAnsi="宋体"/>
          <w:color w:val="auto"/>
          <w:sz w:val="21"/>
          <w:szCs w:val="21"/>
          <w:highlight w:val="none"/>
          <w:u w:val="single"/>
          <w:lang w:eastAsia="zh-CN"/>
        </w:rPr>
        <w:t>YXZB-20220608</w:t>
      </w:r>
      <w:bookmarkEnd w:id="38"/>
    </w:p>
    <w:p>
      <w:pPr>
        <w:pStyle w:val="4"/>
        <w:widowControl/>
        <w:numPr>
          <w:ilvl w:val="1"/>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highlight w:val="none"/>
          <w:lang w:eastAsia="zh-CN"/>
        </w:rPr>
      </w:pPr>
      <w:bookmarkStart w:id="39" w:name="_Toc357151165"/>
      <w:bookmarkStart w:id="40" w:name="_Toc369180019"/>
      <w:bookmarkStart w:id="41" w:name="_Toc329242669"/>
      <w:bookmarkStart w:id="42" w:name="_Toc4415"/>
      <w:bookmarkStart w:id="43" w:name="_Toc351986015"/>
      <w:bookmarkStart w:id="44" w:name="_Toc351990142"/>
      <w:bookmarkStart w:id="45" w:name="_Toc351987961"/>
      <w:bookmarkStart w:id="46" w:name="_Toc351988706"/>
      <w:bookmarkStart w:id="47" w:name="_Toc351986195"/>
      <w:bookmarkStart w:id="48" w:name="_Toc452826428"/>
      <w:bookmarkStart w:id="49" w:name="_Toc353522389"/>
      <w:bookmarkStart w:id="50" w:name="_Toc351985910"/>
      <w:bookmarkStart w:id="51" w:name="_Toc351987765"/>
      <w:bookmarkStart w:id="52" w:name="_Toc5572"/>
      <w:r>
        <w:rPr>
          <w:rFonts w:hint="eastAsia" w:ascii="宋体" w:hAnsi="宋体" w:eastAsia="宋体"/>
          <w:color w:val="auto"/>
          <w:kern w:val="44"/>
          <w:sz w:val="21"/>
          <w:szCs w:val="21"/>
          <w:highlight w:val="none"/>
        </w:rPr>
        <w:t>项目名称：</w:t>
      </w:r>
      <w:bookmarkEnd w:id="39"/>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eastAsia="宋体"/>
          <w:color w:val="auto"/>
          <w:kern w:val="44"/>
          <w:sz w:val="21"/>
          <w:szCs w:val="21"/>
          <w:highlight w:val="none"/>
          <w:u w:val="single"/>
          <w:lang w:eastAsia="zh-CN"/>
        </w:rPr>
        <w:t>2022年度阳西县人民法院诉讼档案资料数字化扫描采集项目</w:t>
      </w:r>
      <w:bookmarkEnd w:id="52"/>
    </w:p>
    <w:p>
      <w:pPr>
        <w:pStyle w:val="4"/>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53" w:name="_Toc369180020"/>
      <w:bookmarkStart w:id="54" w:name="_Toc351986196"/>
      <w:bookmarkStart w:id="55" w:name="_Toc452826429"/>
      <w:bookmarkStart w:id="56" w:name="_Toc351986016"/>
      <w:bookmarkStart w:id="57" w:name="_Toc351985911"/>
      <w:bookmarkStart w:id="58" w:name="_Toc329242670"/>
      <w:bookmarkStart w:id="59" w:name="_Toc351988707"/>
      <w:bookmarkStart w:id="60" w:name="_Toc9912"/>
      <w:bookmarkStart w:id="61" w:name="_Toc29317"/>
      <w:bookmarkStart w:id="62" w:name="_Toc353522390"/>
      <w:bookmarkStart w:id="63" w:name="_Toc357151166"/>
      <w:bookmarkStart w:id="64" w:name="_Toc351987766"/>
      <w:bookmarkStart w:id="65" w:name="_Toc351987962"/>
      <w:bookmarkStart w:id="66" w:name="_Toc351990143"/>
      <w:r>
        <w:rPr>
          <w:rFonts w:ascii="宋体" w:hAnsi="宋体" w:eastAsia="宋体"/>
          <w:color w:val="auto"/>
          <w:kern w:val="0"/>
          <w:sz w:val="21"/>
          <w:szCs w:val="21"/>
          <w:highlight w:val="none"/>
        </w:rPr>
        <w:t xml:space="preserve">A  </w:t>
      </w:r>
      <w:r>
        <w:rPr>
          <w:rFonts w:hint="eastAsia" w:ascii="宋体" w:hAnsi="宋体" w:eastAsia="宋体"/>
          <w:color w:val="auto"/>
          <w:kern w:val="0"/>
          <w:sz w:val="21"/>
          <w:szCs w:val="21"/>
          <w:highlight w:val="none"/>
        </w:rPr>
        <w:t>商务要求</w:t>
      </w:r>
      <w:bookmarkEnd w:id="24"/>
      <w:bookmarkEnd w:id="53"/>
      <w:bookmarkEnd w:id="54"/>
      <w:bookmarkEnd w:id="55"/>
      <w:bookmarkEnd w:id="56"/>
      <w:bookmarkEnd w:id="57"/>
      <w:bookmarkEnd w:id="58"/>
      <w:bookmarkEnd w:id="59"/>
      <w:bookmarkEnd w:id="60"/>
      <w:bookmarkEnd w:id="61"/>
      <w:bookmarkEnd w:id="62"/>
      <w:bookmarkEnd w:id="63"/>
      <w:bookmarkEnd w:id="64"/>
      <w:bookmarkEnd w:id="65"/>
      <w:bookmarkEnd w:id="66"/>
    </w:p>
    <w:tbl>
      <w:tblPr>
        <w:tblStyle w:val="43"/>
        <w:tblW w:w="949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359"/>
        <w:gridCol w:w="2064"/>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序号</w:t>
            </w:r>
          </w:p>
        </w:tc>
        <w:tc>
          <w:tcPr>
            <w:tcW w:w="2359"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项目</w:t>
            </w:r>
          </w:p>
        </w:tc>
        <w:tc>
          <w:tcPr>
            <w:tcW w:w="6459"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color w:val="auto"/>
                <w:highlight w:val="none"/>
              </w:rPr>
              <w:t>1</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eastAsia"/>
                <w:b/>
                <w:color w:val="auto"/>
                <w:highlight w:val="none"/>
              </w:rPr>
              <w:t>投标人投标资格要求</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2</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eastAsia"/>
                <w:b/>
                <w:color w:val="auto"/>
                <w:highlight w:val="none"/>
                <w:lang w:val="en-US" w:eastAsia="zh-CN"/>
              </w:rPr>
              <w:t>完工期</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7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3</w:t>
            </w:r>
          </w:p>
        </w:tc>
        <w:tc>
          <w:tcPr>
            <w:tcW w:w="2359"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eastAsia" w:ascii="宋体" w:hAnsi="宋体"/>
                <w:b/>
                <w:bCs w:val="0"/>
                <w:color w:val="auto"/>
                <w:kern w:val="0"/>
                <w:sz w:val="21"/>
                <w:szCs w:val="21"/>
                <w:highlight w:val="none"/>
                <w:lang w:val="en-US" w:eastAsia="zh-CN"/>
              </w:rPr>
              <w:t>投标报价包括</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完成本项目的一切费用。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4</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default" w:ascii="宋体" w:hAnsi="宋体"/>
                <w:b/>
                <w:bCs w:val="0"/>
                <w:color w:val="auto"/>
                <w:kern w:val="0"/>
                <w:sz w:val="21"/>
                <w:szCs w:val="21"/>
                <w:highlight w:val="none"/>
                <w:lang w:val="en-US" w:eastAsia="zh-CN"/>
              </w:rPr>
              <w:t>合同签订要求</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color w:val="auto"/>
                <w:highlight w:val="none"/>
              </w:rPr>
            </w:pPr>
            <w:r>
              <w:rPr>
                <w:rFonts w:hint="eastAsia" w:ascii="宋体" w:hAnsi="宋体" w:eastAsia="宋体" w:cs="宋体"/>
                <w:color w:val="auto"/>
                <w:sz w:val="21"/>
                <w:szCs w:val="21"/>
                <w:highlight w:val="none"/>
              </w:rPr>
              <w:t>采购合同由成交供应商与采购人双方签订，签订时间为《成交通知书》发出之日起</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5个日历天</w:t>
            </w:r>
            <w:r>
              <w:rPr>
                <w:rFonts w:hint="eastAsia" w:ascii="宋体" w:hAnsi="宋体" w:eastAsia="宋体" w:cs="宋体"/>
                <w:color w:val="auto"/>
                <w:highlight w:val="none"/>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5</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eastAsia" w:ascii="宋体" w:hAnsi="宋体"/>
                <w:b/>
                <w:bCs w:val="0"/>
                <w:color w:val="auto"/>
                <w:kern w:val="0"/>
                <w:sz w:val="21"/>
                <w:szCs w:val="21"/>
                <w:highlight w:val="none"/>
                <w:lang w:val="en-US" w:eastAsia="zh-CN"/>
              </w:rPr>
              <w:t>完工</w:t>
            </w:r>
            <w:r>
              <w:rPr>
                <w:rFonts w:hint="default" w:ascii="宋体" w:hAnsi="宋体"/>
                <w:b/>
                <w:bCs w:val="0"/>
                <w:color w:val="auto"/>
                <w:kern w:val="0"/>
                <w:sz w:val="21"/>
                <w:szCs w:val="21"/>
                <w:highlight w:val="none"/>
                <w:lang w:val="en-US" w:eastAsia="zh-CN"/>
              </w:rPr>
              <w:t>地点</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r>
              <w:rPr>
                <w:rFonts w:hint="eastAsia" w:ascii="宋体" w:hAnsi="宋体" w:eastAsia="宋体" w:cs="宋体"/>
                <w:color w:val="auto"/>
                <w:sz w:val="21"/>
                <w:szCs w:val="21"/>
                <w:highlight w:val="none"/>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6</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default" w:ascii="宋体" w:hAnsi="宋体"/>
                <w:b/>
                <w:bCs w:val="0"/>
                <w:color w:val="auto"/>
                <w:kern w:val="0"/>
                <w:sz w:val="21"/>
                <w:szCs w:val="21"/>
                <w:highlight w:val="none"/>
                <w:lang w:val="en-US" w:eastAsia="zh-CN"/>
              </w:rPr>
              <w:t>付款方式</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合同签订后15个工作日内，支付合同总额的</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2.完成扫描采集工作的80%，支付</w:t>
            </w:r>
            <w:r>
              <w:rPr>
                <w:rFonts w:hint="eastAsia" w:ascii="宋体" w:hAnsi="宋体" w:eastAsia="宋体" w:cs="宋体"/>
                <w:color w:val="auto"/>
                <w:highlight w:val="none"/>
              </w:rPr>
              <w:t>合同总额的</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0%；</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项目完成经过采购人验收后15个工作日内支付合同总额的</w:t>
            </w: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4.质保期满一年后的</w:t>
            </w:r>
            <w:r>
              <w:rPr>
                <w:rFonts w:hint="eastAsia" w:ascii="宋体" w:hAnsi="宋体" w:eastAsia="宋体" w:cs="宋体"/>
                <w:color w:val="auto"/>
                <w:highlight w:val="none"/>
              </w:rPr>
              <w:t>15个工作日内支付合同总额的</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供应商需在采购人支付前5个工作日内提供以下资料：</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供应商开具的正规发票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项目合同</w:t>
            </w:r>
          </w:p>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成交通知书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7</w:t>
            </w:r>
          </w:p>
        </w:tc>
        <w:tc>
          <w:tcPr>
            <w:tcW w:w="2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b/>
                <w:color w:val="auto"/>
                <w:highlight w:val="none"/>
              </w:rPr>
            </w:pPr>
            <w:r>
              <w:rPr>
                <w:rFonts w:hint="eastAsia" w:ascii="宋体" w:hAnsi="宋体"/>
                <w:b/>
                <w:bCs w:val="0"/>
                <w:color w:val="auto"/>
                <w:kern w:val="0"/>
                <w:sz w:val="21"/>
                <w:szCs w:val="21"/>
                <w:highlight w:val="none"/>
                <w:lang w:val="en-US" w:eastAsia="zh-CN"/>
              </w:rPr>
              <w:t>其他</w:t>
            </w:r>
            <w:r>
              <w:rPr>
                <w:rFonts w:hint="default" w:ascii="宋体" w:hAnsi="宋体"/>
                <w:b/>
                <w:bCs w:val="0"/>
                <w:color w:val="auto"/>
                <w:kern w:val="0"/>
                <w:sz w:val="21"/>
                <w:szCs w:val="21"/>
                <w:highlight w:val="none"/>
                <w:lang w:val="en-US" w:eastAsia="zh-CN"/>
              </w:rPr>
              <w:t>要求</w:t>
            </w:r>
          </w:p>
        </w:tc>
        <w:tc>
          <w:tcPr>
            <w:tcW w:w="6459" w:type="dxa"/>
            <w:gridSpan w:val="2"/>
            <w:tcBorders>
              <w:top w:val="single" w:color="auto" w:sz="4" w:space="0"/>
              <w:left w:val="single" w:color="auto" w:sz="4" w:space="0"/>
              <w:bottom w:val="single" w:color="auto" w:sz="4" w:space="0"/>
              <w:right w:val="single" w:color="auto" w:sz="4" w:space="0"/>
            </w:tcBorders>
            <w:vAlign w:val="center"/>
          </w:tcPr>
          <w:p>
            <w:pPr>
              <w:widowControl/>
              <w:numPr>
                <w:ilvl w:val="0"/>
                <w:numId w:val="0"/>
              </w:numPr>
              <w:adjustRightInd w:val="0"/>
              <w:snapToGrid w:val="0"/>
              <w:spacing w:line="360" w:lineRule="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项目培训：项目完工并验收合格后，供应商免费对阳西县人民法院相关部门人员进行系统操作、档案实体及电子数据管理与使用培训）</w:t>
            </w:r>
          </w:p>
          <w:p>
            <w:pPr>
              <w:widowControl/>
              <w:numPr>
                <w:ilvl w:val="0"/>
                <w:numId w:val="0"/>
              </w:numPr>
              <w:adjustRightInd w:val="0"/>
              <w:snapToGrid w:val="0"/>
              <w:spacing w:line="360" w:lineRule="auto"/>
              <w:ind w:left="-5" w:leftChars="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项目售后服务：项目完工并验收合格后，供应商需为采购人提供两年免费数据维护服务。</w:t>
            </w:r>
          </w:p>
          <w:p>
            <w:pPr>
              <w:widowControl/>
              <w:numPr>
                <w:ilvl w:val="0"/>
                <w:numId w:val="0"/>
              </w:numPr>
              <w:adjustRightInd w:val="0"/>
              <w:snapToGrid w:val="0"/>
              <w:spacing w:line="360" w:lineRule="auto"/>
              <w:ind w:left="-5" w:leftChars="0"/>
              <w:rPr>
                <w:color w:val="auto"/>
                <w:highlight w:val="none"/>
              </w:rPr>
            </w:pPr>
            <w:r>
              <w:rPr>
                <w:rFonts w:hint="eastAsia" w:ascii="宋体" w:hAnsi="宋体" w:eastAsia="宋体" w:cs="宋体"/>
                <w:color w:val="auto"/>
                <w:sz w:val="21"/>
                <w:szCs w:val="21"/>
                <w:highlight w:val="none"/>
              </w:rPr>
              <w:t>3.未经采购人同意，供应商不得将本项目的全部或任何部分分包和转包给他人。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8</w:t>
            </w:r>
          </w:p>
        </w:tc>
        <w:tc>
          <w:tcPr>
            <w:tcW w:w="2359"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
                <w:color w:val="auto"/>
                <w:szCs w:val="21"/>
                <w:highlight w:val="none"/>
              </w:rPr>
            </w:pPr>
            <w:r>
              <w:rPr>
                <w:rFonts w:hint="eastAsia" w:ascii="宋体" w:hAnsi="宋体"/>
                <w:b/>
                <w:color w:val="auto"/>
                <w:szCs w:val="21"/>
                <w:highlight w:val="none"/>
              </w:rPr>
              <w:t>投标保证金</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（应当以支票、汇票、本票或者金融机构、担保机构出具的保函等非现金形式提交）。</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r>
              <w:rPr>
                <w:rFonts w:hint="eastAsia" w:ascii="宋体" w:hAnsi="宋体"/>
                <w:color w:val="auto"/>
                <w:szCs w:val="21"/>
                <w:highlight w:val="none"/>
              </w:rPr>
              <w:t>保证金数额</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ind w:left="316" w:hanging="316" w:hangingChars="150"/>
              <w:jc w:val="left"/>
              <w:textAlignment w:val="auto"/>
              <w:rPr>
                <w:rFonts w:ascii="宋体" w:hAnsi="宋体"/>
                <w:b/>
                <w:color w:val="auto"/>
                <w:szCs w:val="21"/>
                <w:highlight w:val="none"/>
              </w:rPr>
            </w:pPr>
            <w:r>
              <w:rPr>
                <w:rFonts w:hint="eastAsia" w:ascii="宋体" w:hAnsi="宋体"/>
                <w:b/>
                <w:color w:val="auto"/>
                <w:szCs w:val="21"/>
                <w:highlight w:val="none"/>
              </w:rPr>
              <w:t>人民币</w:t>
            </w:r>
            <w:r>
              <w:rPr>
                <w:rFonts w:hint="eastAsia" w:ascii="宋体" w:hAnsi="宋体"/>
                <w:b/>
                <w:color w:val="auto"/>
                <w:szCs w:val="21"/>
                <w:highlight w:val="none"/>
                <w:lang w:val="en-US" w:eastAsia="zh-CN"/>
              </w:rPr>
              <w:t>叁</w:t>
            </w:r>
            <w:r>
              <w:rPr>
                <w:rFonts w:hint="eastAsia" w:ascii="宋体" w:hAnsi="宋体"/>
                <w:b/>
                <w:color w:val="auto"/>
                <w:szCs w:val="21"/>
                <w:highlight w:val="none"/>
              </w:rPr>
              <w:t>仟元整（￥</w:t>
            </w:r>
            <w:r>
              <w:rPr>
                <w:rFonts w:hint="eastAsia" w:ascii="宋体" w:hAnsi="宋体"/>
                <w:b/>
                <w:color w:val="auto"/>
                <w:szCs w:val="21"/>
                <w:highlight w:val="none"/>
                <w:lang w:val="en-US" w:eastAsia="zh-CN"/>
              </w:rPr>
              <w:t>30</w:t>
            </w:r>
            <w:r>
              <w:rPr>
                <w:rFonts w:hint="eastAsia" w:ascii="宋体" w:hAnsi="宋体"/>
                <w:b/>
                <w:color w:val="auto"/>
                <w:szCs w:val="21"/>
                <w:highlight w:val="none"/>
              </w:rPr>
              <w:t>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b/>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b/>
                <w:bCs/>
                <w:color w:val="auto"/>
                <w:szCs w:val="21"/>
                <w:highlight w:val="none"/>
                <w:lang w:eastAsia="zh-CN"/>
              </w:rPr>
            </w:pPr>
            <w:r>
              <w:rPr>
                <w:rFonts w:hint="eastAsia" w:ascii="宋体" w:hAnsi="宋体" w:eastAsia="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b/>
                <w:bCs/>
                <w:color w:val="auto"/>
                <w:szCs w:val="21"/>
                <w:highlight w:val="none"/>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color w:val="auto"/>
                <w:szCs w:val="21"/>
                <w:highlight w:val="none"/>
              </w:rPr>
              <w:t>交纳时间</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r>
              <w:rPr>
                <w:rFonts w:hint="eastAsia"/>
                <w:color w:val="auto"/>
                <w:highlight w:val="none"/>
              </w:rPr>
              <w:t>9</w:t>
            </w:r>
          </w:p>
        </w:tc>
        <w:tc>
          <w:tcPr>
            <w:tcW w:w="2359"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
                <w:color w:val="auto"/>
                <w:szCs w:val="21"/>
                <w:highlight w:val="none"/>
              </w:rPr>
            </w:pPr>
            <w:r>
              <w:rPr>
                <w:rFonts w:hint="eastAsia" w:ascii="宋体" w:hAnsi="宋体"/>
                <w:b/>
                <w:color w:val="auto"/>
                <w:szCs w:val="21"/>
                <w:highlight w:val="none"/>
              </w:rPr>
              <w:t>成交服务费</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r>
              <w:rPr>
                <w:rFonts w:hint="eastAsia" w:ascii="宋体" w:hAnsi="宋体"/>
                <w:bCs/>
                <w:color w:val="auto"/>
                <w:szCs w:val="21"/>
                <w:highlight w:val="none"/>
              </w:rPr>
              <w:t>（以银行转账、电汇方式提交）</w:t>
            </w: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color w:val="auto"/>
                <w:szCs w:val="21"/>
                <w:highlight w:val="none"/>
              </w:rPr>
              <w:t>收费标准：</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bCs/>
                <w:color w:val="auto"/>
                <w:szCs w:val="21"/>
                <w:highlight w:val="none"/>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发改价格[2015]299号文的规定</w:t>
            </w:r>
            <w:r>
              <w:rPr>
                <w:rFonts w:hint="eastAsia" w:ascii="宋体" w:hAnsi="宋体"/>
                <w:color w:val="auto"/>
                <w:szCs w:val="21"/>
                <w:highlight w:val="none"/>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bCs/>
                <w:color w:val="auto"/>
                <w:szCs w:val="21"/>
                <w:highlight w:val="none"/>
                <w:lang w:eastAsia="zh-CN"/>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color w:val="auto"/>
                <w:highlight w:val="none"/>
              </w:rPr>
            </w:pPr>
          </w:p>
        </w:tc>
        <w:tc>
          <w:tcPr>
            <w:tcW w:w="2359"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color w:val="auto"/>
                <w:szCs w:val="21"/>
                <w:highlight w:val="none"/>
              </w:rPr>
            </w:pPr>
          </w:p>
        </w:tc>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Cs/>
                <w:color w:val="auto"/>
                <w:szCs w:val="21"/>
                <w:highlight w:val="none"/>
              </w:rPr>
            </w:pPr>
            <w:r>
              <w:rPr>
                <w:rFonts w:hint="eastAsia" w:ascii="宋体" w:hAnsi="宋体"/>
                <w:bCs/>
                <w:color w:val="auto"/>
                <w:szCs w:val="21"/>
                <w:highlight w:val="none"/>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bCs/>
                <w:color w:val="auto"/>
                <w:szCs w:val="21"/>
                <w:highlight w:val="none"/>
              </w:rPr>
            </w:pPr>
            <w:r>
              <w:rPr>
                <w:rFonts w:hint="eastAsia" w:ascii="宋体" w:hAnsi="宋体"/>
                <w:b/>
                <w:bCs/>
                <w:color w:val="auto"/>
                <w:szCs w:val="21"/>
                <w:highlight w:val="none"/>
              </w:rPr>
              <w:t>中国农业银行股份有限公司阳江</w:t>
            </w:r>
            <w:r>
              <w:rPr>
                <w:rFonts w:hint="eastAsia" w:ascii="宋体" w:hAnsi="宋体"/>
                <w:b/>
                <w:bCs/>
                <w:color w:val="auto"/>
                <w:szCs w:val="21"/>
                <w:highlight w:val="none"/>
                <w:lang w:val="en-US" w:eastAsia="zh-CN"/>
              </w:rPr>
              <w:t>江城</w:t>
            </w:r>
            <w:r>
              <w:rPr>
                <w:rFonts w:hint="eastAsia" w:ascii="宋体" w:hAnsi="宋体"/>
                <w:b/>
                <w:bCs/>
                <w:color w:val="auto"/>
                <w:szCs w:val="21"/>
                <w:highlight w:val="none"/>
              </w:rPr>
              <w:t>支行</w:t>
            </w:r>
          </w:p>
        </w:tc>
      </w:tr>
    </w:tbl>
    <w:p>
      <w:pPr>
        <w:pStyle w:val="4"/>
        <w:widowControl/>
        <w:numPr>
          <w:ilvl w:val="1"/>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bookmarkStart w:id="67" w:name="_Toc4"/>
      <w:bookmarkStart w:id="68" w:name="_Toc369180021"/>
      <w:bookmarkStart w:id="69" w:name="_Toc353522391"/>
      <w:bookmarkStart w:id="70" w:name="_Toc351987963"/>
      <w:bookmarkStart w:id="71" w:name="_Toc452826430"/>
      <w:bookmarkStart w:id="72" w:name="_Toc351986197"/>
      <w:bookmarkStart w:id="73" w:name="_Toc351985912"/>
      <w:bookmarkStart w:id="74" w:name="_Toc351990144"/>
      <w:bookmarkStart w:id="75" w:name="_Toc351988708"/>
      <w:bookmarkStart w:id="76" w:name="_Toc357151167"/>
      <w:bookmarkStart w:id="77" w:name="_Toc351987767"/>
      <w:bookmarkStart w:id="78" w:name="_Toc329242671"/>
      <w:bookmarkStart w:id="79" w:name="_Toc351986017"/>
    </w:p>
    <w:p>
      <w:pPr>
        <w:pStyle w:val="4"/>
        <w:widowControl/>
        <w:numPr>
          <w:ilvl w:val="1"/>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4"/>
        <w:widowControl/>
        <w:numPr>
          <w:ilvl w:val="1"/>
          <w:numId w:val="0"/>
        </w:numPr>
        <w:autoSpaceDE w:val="0"/>
        <w:autoSpaceDN w:val="0"/>
        <w:adjustRightInd w:val="0"/>
        <w:snapToGrid w:val="0"/>
        <w:spacing w:beforeLines="150" w:after="0" w:line="360" w:lineRule="auto"/>
        <w:jc w:val="both"/>
        <w:textAlignment w:val="baseline"/>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bookmarkStart w:id="320" w:name="_GoBack"/>
      <w:bookmarkEnd w:id="320"/>
    </w:p>
    <w:p>
      <w:pPr>
        <w:pStyle w:val="5"/>
        <w:rPr>
          <w:rFonts w:hint="eastAsia"/>
          <w:color w:val="auto"/>
          <w:highlight w:val="none"/>
        </w:rPr>
      </w:pPr>
    </w:p>
    <w:p>
      <w:pPr>
        <w:pStyle w:val="4"/>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80" w:name="_Toc10881"/>
      <w:r>
        <w:rPr>
          <w:rFonts w:hint="eastAsia" w:ascii="宋体" w:hAnsi="宋体" w:eastAsia="宋体"/>
          <w:color w:val="auto"/>
          <w:kern w:val="0"/>
          <w:sz w:val="21"/>
          <w:szCs w:val="21"/>
          <w:highlight w:val="none"/>
        </w:rPr>
        <w:t>B  技术要求</w:t>
      </w:r>
      <w:bookmarkEnd w:id="67"/>
      <w:bookmarkEnd w:id="68"/>
      <w:bookmarkEnd w:id="69"/>
      <w:bookmarkEnd w:id="70"/>
      <w:bookmarkEnd w:id="71"/>
      <w:bookmarkEnd w:id="72"/>
      <w:bookmarkEnd w:id="73"/>
      <w:bookmarkEnd w:id="74"/>
      <w:bookmarkEnd w:id="75"/>
      <w:bookmarkEnd w:id="76"/>
      <w:bookmarkEnd w:id="77"/>
      <w:bookmarkEnd w:id="78"/>
      <w:bookmarkEnd w:id="79"/>
      <w:bookmarkEnd w:id="80"/>
    </w:p>
    <w:p>
      <w:pPr>
        <w:rPr>
          <w:color w:val="auto"/>
          <w:highlight w:val="none"/>
        </w:rPr>
      </w:pPr>
    </w:p>
    <w:p>
      <w:pPr>
        <w:rPr>
          <w:rFonts w:ascii="宋体" w:hAnsi="宋体"/>
          <w:color w:val="auto"/>
          <w:sz w:val="21"/>
          <w:szCs w:val="21"/>
          <w:highlight w:val="none"/>
        </w:rPr>
      </w:pPr>
    </w:p>
    <w:p>
      <w:pPr>
        <w:snapToGrid w:val="0"/>
        <w:spacing w:line="380" w:lineRule="exact"/>
        <w:ind w:firstLine="413" w:firstLineChars="196"/>
        <w:rPr>
          <w:rFonts w:ascii="宋体" w:hAnsi="宋体"/>
          <w:b/>
          <w:color w:val="auto"/>
          <w:szCs w:val="21"/>
          <w:highlight w:val="none"/>
        </w:rPr>
      </w:pPr>
      <w:r>
        <w:rPr>
          <w:rFonts w:hint="eastAsia" w:ascii="宋体" w:hAnsi="宋体"/>
          <w:b/>
          <w:color w:val="auto"/>
          <w:szCs w:val="21"/>
          <w:highlight w:val="none"/>
        </w:rPr>
        <w:t>一、</w:t>
      </w:r>
      <w:r>
        <w:rPr>
          <w:rFonts w:hint="eastAsia" w:ascii="宋体" w:hAnsi="宋体"/>
          <w:b/>
          <w:color w:val="auto"/>
          <w:szCs w:val="21"/>
          <w:highlight w:val="none"/>
        </w:rPr>
        <w:tab/>
      </w:r>
      <w:r>
        <w:rPr>
          <w:rFonts w:hint="eastAsia" w:ascii="宋体" w:hAnsi="宋体"/>
          <w:b/>
          <w:color w:val="auto"/>
          <w:szCs w:val="21"/>
          <w:highlight w:val="none"/>
        </w:rPr>
        <w:t>项目概况</w:t>
      </w:r>
    </w:p>
    <w:p>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阳西县人民法院计划以委托外包的方式，针对自身产生的</w:t>
      </w:r>
      <w:r>
        <w:rPr>
          <w:rFonts w:hint="eastAsia" w:ascii="宋体" w:hAnsi="宋体"/>
          <w:color w:val="auto"/>
          <w:szCs w:val="21"/>
          <w:highlight w:val="none"/>
          <w:lang w:val="en-US" w:eastAsia="zh-CN"/>
        </w:rPr>
        <w:t>6</w:t>
      </w:r>
      <w:r>
        <w:rPr>
          <w:rFonts w:ascii="宋体" w:hAnsi="宋体"/>
          <w:color w:val="auto"/>
          <w:szCs w:val="21"/>
          <w:highlight w:val="none"/>
        </w:rPr>
        <w:t>0</w:t>
      </w:r>
      <w:r>
        <w:rPr>
          <w:rFonts w:hint="eastAsia" w:ascii="宋体" w:hAnsi="宋体"/>
          <w:color w:val="auto"/>
          <w:szCs w:val="21"/>
          <w:highlight w:val="none"/>
        </w:rPr>
        <w:t xml:space="preserve">万页诉讼档案资料由成交供应商进行数字化扫描采集加工处理，并将全部加工完成的电子数据导入阳西县人民法院档案管理部门指定的档案管理系统，使该部份加工完成电子数据得到及时管理利用。 </w:t>
      </w:r>
    </w:p>
    <w:p>
      <w:pPr>
        <w:snapToGrid w:val="0"/>
        <w:spacing w:line="380" w:lineRule="exact"/>
        <w:ind w:firstLine="413" w:firstLineChars="196"/>
        <w:rPr>
          <w:rFonts w:ascii="宋体" w:hAnsi="宋体"/>
          <w:b/>
          <w:color w:val="auto"/>
          <w:szCs w:val="21"/>
          <w:highlight w:val="none"/>
        </w:rPr>
      </w:pPr>
      <w:r>
        <w:rPr>
          <w:rFonts w:hint="eastAsia" w:ascii="宋体" w:hAnsi="宋体"/>
          <w:b/>
          <w:color w:val="auto"/>
          <w:szCs w:val="21"/>
          <w:highlight w:val="none"/>
        </w:rPr>
        <w:t>二、</w:t>
      </w:r>
      <w:r>
        <w:rPr>
          <w:rFonts w:hint="eastAsia" w:ascii="宋体" w:hAnsi="宋体"/>
          <w:b/>
          <w:color w:val="auto"/>
          <w:szCs w:val="21"/>
          <w:highlight w:val="none"/>
        </w:rPr>
        <w:tab/>
      </w:r>
      <w:r>
        <w:rPr>
          <w:rFonts w:hint="eastAsia"/>
          <w:b/>
          <w:color w:val="auto"/>
          <w:highlight w:val="none"/>
        </w:rPr>
        <w:t>项目服务作业要求</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供应商需自行设计作业流程，流程要能使全部档案资料得以完整正确立卷归档整，并将全部档案资料完整准确的转化成可在线查询利用的电子文件。总体要遵循以下原则：</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（1）详细规划、细致安排，将每项工作任务、每个工作环节都想到、做好，无遗漏、无差错；</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（2）设立完善的项目管理体系和保障体系，为应对多方面已知、未知的情况做好充分的准备工作；</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（3）加强人员审查和员工管理工作，制订并执行高效的安全管理制度和保密制度，杜绝各类问题事故的发生，确保项目的安全实施；</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（4）对各类型档案数字化的各个环节建立起完整、规范的记录，并使用加工流水表单详细记录加工过程及相关问题；</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（5）增加管理人员的投入，增强现场的监管力度，明确监管措施落实到位；</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（6）集中优势资源，从资金、技术、人员、工艺、和管理等多方面保障项目的顺利实施；</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（7）全力保障品质检查，以多层次、多级别的检查管理，确保提交给客户的产品全部符合质量要求；</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（8）全力保障信息安全和保护档案实体安全。</w:t>
      </w:r>
    </w:p>
    <w:p>
      <w:pPr>
        <w:snapToGrid w:val="0"/>
        <w:spacing w:line="380" w:lineRule="exact"/>
        <w:ind w:firstLine="422" w:firstLineChars="200"/>
        <w:jc w:val="left"/>
        <w:rPr>
          <w:rFonts w:ascii="宋体" w:hAnsi="宋体"/>
          <w:b/>
          <w:color w:val="auto"/>
          <w:szCs w:val="21"/>
          <w:highlight w:val="none"/>
        </w:rPr>
      </w:pPr>
      <w:r>
        <w:rPr>
          <w:rFonts w:hint="eastAsia" w:ascii="宋体" w:hAnsi="宋体"/>
          <w:b/>
          <w:color w:val="auto"/>
          <w:szCs w:val="21"/>
          <w:highlight w:val="none"/>
        </w:rPr>
        <w:t>三、项目资源配置要求</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1.供应商必须在整个项目实施过程配置足够的硬件、软件及人员资源，以确保项目任务按期保质保量完成；</w:t>
      </w:r>
    </w:p>
    <w:p>
      <w:pPr>
        <w:snapToGrid w:val="0"/>
        <w:spacing w:line="380" w:lineRule="exact"/>
        <w:ind w:firstLine="420" w:firstLineChars="200"/>
        <w:jc w:val="left"/>
        <w:rPr>
          <w:rFonts w:ascii="宋体" w:hAnsi="宋体"/>
          <w:color w:val="auto"/>
          <w:szCs w:val="21"/>
          <w:highlight w:val="none"/>
        </w:rPr>
      </w:pPr>
      <w:r>
        <w:rPr>
          <w:rFonts w:hint="eastAsia" w:ascii="宋体" w:hAnsi="宋体"/>
          <w:color w:val="auto"/>
          <w:szCs w:val="21"/>
          <w:highlight w:val="none"/>
        </w:rPr>
        <w:t>2.采购人将为供应商</w:t>
      </w:r>
      <w:r>
        <w:rPr>
          <w:rFonts w:ascii="宋体" w:hAnsi="宋体"/>
          <w:color w:val="auto"/>
          <w:szCs w:val="21"/>
          <w:highlight w:val="none"/>
        </w:rPr>
        <w:t>档案</w:t>
      </w:r>
      <w:r>
        <w:rPr>
          <w:rFonts w:hint="eastAsia" w:ascii="宋体" w:hAnsi="宋体"/>
          <w:color w:val="auto"/>
          <w:szCs w:val="21"/>
          <w:highlight w:val="none"/>
        </w:rPr>
        <w:t>加工作业提供面积</w:t>
      </w:r>
      <w:r>
        <w:rPr>
          <w:rFonts w:ascii="宋体" w:hAnsi="宋体"/>
          <w:color w:val="auto"/>
          <w:szCs w:val="21"/>
          <w:highlight w:val="none"/>
        </w:rPr>
        <w:t>80</w:t>
      </w:r>
      <w:r>
        <w:rPr>
          <w:rFonts w:hint="eastAsia" w:ascii="宋体" w:hAnsi="宋体"/>
          <w:color w:val="auto"/>
          <w:szCs w:val="21"/>
          <w:highlight w:val="none"/>
        </w:rPr>
        <w:t>平方米的作业场地，同时配以必要的桌椅、水电、通风等设施设备。</w:t>
      </w:r>
    </w:p>
    <w:p>
      <w:pPr>
        <w:snapToGrid w:val="0"/>
        <w:spacing w:line="380" w:lineRule="exact"/>
        <w:ind w:firstLine="422" w:firstLineChars="200"/>
        <w:jc w:val="left"/>
        <w:rPr>
          <w:rFonts w:ascii="宋体" w:hAnsi="宋体"/>
          <w:b/>
          <w:color w:val="auto"/>
          <w:szCs w:val="21"/>
          <w:highlight w:val="none"/>
        </w:rPr>
      </w:pPr>
      <w:r>
        <w:rPr>
          <w:rFonts w:hint="eastAsia" w:ascii="宋体" w:hAnsi="宋体"/>
          <w:b/>
          <w:bCs/>
          <w:color w:val="auto"/>
          <w:szCs w:val="21"/>
          <w:highlight w:val="none"/>
        </w:rPr>
        <w:t>四、项目质量要求</w:t>
      </w:r>
      <w:r>
        <w:rPr>
          <w:rFonts w:hint="eastAsia" w:ascii="宋体" w:hAnsi="宋体"/>
          <w:b/>
          <w:color w:val="auto"/>
          <w:szCs w:val="21"/>
          <w:highlight w:val="none"/>
        </w:rPr>
        <w:t>：</w:t>
      </w:r>
    </w:p>
    <w:p>
      <w:pPr>
        <w:snapToGrid w:val="0"/>
        <w:spacing w:line="380" w:lineRule="exact"/>
        <w:ind w:firstLine="420" w:firstLineChars="200"/>
        <w:jc w:val="left"/>
        <w:rPr>
          <w:rFonts w:ascii="宋体" w:hAnsi="宋体" w:cs="Calibri"/>
          <w:color w:val="auto"/>
          <w:szCs w:val="21"/>
          <w:highlight w:val="none"/>
        </w:rPr>
      </w:pPr>
      <w:r>
        <w:rPr>
          <w:rFonts w:hint="eastAsia" w:ascii="宋体" w:hAnsi="宋体" w:cs="Calibri"/>
          <w:color w:val="auto"/>
          <w:szCs w:val="21"/>
          <w:highlight w:val="none"/>
        </w:rPr>
        <w:t>1.档案归档整理准确率</w:t>
      </w:r>
      <w:r>
        <w:rPr>
          <w:rFonts w:ascii="宋体" w:hAnsi="宋体" w:cs="Calibri"/>
          <w:color w:val="auto"/>
          <w:szCs w:val="21"/>
          <w:highlight w:val="none"/>
        </w:rPr>
        <w:t>100%</w:t>
      </w:r>
      <w:r>
        <w:rPr>
          <w:rFonts w:hint="eastAsia" w:ascii="宋体" w:hAnsi="宋体" w:cs="Calibri"/>
          <w:color w:val="auto"/>
          <w:szCs w:val="21"/>
          <w:highlight w:val="none"/>
        </w:rPr>
        <w:t>，全部归档完成的档案</w:t>
      </w:r>
      <w:r>
        <w:rPr>
          <w:rFonts w:hint="eastAsia" w:ascii="宋体"/>
          <w:bCs/>
          <w:color w:val="auto"/>
          <w:szCs w:val="21"/>
          <w:highlight w:val="none"/>
        </w:rPr>
        <w:t>须能符合阳西县人民法院档案统一管理规范。全部档案实体</w:t>
      </w:r>
      <w:r>
        <w:rPr>
          <w:rFonts w:hint="eastAsia" w:ascii="宋体" w:hAnsi="宋体" w:cs="Calibri"/>
          <w:color w:val="auto"/>
          <w:szCs w:val="21"/>
          <w:highlight w:val="none"/>
        </w:rPr>
        <w:t>及其电子数据需能满足</w:t>
      </w:r>
      <w:r>
        <w:rPr>
          <w:rFonts w:hint="eastAsia" w:ascii="宋体"/>
          <w:bCs/>
          <w:color w:val="auto"/>
          <w:szCs w:val="21"/>
          <w:highlight w:val="none"/>
        </w:rPr>
        <w:t>阳西县人民法院</w:t>
      </w:r>
      <w:r>
        <w:rPr>
          <w:rFonts w:hint="eastAsia" w:ascii="宋体" w:hAnsi="宋体"/>
          <w:color w:val="auto"/>
          <w:szCs w:val="21"/>
          <w:highlight w:val="none"/>
        </w:rPr>
        <w:t>档案实际应用管理，且能</w:t>
      </w:r>
      <w:r>
        <w:rPr>
          <w:rFonts w:hint="eastAsia" w:ascii="宋体" w:hAnsi="宋体" w:cs="Calibri"/>
          <w:color w:val="auto"/>
          <w:szCs w:val="21"/>
          <w:highlight w:val="none"/>
        </w:rPr>
        <w:t>达到国家及相应省市区档案管理要求。</w:t>
      </w:r>
    </w:p>
    <w:p>
      <w:pPr>
        <w:snapToGrid w:val="0"/>
        <w:spacing w:line="380" w:lineRule="exact"/>
        <w:ind w:firstLine="420" w:firstLineChars="200"/>
        <w:jc w:val="left"/>
        <w:rPr>
          <w:rFonts w:ascii="宋体"/>
          <w:bCs/>
          <w:color w:val="auto"/>
          <w:szCs w:val="21"/>
          <w:highlight w:val="none"/>
        </w:rPr>
      </w:pPr>
      <w:r>
        <w:rPr>
          <w:rFonts w:hint="eastAsia" w:ascii="宋体"/>
          <w:bCs/>
          <w:color w:val="auto"/>
          <w:szCs w:val="21"/>
          <w:highlight w:val="none"/>
        </w:rPr>
        <w:t>2.本项目所涉全部档案材料的实体归档整理。</w:t>
      </w:r>
    </w:p>
    <w:p>
      <w:pPr>
        <w:snapToGrid w:val="0"/>
        <w:spacing w:line="380" w:lineRule="exact"/>
        <w:ind w:firstLine="420" w:firstLineChars="200"/>
        <w:jc w:val="left"/>
        <w:rPr>
          <w:bCs/>
          <w:color w:val="auto"/>
          <w:szCs w:val="21"/>
          <w:highlight w:val="none"/>
        </w:rPr>
      </w:pPr>
      <w:r>
        <w:rPr>
          <w:rFonts w:hint="eastAsia"/>
          <w:bCs/>
          <w:color w:val="auto"/>
          <w:szCs w:val="21"/>
          <w:highlight w:val="none"/>
        </w:rPr>
        <w:t>3.本项目所涉全部档案材料应按其业务属性及保存价值，进行准确清晰的分类。</w:t>
      </w:r>
    </w:p>
    <w:p>
      <w:pPr>
        <w:snapToGrid w:val="0"/>
        <w:spacing w:line="380" w:lineRule="exact"/>
        <w:ind w:firstLine="420" w:firstLineChars="200"/>
        <w:jc w:val="left"/>
        <w:rPr>
          <w:rFonts w:ascii="宋体"/>
          <w:bCs/>
          <w:color w:val="auto"/>
          <w:szCs w:val="21"/>
          <w:highlight w:val="none"/>
        </w:rPr>
      </w:pPr>
      <w:r>
        <w:rPr>
          <w:rFonts w:hint="eastAsia" w:ascii="宋体"/>
          <w:bCs/>
          <w:color w:val="auto"/>
          <w:szCs w:val="21"/>
          <w:highlight w:val="none"/>
        </w:rPr>
        <w:t>4.本项目所涉全部档案实体盒、卷、件、页上的档案标识编制须准确规范。</w:t>
      </w:r>
    </w:p>
    <w:p>
      <w:pPr>
        <w:snapToGrid w:val="0"/>
        <w:spacing w:line="380" w:lineRule="exact"/>
        <w:ind w:firstLine="420" w:firstLineChars="200"/>
        <w:jc w:val="left"/>
        <w:rPr>
          <w:rFonts w:ascii="宋体" w:hAnsi="宋体" w:cs="宋体"/>
          <w:bCs/>
          <w:color w:val="auto"/>
          <w:szCs w:val="21"/>
          <w:highlight w:val="none"/>
        </w:rPr>
      </w:pPr>
      <w:r>
        <w:rPr>
          <w:rFonts w:hint="eastAsia" w:ascii="宋体"/>
          <w:bCs/>
          <w:color w:val="auto"/>
          <w:szCs w:val="21"/>
          <w:highlight w:val="none"/>
        </w:rPr>
        <w:t>5.全部扫描采集完成的影像须100%准确。在原件上没有明显质量问题时，所产生的影像文件不应产生黑边、模糊、偏斜等质量问题，对于影响图像质量的非原始性的黑线、黑点（如装订孔等）要进行修</w:t>
      </w:r>
      <w:r>
        <w:rPr>
          <w:rFonts w:hint="eastAsia" w:ascii="宋体" w:hAnsi="宋体" w:cs="宋体"/>
          <w:bCs/>
          <w:color w:val="auto"/>
          <w:szCs w:val="21"/>
          <w:highlight w:val="none"/>
        </w:rPr>
        <w:t>补。</w:t>
      </w:r>
    </w:p>
    <w:p>
      <w:pPr>
        <w:snapToGrid w:val="0"/>
        <w:spacing w:line="38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6.全部加工完成电子数据必须能确保完整准确导入阳西县人民法院档案部门指定的档案管理系统软件，使其得到正常高效管理查询利用。</w:t>
      </w:r>
    </w:p>
    <w:p>
      <w:pPr>
        <w:snapToGrid w:val="0"/>
        <w:spacing w:line="380" w:lineRule="exact"/>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7.采购人仅提供相应场地、水电供应，其它档案整理及数字化过程中需使用的相关设备均由供应商提供。</w:t>
      </w:r>
    </w:p>
    <w:p>
      <w:pPr>
        <w:snapToGrid w:val="0"/>
        <w:spacing w:line="380" w:lineRule="exact"/>
        <w:ind w:firstLine="420" w:firstLineChars="200"/>
        <w:jc w:val="left"/>
        <w:rPr>
          <w:rFonts w:ascii="宋体"/>
          <w:bCs/>
          <w:color w:val="auto"/>
          <w:szCs w:val="21"/>
          <w:highlight w:val="none"/>
        </w:rPr>
      </w:pPr>
      <w:r>
        <w:rPr>
          <w:rFonts w:hint="eastAsia" w:ascii="宋体" w:hAnsi="宋体" w:cs="宋体"/>
          <w:bCs/>
          <w:color w:val="auto"/>
          <w:szCs w:val="21"/>
          <w:highlight w:val="none"/>
        </w:rPr>
        <w:t>8.供应商应定时告知采购人本项目的实施进度，接受采购人不定期抽查已处理完成的档案，发现不符合要求的应立即整改</w:t>
      </w:r>
      <w:r>
        <w:rPr>
          <w:rFonts w:hint="eastAsia" w:ascii="宋体"/>
          <w:bCs/>
          <w:color w:val="auto"/>
          <w:szCs w:val="21"/>
          <w:highlight w:val="none"/>
        </w:rPr>
        <w:t>。对有问题的要及时进行修改或补正，在此过程中要避免新的问题产生。</w:t>
      </w:r>
    </w:p>
    <w:p>
      <w:pPr>
        <w:snapToGrid w:val="0"/>
        <w:spacing w:line="380" w:lineRule="exact"/>
        <w:ind w:firstLine="422" w:firstLineChars="200"/>
        <w:jc w:val="left"/>
        <w:rPr>
          <w:b/>
          <w:color w:val="auto"/>
          <w:highlight w:val="none"/>
        </w:rPr>
      </w:pPr>
      <w:r>
        <w:rPr>
          <w:rFonts w:hint="eastAsia" w:ascii="宋体"/>
          <w:b/>
          <w:color w:val="auto"/>
          <w:szCs w:val="21"/>
          <w:highlight w:val="none"/>
        </w:rPr>
        <w:t>五、</w:t>
      </w:r>
      <w:r>
        <w:rPr>
          <w:rFonts w:hint="eastAsia"/>
          <w:b/>
          <w:color w:val="auto"/>
          <w:highlight w:val="none"/>
        </w:rPr>
        <w:t>项目安全保密要求</w:t>
      </w:r>
    </w:p>
    <w:p>
      <w:pPr>
        <w:snapToGrid w:val="0"/>
        <w:spacing w:line="380" w:lineRule="exact"/>
        <w:ind w:firstLine="420" w:firstLineChars="200"/>
        <w:jc w:val="left"/>
        <w:rPr>
          <w:rFonts w:hint="eastAsia" w:ascii="宋体" w:hAnsi="Times New Roman" w:eastAsia="宋体" w:cs="Times New Roman"/>
          <w:bCs/>
          <w:color w:val="auto"/>
          <w:szCs w:val="21"/>
          <w:highlight w:val="none"/>
        </w:rPr>
      </w:pPr>
      <w:r>
        <w:rPr>
          <w:rFonts w:hint="eastAsia" w:ascii="宋体" w:hAnsi="Times New Roman" w:eastAsia="宋体" w:cs="Times New Roman"/>
          <w:bCs/>
          <w:color w:val="auto"/>
          <w:szCs w:val="21"/>
          <w:highlight w:val="none"/>
        </w:rPr>
        <w:t>1.供应商须制定合理的项目安全保密方案，在整个项目实过程中确保全部项目所涉档案实体及信息的安全完整，不发生泄密事故。</w:t>
      </w:r>
    </w:p>
    <w:p>
      <w:pPr>
        <w:snapToGrid w:val="0"/>
        <w:spacing w:line="380" w:lineRule="exact"/>
        <w:ind w:firstLine="420" w:firstLineChars="200"/>
        <w:jc w:val="left"/>
        <w:rPr>
          <w:rFonts w:hint="eastAsia" w:ascii="宋体" w:hAnsi="Times New Roman" w:eastAsia="宋体" w:cs="Times New Roman"/>
          <w:bCs/>
          <w:color w:val="auto"/>
          <w:szCs w:val="21"/>
          <w:highlight w:val="none"/>
        </w:rPr>
      </w:pPr>
      <w:r>
        <w:rPr>
          <w:rFonts w:hint="eastAsia" w:ascii="宋体" w:hAnsi="Times New Roman" w:eastAsia="宋体" w:cs="Times New Roman"/>
          <w:bCs/>
          <w:color w:val="auto"/>
          <w:szCs w:val="21"/>
          <w:highlight w:val="none"/>
        </w:rPr>
        <w:t>2.供应商需确保文件资料的完整性和安全性，不得遗失、损坏档案。</w:t>
      </w:r>
    </w:p>
    <w:p>
      <w:pPr>
        <w:snapToGrid w:val="0"/>
        <w:spacing w:line="380" w:lineRule="exact"/>
        <w:ind w:firstLine="420" w:firstLineChars="200"/>
        <w:jc w:val="left"/>
        <w:rPr>
          <w:rFonts w:hint="eastAsia" w:ascii="宋体" w:hAnsi="Times New Roman" w:eastAsia="宋体" w:cs="Times New Roman"/>
          <w:bCs/>
          <w:color w:val="auto"/>
          <w:szCs w:val="21"/>
          <w:highlight w:val="none"/>
        </w:rPr>
      </w:pPr>
      <w:r>
        <w:rPr>
          <w:rFonts w:hint="eastAsia" w:ascii="宋体" w:hAnsi="Times New Roman" w:eastAsia="宋体" w:cs="Times New Roman"/>
          <w:bCs/>
          <w:color w:val="auto"/>
          <w:szCs w:val="21"/>
          <w:highlight w:val="none"/>
        </w:rPr>
        <w:t>3.要求供应商在响应文件中提出保密措施。严格遵守《中华人民共和国保密法》、《保密守则》以及《中华人民共和国档案法》等有关规定，遵守单位有关保密规定（另行签订），整理工作必须在单位指定的场所内进行，确保场所正常秩序和安全。如有违法行为或违反相关规定，将依法或依据约定追究相应的责任。</w:t>
      </w:r>
    </w:p>
    <w:p>
      <w:pPr>
        <w:pStyle w:val="4"/>
        <w:widowControl/>
        <w:numPr>
          <w:ilvl w:val="1"/>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bookmarkStart w:id="81" w:name="_Toc32552"/>
    </w:p>
    <w:p>
      <w:pPr>
        <w:pStyle w:val="4"/>
        <w:widowControl/>
        <w:numPr>
          <w:ilvl w:val="1"/>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p>
    <w:p>
      <w:pPr>
        <w:pStyle w:val="4"/>
        <w:widowControl/>
        <w:numPr>
          <w:ilvl w:val="1"/>
          <w:numId w:val="0"/>
        </w:numPr>
        <w:autoSpaceDE w:val="0"/>
        <w:autoSpaceDN w:val="0"/>
        <w:adjustRightInd w:val="0"/>
        <w:snapToGrid w:val="0"/>
        <w:spacing w:beforeLines="150" w:after="0" w:line="360" w:lineRule="auto"/>
        <w:jc w:val="center"/>
        <w:textAlignment w:val="baseline"/>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4"/>
        <w:widowControl/>
        <w:numPr>
          <w:ilvl w:val="1"/>
          <w:numId w:val="0"/>
        </w:numPr>
        <w:autoSpaceDE w:val="0"/>
        <w:autoSpaceDN w:val="0"/>
        <w:adjustRightInd w:val="0"/>
        <w:snapToGrid w:val="0"/>
        <w:spacing w:beforeLines="150" w:after="0" w:line="360" w:lineRule="auto"/>
        <w:jc w:val="both"/>
        <w:textAlignment w:val="baseline"/>
        <w:rPr>
          <w:rFonts w:hint="eastAsia" w:ascii="宋体" w:hAnsi="宋体" w:eastAsia="宋体"/>
          <w:color w:val="auto"/>
          <w:kern w:val="0"/>
          <w:sz w:val="21"/>
          <w:szCs w:val="21"/>
          <w:highlight w:val="none"/>
        </w:rPr>
      </w:pPr>
    </w:p>
    <w:p>
      <w:pPr>
        <w:pStyle w:val="5"/>
        <w:ind w:left="0" w:leftChars="0" w:firstLine="0" w:firstLineChars="0"/>
        <w:rPr>
          <w:rFonts w:hint="eastAsia"/>
          <w:color w:val="auto"/>
          <w:highlight w:val="none"/>
        </w:rPr>
      </w:pPr>
    </w:p>
    <w:p>
      <w:pPr>
        <w:pStyle w:val="4"/>
        <w:widowControl/>
        <w:numPr>
          <w:ilvl w:val="1"/>
          <w:numId w:val="0"/>
        </w:numPr>
        <w:autoSpaceDE w:val="0"/>
        <w:autoSpaceDN w:val="0"/>
        <w:adjustRightInd w:val="0"/>
        <w:snapToGrid w:val="0"/>
        <w:spacing w:beforeLines="150" w:after="0" w:line="360" w:lineRule="auto"/>
        <w:jc w:val="both"/>
        <w:textAlignment w:val="baseline"/>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5"/>
        <w:rPr>
          <w:rFonts w:hint="eastAsia" w:ascii="宋体" w:hAnsi="宋体" w:eastAsia="宋体"/>
          <w:color w:val="auto"/>
          <w:kern w:val="0"/>
          <w:sz w:val="21"/>
          <w:szCs w:val="21"/>
          <w:highlight w:val="none"/>
        </w:rPr>
      </w:pPr>
    </w:p>
    <w:p>
      <w:pPr>
        <w:pStyle w:val="4"/>
        <w:widowControl/>
        <w:numPr>
          <w:ilvl w:val="1"/>
          <w:numId w:val="0"/>
        </w:numPr>
        <w:autoSpaceDE w:val="0"/>
        <w:autoSpaceDN w:val="0"/>
        <w:adjustRightInd w:val="0"/>
        <w:snapToGrid w:val="0"/>
        <w:spacing w:beforeLines="150" w:after="0" w:line="360" w:lineRule="auto"/>
        <w:jc w:val="both"/>
        <w:textAlignment w:val="baseline"/>
        <w:rPr>
          <w:rFonts w:hint="eastAsia" w:ascii="宋体" w:hAnsi="宋体" w:eastAsia="宋体"/>
          <w:color w:val="auto"/>
          <w:kern w:val="0"/>
          <w:sz w:val="21"/>
          <w:szCs w:val="21"/>
          <w:highlight w:val="none"/>
        </w:rPr>
      </w:pPr>
    </w:p>
    <w:p>
      <w:pPr>
        <w:pStyle w:val="5"/>
        <w:rPr>
          <w:rFonts w:hint="eastAsia"/>
          <w:color w:val="auto"/>
          <w:highlight w:val="none"/>
        </w:rPr>
      </w:pPr>
    </w:p>
    <w:p>
      <w:pPr>
        <w:pStyle w:val="4"/>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auto"/>
          <w:kern w:val="0"/>
          <w:sz w:val="21"/>
          <w:szCs w:val="21"/>
          <w:highlight w:val="none"/>
        </w:rPr>
      </w:pPr>
      <w:bookmarkStart w:id="82" w:name="_Toc2052"/>
      <w:r>
        <w:rPr>
          <w:rFonts w:hint="eastAsia" w:ascii="宋体" w:hAnsi="宋体" w:eastAsia="宋体"/>
          <w:color w:val="auto"/>
          <w:kern w:val="0"/>
          <w:sz w:val="21"/>
          <w:szCs w:val="21"/>
          <w:highlight w:val="none"/>
        </w:rPr>
        <w:t>第三部分 报价须知</w:t>
      </w:r>
      <w:bookmarkEnd w:id="81"/>
      <w:bookmarkEnd w:id="82"/>
    </w:p>
    <w:p>
      <w:pPr>
        <w:pStyle w:val="4"/>
        <w:numPr>
          <w:ilvl w:val="1"/>
          <w:numId w:val="0"/>
        </w:numPr>
        <w:spacing w:line="360" w:lineRule="auto"/>
        <w:jc w:val="center"/>
        <w:rPr>
          <w:rFonts w:ascii="宋体" w:hAnsi="宋体" w:eastAsia="宋体"/>
          <w:color w:val="auto"/>
          <w:sz w:val="21"/>
          <w:szCs w:val="21"/>
          <w:highlight w:val="none"/>
        </w:rPr>
      </w:pPr>
      <w:bookmarkStart w:id="83" w:name="_Toc20107"/>
      <w:bookmarkStart w:id="84" w:name="_Toc434832495"/>
      <w:bookmarkStart w:id="85" w:name="_Toc6165"/>
      <w:r>
        <w:rPr>
          <w:rFonts w:hint="eastAsia" w:ascii="宋体" w:hAnsi="宋体" w:eastAsia="宋体"/>
          <w:color w:val="auto"/>
          <w:sz w:val="21"/>
          <w:szCs w:val="21"/>
          <w:highlight w:val="none"/>
        </w:rPr>
        <w:t>投标人须知前附表</w:t>
      </w:r>
      <w:bookmarkEnd w:id="83"/>
      <w:bookmarkEnd w:id="84"/>
      <w:bookmarkEnd w:id="85"/>
    </w:p>
    <w:tbl>
      <w:tblPr>
        <w:tblStyle w:val="43"/>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005"/>
        <w:gridCol w:w="3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jc w:val="center"/>
              <w:textAlignment w:val="auto"/>
              <w:rPr>
                <w:rFonts w:ascii="宋体" w:hAnsi="宋体"/>
                <w:color w:val="auto"/>
                <w:szCs w:val="21"/>
                <w:highlight w:val="none"/>
                <w:lang w:val="en-GB"/>
              </w:rPr>
            </w:pPr>
            <w:r>
              <w:rPr>
                <w:rFonts w:hint="eastAsia"/>
                <w:color w:val="auto"/>
                <w:highlight w:val="none"/>
              </w:rPr>
              <w:t>谈判小组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ascii="宋体" w:hAnsi="宋体"/>
                <w:color w:val="auto"/>
                <w:szCs w:val="21"/>
                <w:highlight w:val="none"/>
              </w:rPr>
            </w:pPr>
            <w:r>
              <w:rPr>
                <w:rFonts w:hint="eastAsia" w:ascii="宋体"/>
                <w:bCs/>
                <w:color w:val="auto"/>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highlight w:val="none"/>
              </w:rPr>
              <w:t>专家数量共</w:t>
            </w:r>
            <w:r>
              <w:rPr>
                <w:rFonts w:ascii="宋体"/>
                <w:b/>
                <w:bCs/>
                <w:color w:val="auto"/>
                <w:highlight w:val="none"/>
                <w:u w:val="single"/>
              </w:rPr>
              <w:t>3</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jc w:val="center"/>
              <w:textAlignment w:val="auto"/>
              <w:rPr>
                <w:rFonts w:ascii="宋体" w:hAnsi="宋体"/>
                <w:color w:val="auto"/>
                <w:szCs w:val="21"/>
                <w:highlight w:val="none"/>
              </w:rPr>
            </w:pPr>
            <w:r>
              <w:rPr>
                <w:rFonts w:hint="eastAsia" w:ascii="宋体" w:hAnsi="宋体"/>
                <w:color w:val="auto"/>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jc w:val="left"/>
              <w:textAlignment w:val="auto"/>
              <w:rPr>
                <w:color w:val="auto"/>
                <w:szCs w:val="21"/>
                <w:highlight w:val="none"/>
              </w:rPr>
            </w:pPr>
            <w:r>
              <w:rPr>
                <w:rFonts w:hint="eastAsia" w:ascii="宋体"/>
                <w:bCs/>
                <w:color w:val="auto"/>
                <w:highlight w:val="none"/>
              </w:rPr>
              <w:t>投标人在每一份谈判文件上明确标明 “正本”或“副本”。将正本及副本分别</w:t>
            </w:r>
            <w:r>
              <w:rPr>
                <w:rFonts w:hint="eastAsia" w:ascii="宋体" w:hAnsi="宋体"/>
                <w:bCs/>
                <w:color w:val="auto"/>
                <w:highlight w:val="none"/>
              </w:rPr>
              <w:t>密封在不透明的外层封装中，</w:t>
            </w:r>
            <w:r>
              <w:rPr>
                <w:rFonts w:hint="eastAsia"/>
                <w:color w:val="auto"/>
                <w:szCs w:val="21"/>
                <w:highlight w:val="none"/>
              </w:rPr>
              <w:t>封面需按谈判文件封面格式要求标注并加盖公章。电子文件单独密封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w:t>
            </w:r>
            <w:r>
              <w:rPr>
                <w:color w:val="auto"/>
                <w:szCs w:val="21"/>
                <w:highlight w:val="none"/>
              </w:rPr>
              <w:t>所有</w:t>
            </w:r>
            <w:r>
              <w:rPr>
                <w:rFonts w:hint="eastAsia"/>
                <w:color w:val="auto"/>
                <w:szCs w:val="21"/>
                <w:highlight w:val="none"/>
              </w:rPr>
              <w:t>谈判</w:t>
            </w:r>
            <w:r>
              <w:rPr>
                <w:color w:val="auto"/>
                <w:szCs w:val="21"/>
                <w:highlight w:val="none"/>
              </w:rPr>
              <w:t>文件密封袋的封口处应加盖投标人</w:t>
            </w:r>
            <w:r>
              <w:rPr>
                <w:rFonts w:hint="eastAsia"/>
                <w:color w:val="auto"/>
                <w:szCs w:val="21"/>
                <w:highlight w:val="none"/>
              </w:rPr>
              <w:t>公章或密封章。</w:t>
            </w:r>
          </w:p>
          <w:p>
            <w:pPr>
              <w:keepNext w:val="0"/>
              <w:keepLines w:val="0"/>
              <w:pageBreakBefore w:val="0"/>
              <w:kinsoku/>
              <w:wordWrap/>
              <w:overflowPunct/>
              <w:topLinePunct w:val="0"/>
              <w:autoSpaceDE/>
              <w:autoSpaceDN/>
              <w:bidi w:val="0"/>
              <w:adjustRightInd/>
              <w:snapToGrid/>
              <w:spacing w:line="440" w:lineRule="atLeast"/>
              <w:jc w:val="left"/>
              <w:textAlignment w:val="auto"/>
              <w:rPr>
                <w:rFonts w:ascii="宋体" w:hAnsi="宋体"/>
                <w:b/>
                <w:color w:val="auto"/>
                <w:szCs w:val="21"/>
                <w:highlight w:val="none"/>
                <w:shd w:val="pct10" w:color="auto" w:fill="FFFFFF"/>
              </w:rPr>
            </w:pPr>
            <w:r>
              <w:rPr>
                <w:rFonts w:hint="eastAsia"/>
                <w:b/>
                <w:color w:val="auto"/>
                <w:szCs w:val="21"/>
                <w:highlight w:val="none"/>
              </w:rPr>
              <w:t>正本</w:t>
            </w:r>
            <w:r>
              <w:rPr>
                <w:rFonts w:hint="eastAsia" w:ascii="宋体"/>
                <w:b/>
                <w:bCs/>
                <w:color w:val="auto"/>
                <w:highlight w:val="none"/>
                <w:u w:val="single"/>
              </w:rPr>
              <w:t>1</w:t>
            </w:r>
            <w:r>
              <w:rPr>
                <w:rFonts w:hint="eastAsia" w:ascii="宋体"/>
                <w:b/>
                <w:bCs/>
                <w:color w:val="auto"/>
                <w:highlight w:val="none"/>
              </w:rPr>
              <w:t>份,</w:t>
            </w:r>
            <w:r>
              <w:rPr>
                <w:rFonts w:hint="eastAsia" w:ascii="宋体" w:hAnsi="宋体"/>
                <w:b/>
                <w:bCs/>
                <w:color w:val="auto"/>
                <w:highlight w:val="none"/>
              </w:rPr>
              <w:t xml:space="preserve"> 副本</w:t>
            </w:r>
            <w:r>
              <w:rPr>
                <w:rFonts w:ascii="宋体" w:hAnsi="宋体"/>
                <w:b/>
                <w:bCs/>
                <w:color w:val="auto"/>
                <w:highlight w:val="none"/>
                <w:u w:val="single"/>
              </w:rPr>
              <w:t>2</w:t>
            </w:r>
            <w:r>
              <w:rPr>
                <w:rFonts w:hint="eastAsia" w:ascii="宋体" w:hAnsi="宋体"/>
                <w:b/>
                <w:bCs/>
                <w:color w:val="auto"/>
                <w:highlight w:val="none"/>
              </w:rPr>
              <w:t>份,</w:t>
            </w:r>
            <w:r>
              <w:rPr>
                <w:rFonts w:hint="eastAsia"/>
                <w:b/>
                <w:color w:val="auto"/>
                <w:szCs w:val="21"/>
                <w:highlight w:val="none"/>
              </w:rPr>
              <w:t>电子文件</w:t>
            </w:r>
            <w:r>
              <w:rPr>
                <w:rFonts w:hint="eastAsia" w:ascii="宋体"/>
                <w:b/>
                <w:bCs/>
                <w:color w:val="auto"/>
                <w:highlight w:val="none"/>
                <w:u w:val="single"/>
              </w:rPr>
              <w:t>1</w:t>
            </w:r>
            <w:r>
              <w:rPr>
                <w:rFonts w:hint="eastAsia" w:ascii="宋体"/>
                <w:b/>
                <w:bCs/>
                <w:color w:val="auto"/>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left"/>
              <w:textAlignment w:val="auto"/>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color w:val="auto"/>
                <w:highlight w:val="none"/>
              </w:rPr>
            </w:pPr>
            <w:r>
              <w:rPr>
                <w:rFonts w:hint="eastAsia"/>
                <w:color w:val="auto"/>
                <w:highlight w:val="none"/>
              </w:rPr>
              <w:t>为了方便唱标，投标人在递交谈判文件的同时，向代理采购机构提交包含“第一次报价一览表”、“投标保证金”、“分项报价表”、“保证金退付书”</w:t>
            </w:r>
            <w:r>
              <w:rPr>
                <w:rFonts w:hint="eastAsia" w:ascii="宋体" w:hAnsi="宋体"/>
                <w:color w:val="auto"/>
                <w:szCs w:val="21"/>
                <w:highlight w:val="none"/>
              </w:rPr>
              <w:t>、“法定代表人（负责人）证明书”</w:t>
            </w:r>
            <w:r>
              <w:rPr>
                <w:rFonts w:hint="eastAsia"/>
                <w:color w:val="auto"/>
                <w:highlight w:val="none"/>
              </w:rPr>
              <w:t>和</w:t>
            </w:r>
            <w:r>
              <w:rPr>
                <w:rFonts w:hint="eastAsia" w:ascii="宋体" w:hAnsi="宋体"/>
                <w:color w:val="auto"/>
                <w:szCs w:val="21"/>
                <w:highlight w:val="none"/>
              </w:rPr>
              <w:t>“法定代表人（负责人）</w:t>
            </w:r>
            <w:r>
              <w:rPr>
                <w:rFonts w:ascii="宋体" w:hAnsi="宋体"/>
                <w:color w:val="auto"/>
                <w:szCs w:val="21"/>
                <w:highlight w:val="none"/>
              </w:rPr>
              <w:t>授权书</w:t>
            </w:r>
            <w:r>
              <w:rPr>
                <w:rFonts w:hint="eastAsia" w:ascii="宋体" w:hAnsi="宋体"/>
                <w:color w:val="auto"/>
                <w:szCs w:val="21"/>
                <w:highlight w:val="none"/>
              </w:rPr>
              <w:t>”</w:t>
            </w:r>
            <w:r>
              <w:rPr>
                <w:rFonts w:hint="eastAsia"/>
                <w:color w:val="auto"/>
                <w:highlight w:val="none"/>
              </w:rPr>
              <w:t>的密封袋，</w:t>
            </w:r>
            <w:r>
              <w:rPr>
                <w:rFonts w:hint="eastAsia"/>
                <w:color w:val="auto"/>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left"/>
              <w:textAlignment w:val="auto"/>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color w:val="auto"/>
                <w:highlight w:val="none"/>
              </w:rPr>
            </w:pPr>
            <w:r>
              <w:rPr>
                <w:rFonts w:hint="eastAsia" w:ascii="宋体"/>
                <w:bCs/>
                <w:color w:val="auto"/>
                <w:highlight w:val="none"/>
              </w:rPr>
              <w:t>每一密封信封上均注明“于</w:t>
            </w:r>
            <w:r>
              <w:rPr>
                <w:rFonts w:hint="eastAsia" w:ascii="宋体"/>
                <w:bCs/>
                <w:color w:val="auto"/>
                <w:highlight w:val="none"/>
                <w:u w:val="single"/>
              </w:rPr>
              <w:t xml:space="preserve">     （谈判截止时间）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left"/>
              <w:textAlignment w:val="auto"/>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ascii="宋体"/>
                <w:bCs/>
                <w:color w:val="auto"/>
                <w:highlight w:val="none"/>
              </w:rPr>
            </w:pPr>
            <w:r>
              <w:rPr>
                <w:rFonts w:hint="eastAsia" w:ascii="宋体"/>
                <w:bCs/>
                <w:color w:val="auto"/>
                <w:highlight w:val="none"/>
              </w:rPr>
              <w:t>投标人未按上述规定对谈判文件进行密封和加写标记，</w:t>
            </w:r>
            <w:r>
              <w:rPr>
                <w:rFonts w:hint="eastAsia" w:ascii="宋体" w:hAnsi="宋体"/>
                <w:color w:val="auto"/>
                <w:highlight w:val="none"/>
              </w:rPr>
              <w:t>代理采购机构有权予以拒收，并退回给投标人。电报、电话、传真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3</w:t>
            </w:r>
          </w:p>
        </w:tc>
        <w:tc>
          <w:tcPr>
            <w:tcW w:w="21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tabs>
                <w:tab w:val="left" w:pos="26"/>
              </w:tabs>
              <w:kinsoku/>
              <w:wordWrap/>
              <w:overflowPunct/>
              <w:topLinePunct w:val="0"/>
              <w:autoSpaceDE/>
              <w:autoSpaceDN/>
              <w:bidi w:val="0"/>
              <w:adjustRightInd/>
              <w:snapToGrid/>
              <w:spacing w:line="440" w:lineRule="atLeast"/>
              <w:ind w:left="26" w:firstLine="0"/>
              <w:textAlignment w:val="auto"/>
              <w:rPr>
                <w:rFonts w:hint="eastAsia" w:ascii="宋体" w:hAnsi="宋体" w:eastAsia="宋体" w:cs="宋体"/>
                <w:bCs/>
                <w:color w:val="auto"/>
                <w:highlight w:val="none"/>
              </w:rPr>
            </w:pPr>
            <w:r>
              <w:rPr>
                <w:rFonts w:hint="eastAsia" w:ascii="宋体" w:hAnsi="宋体" w:eastAsia="宋体" w:cs="宋体"/>
                <w:b/>
                <w:color w:val="auto"/>
                <w:szCs w:val="21"/>
                <w:highlight w:val="none"/>
              </w:rPr>
              <w:t>谈判文件中打“★”号条款必须实质性响应，负偏离（不满足要求）将导致谈判无效。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r>
              <w:rPr>
                <w:rFonts w:hint="eastAsia" w:ascii="宋体" w:hAnsi="宋体"/>
                <w:b/>
                <w:color w:val="auto"/>
                <w:szCs w:val="21"/>
                <w:highlight w:val="none"/>
              </w:rPr>
              <w:t>4</w:t>
            </w:r>
          </w:p>
        </w:tc>
        <w:tc>
          <w:tcPr>
            <w:tcW w:w="2127"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信息公告媒体</w:t>
            </w:r>
          </w:p>
        </w:tc>
        <w:tc>
          <w:tcPr>
            <w:tcW w:w="300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广东业信招标有限公司</w:t>
            </w:r>
            <w:r>
              <w:rPr>
                <w:rFonts w:hint="eastAsia" w:ascii="宋体" w:hAnsi="宋体" w:eastAsia="宋体" w:cs="宋体"/>
                <w:color w:val="auto"/>
                <w:szCs w:val="21"/>
                <w:highlight w:val="none"/>
              </w:rPr>
              <w:t>网</w:t>
            </w:r>
          </w:p>
        </w:tc>
        <w:tc>
          <w:tcPr>
            <w:tcW w:w="35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"http://www.gdgpo.gov.cn"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http://www.gdgpo.</w:t>
            </w:r>
            <w:r>
              <w:rPr>
                <w:rFonts w:hint="eastAsia" w:ascii="宋体" w:hAnsi="宋体" w:eastAsia="宋体" w:cs="宋体"/>
                <w:color w:val="auto"/>
                <w:szCs w:val="21"/>
                <w:highlight w:val="none"/>
                <w:lang w:val="en-US" w:eastAsia="zh-CN"/>
              </w:rPr>
              <w:t>com.</w:t>
            </w:r>
            <w:r>
              <w:rPr>
                <w:rFonts w:hint="eastAsia" w:ascii="宋体" w:hAnsi="宋体" w:eastAsia="宋体" w:cs="宋体"/>
                <w:color w:val="auto"/>
                <w:szCs w:val="21"/>
                <w:highlight w:val="none"/>
              </w:rPr>
              <w:t>cn</w:t>
            </w:r>
            <w:r>
              <w:rPr>
                <w:rFonts w:hint="eastAsia" w:ascii="宋体" w:hAnsi="宋体" w:eastAsia="宋体" w:cs="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center"/>
              <w:textAlignment w:val="auto"/>
              <w:rPr>
                <w:rFonts w:ascii="宋体" w:hAnsi="宋体"/>
                <w:b/>
                <w:color w:val="auto"/>
                <w:szCs w:val="21"/>
                <w:highlight w:val="none"/>
              </w:rPr>
            </w:pPr>
          </w:p>
        </w:tc>
        <w:tc>
          <w:tcPr>
            <w:tcW w:w="2127"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atLeast"/>
              <w:jc w:val="left"/>
              <w:textAlignment w:val="auto"/>
              <w:rPr>
                <w:rFonts w:hint="eastAsia" w:ascii="宋体" w:hAnsi="宋体" w:eastAsia="宋体" w:cs="宋体"/>
                <w:color w:val="auto"/>
                <w:szCs w:val="21"/>
                <w:highlight w:val="none"/>
              </w:rPr>
            </w:pPr>
          </w:p>
        </w:tc>
        <w:tc>
          <w:tcPr>
            <w:tcW w:w="300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hint="eastAsia" w:ascii="宋体" w:hAnsi="宋体" w:eastAsia="宋体" w:cs="宋体"/>
                <w:bCs/>
                <w:color w:val="auto"/>
                <w:highlight w:val="none"/>
              </w:rPr>
            </w:pPr>
          </w:p>
        </w:tc>
        <w:tc>
          <w:tcPr>
            <w:tcW w:w="3573"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atLeast"/>
              <w:textAlignment w:val="auto"/>
              <w:rPr>
                <w:rFonts w:hint="eastAsia" w:ascii="宋体" w:hAnsi="宋体" w:eastAsia="宋体" w:cs="宋体"/>
                <w:bCs/>
                <w:color w:val="auto"/>
                <w:highlight w:val="none"/>
              </w:rPr>
            </w:pPr>
            <w:r>
              <w:rPr>
                <w:rFonts w:hint="eastAsia" w:ascii="宋体" w:hAnsi="宋体" w:eastAsia="宋体" w:cs="宋体"/>
                <w:color w:val="auto"/>
                <w:szCs w:val="21"/>
                <w:highlight w:val="none"/>
              </w:rPr>
              <w:t>http://www.yjcg.cc</w:t>
            </w:r>
          </w:p>
        </w:tc>
      </w:tr>
    </w:tbl>
    <w:p>
      <w:pPr>
        <w:rPr>
          <w:color w:val="auto"/>
          <w:highlight w:val="none"/>
        </w:rPr>
      </w:pPr>
    </w:p>
    <w:bookmarkEnd w:id="3"/>
    <w:bookmarkEnd w:id="4"/>
    <w:bookmarkEnd w:id="5"/>
    <w:bookmarkEnd w:id="6"/>
    <w:bookmarkEnd w:id="7"/>
    <w:bookmarkEnd w:id="8"/>
    <w:bookmarkEnd w:id="9"/>
    <w:p>
      <w:pPr>
        <w:spacing w:line="360" w:lineRule="auto"/>
        <w:rPr>
          <w:rFonts w:ascii="宋体" w:hAnsi="宋体"/>
          <w:b/>
          <w:color w:val="auto"/>
          <w:szCs w:val="21"/>
          <w:highlight w:val="none"/>
        </w:rPr>
      </w:pPr>
      <w:bookmarkStart w:id="86" w:name="_Toc367780303"/>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Ａ  说  明</w:t>
      </w:r>
      <w:bookmarkEnd w:id="86"/>
    </w:p>
    <w:p>
      <w:pPr>
        <w:pStyle w:val="6"/>
        <w:spacing w:line="360" w:lineRule="auto"/>
        <w:rPr>
          <w:rFonts w:ascii="宋体" w:hAnsi="宋体"/>
          <w:color w:val="auto"/>
          <w:sz w:val="21"/>
          <w:szCs w:val="21"/>
          <w:highlight w:val="none"/>
        </w:rPr>
      </w:pPr>
      <w:bookmarkStart w:id="87" w:name="_Toc9199"/>
      <w:bookmarkStart w:id="88" w:name="_Toc367780304"/>
      <w:bookmarkStart w:id="89" w:name="_Toc20341"/>
      <w:r>
        <w:rPr>
          <w:rFonts w:ascii="宋体" w:hAnsi="宋体"/>
          <w:color w:val="auto"/>
          <w:sz w:val="21"/>
          <w:szCs w:val="21"/>
          <w:highlight w:val="none"/>
        </w:rPr>
        <w:t>1</w:t>
      </w:r>
      <w:r>
        <w:rPr>
          <w:rFonts w:hint="eastAsia" w:ascii="宋体" w:hAnsi="宋体"/>
          <w:color w:val="auto"/>
          <w:sz w:val="21"/>
          <w:szCs w:val="21"/>
          <w:highlight w:val="none"/>
        </w:rPr>
        <w:tab/>
      </w:r>
      <w:r>
        <w:rPr>
          <w:rFonts w:hint="eastAsia" w:ascii="宋体" w:hAnsi="宋体"/>
          <w:color w:val="auto"/>
          <w:sz w:val="21"/>
          <w:szCs w:val="21"/>
          <w:highlight w:val="none"/>
        </w:rPr>
        <w:t>适用范围和资金来源</w:t>
      </w:r>
      <w:bookmarkEnd w:id="87"/>
      <w:bookmarkEnd w:id="88"/>
      <w:bookmarkEnd w:id="89"/>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1.1</w:t>
      </w:r>
      <w:r>
        <w:rPr>
          <w:rFonts w:hint="eastAsia" w:ascii="宋体" w:hAnsi="宋体"/>
          <w:bCs/>
          <w:color w:val="auto"/>
          <w:szCs w:val="21"/>
          <w:highlight w:val="none"/>
        </w:rPr>
        <w:tab/>
      </w:r>
      <w:r>
        <w:rPr>
          <w:rFonts w:hint="eastAsia" w:ascii="宋体" w:hAnsi="宋体"/>
          <w:bCs/>
          <w:color w:val="auto"/>
          <w:szCs w:val="21"/>
          <w:highlight w:val="none"/>
        </w:rPr>
        <w:t>本谈判文件仅适用于本次竞争性谈判邀请函中所叙述的</w:t>
      </w:r>
      <w:r>
        <w:rPr>
          <w:rFonts w:hint="eastAsia" w:ascii="宋体" w:hAnsi="宋体"/>
          <w:color w:val="auto"/>
          <w:szCs w:val="21"/>
          <w:highlight w:val="none"/>
          <w:lang w:eastAsia="zh-CN"/>
        </w:rPr>
        <w:t>2022年度阳西县人民法院诉讼档案资料数字化扫描采集项目</w:t>
      </w:r>
      <w:r>
        <w:rPr>
          <w:rFonts w:hint="eastAsia" w:ascii="宋体" w:hAnsi="宋体"/>
          <w:bCs/>
          <w:color w:val="auto"/>
          <w:szCs w:val="21"/>
          <w:highlight w:val="none"/>
        </w:rPr>
        <w:t>。</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1.2</w:t>
      </w:r>
      <w:r>
        <w:rPr>
          <w:rFonts w:hint="eastAsia" w:ascii="宋体" w:hAnsi="宋体"/>
          <w:bCs/>
          <w:color w:val="auto"/>
          <w:szCs w:val="21"/>
          <w:highlight w:val="none"/>
        </w:rPr>
        <w:tab/>
      </w:r>
      <w:r>
        <w:rPr>
          <w:rFonts w:hint="eastAsia" w:ascii="宋体" w:hAnsi="宋体"/>
          <w:bCs/>
          <w:color w:val="auto"/>
          <w:szCs w:val="21"/>
          <w:highlight w:val="none"/>
        </w:rPr>
        <w:t>本谈判文件有关条款由</w:t>
      </w:r>
      <w:r>
        <w:rPr>
          <w:rFonts w:hint="eastAsia" w:ascii="宋体" w:hAnsi="宋体" w:cs="Tahoma"/>
          <w:color w:val="auto"/>
          <w:szCs w:val="21"/>
          <w:highlight w:val="none"/>
        </w:rPr>
        <w:t>代理采购机构</w:t>
      </w:r>
      <w:r>
        <w:rPr>
          <w:rFonts w:hint="eastAsia" w:ascii="宋体" w:hAnsi="宋体"/>
          <w:bCs/>
          <w:color w:val="auto"/>
          <w:szCs w:val="21"/>
          <w:highlight w:val="none"/>
        </w:rPr>
        <w:t>负责解释。</w:t>
      </w:r>
    </w:p>
    <w:p>
      <w:pPr>
        <w:pStyle w:val="6"/>
        <w:spacing w:line="360" w:lineRule="auto"/>
        <w:rPr>
          <w:rFonts w:ascii="宋体" w:hAnsi="宋体"/>
          <w:color w:val="auto"/>
          <w:sz w:val="21"/>
          <w:szCs w:val="21"/>
          <w:highlight w:val="none"/>
        </w:rPr>
      </w:pPr>
      <w:bookmarkStart w:id="90" w:name="_Toc367780305"/>
      <w:bookmarkStart w:id="91" w:name="_Toc14893"/>
      <w:bookmarkStart w:id="92" w:name="_Toc28530"/>
      <w:r>
        <w:rPr>
          <w:rFonts w:ascii="宋体" w:hAnsi="宋体"/>
          <w:color w:val="auto"/>
          <w:sz w:val="21"/>
          <w:szCs w:val="21"/>
          <w:highlight w:val="none"/>
        </w:rPr>
        <w:t>2</w:t>
      </w:r>
      <w:r>
        <w:rPr>
          <w:rFonts w:hint="eastAsia" w:ascii="宋体" w:hAnsi="宋体"/>
          <w:color w:val="auto"/>
          <w:sz w:val="21"/>
          <w:szCs w:val="21"/>
          <w:highlight w:val="none"/>
        </w:rPr>
        <w:tab/>
      </w:r>
      <w:r>
        <w:rPr>
          <w:rFonts w:hint="eastAsia" w:ascii="宋体" w:hAnsi="宋体"/>
          <w:color w:val="auto"/>
          <w:sz w:val="21"/>
          <w:szCs w:val="21"/>
          <w:highlight w:val="none"/>
        </w:rPr>
        <w:t>定义</w:t>
      </w:r>
      <w:bookmarkEnd w:id="90"/>
      <w:bookmarkEnd w:id="91"/>
      <w:bookmarkEnd w:id="92"/>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“代理采购机构”系指</w:t>
      </w:r>
      <w:r>
        <w:rPr>
          <w:rFonts w:hint="eastAsia" w:ascii="宋体" w:hAnsi="宋体"/>
          <w:bCs/>
          <w:color w:val="auto"/>
          <w:szCs w:val="21"/>
          <w:highlight w:val="none"/>
          <w:lang w:eastAsia="zh-CN"/>
        </w:rPr>
        <w:t>广东业信招标有限公司</w:t>
      </w:r>
      <w:r>
        <w:rPr>
          <w:rFonts w:hint="eastAsia" w:ascii="宋体" w:hAnsi="宋体"/>
          <w:bCs/>
          <w:color w:val="auto"/>
          <w:szCs w:val="21"/>
          <w:highlight w:val="none"/>
        </w:rPr>
        <w:t>。</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“供应商”系指符合谈判文件合格供应商资格要求，并按谈判文件规定提交谈判响应文件的供应商。</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“采购人”系指</w:t>
      </w:r>
      <w:r>
        <w:rPr>
          <w:rFonts w:hint="eastAsia" w:ascii="宋体" w:hAnsi="宋体"/>
          <w:bCs/>
          <w:color w:val="auto"/>
          <w:szCs w:val="21"/>
          <w:highlight w:val="none"/>
          <w:lang w:eastAsia="zh-CN"/>
        </w:rPr>
        <w:t>阳西县人民法院</w:t>
      </w:r>
      <w:r>
        <w:rPr>
          <w:rFonts w:hint="eastAsia" w:ascii="宋体" w:hAnsi="宋体"/>
          <w:bCs/>
          <w:color w:val="auto"/>
          <w:szCs w:val="21"/>
          <w:highlight w:val="none"/>
        </w:rPr>
        <w:t>，即项目采购用户方。</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ascii="宋体" w:hAnsi="宋体"/>
          <w:bCs/>
          <w:color w:val="auto"/>
          <w:szCs w:val="21"/>
          <w:highlight w:val="none"/>
        </w:rPr>
        <w:t>“</w:t>
      </w:r>
      <w:r>
        <w:rPr>
          <w:rFonts w:hint="eastAsia" w:ascii="宋体" w:hAnsi="宋体"/>
          <w:bCs/>
          <w:color w:val="auto"/>
          <w:szCs w:val="21"/>
          <w:highlight w:val="none"/>
        </w:rPr>
        <w:t>货物</w:t>
      </w:r>
      <w:r>
        <w:rPr>
          <w:rFonts w:ascii="宋体" w:hAnsi="宋体"/>
          <w:bCs/>
          <w:color w:val="auto"/>
          <w:szCs w:val="21"/>
          <w:highlight w:val="none"/>
        </w:rPr>
        <w:t>”</w:t>
      </w:r>
      <w:r>
        <w:rPr>
          <w:rFonts w:hint="eastAsia" w:ascii="宋体" w:hAnsi="宋体"/>
          <w:bCs/>
          <w:color w:val="auto"/>
          <w:szCs w:val="21"/>
          <w:highlight w:val="none"/>
        </w:rPr>
        <w:t>系指投标供应商根据谈判文件规定，须向采购人提供的货物、材料、备品备件、工具、使用手册及有关技术资料等。</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“服务”系指谈判文件规定卖方须承担与实施本项目有关的伴随服务，包括但不限于运输、设计、装卸、安装、调试、技术支持、售后服务等义务和合同中规定卖方应承担的其它义务。</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“天”是指日历天。</w:t>
      </w:r>
    </w:p>
    <w:p>
      <w:pPr>
        <w:widowControl/>
        <w:numPr>
          <w:ilvl w:val="1"/>
          <w:numId w:val="7"/>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“工作日”系指国家规定除法定节假日以外的以日</w:t>
      </w:r>
      <w:r>
        <w:rPr>
          <w:rFonts w:ascii="宋体" w:hAnsi="宋体"/>
          <w:bCs/>
          <w:color w:val="auto"/>
          <w:szCs w:val="21"/>
          <w:highlight w:val="none"/>
        </w:rPr>
        <w:t>为计算单位的工作时间</w:t>
      </w:r>
      <w:r>
        <w:rPr>
          <w:rFonts w:hint="eastAsia" w:ascii="宋体" w:hAnsi="宋体"/>
          <w:bCs/>
          <w:color w:val="auto"/>
          <w:szCs w:val="21"/>
          <w:highlight w:val="none"/>
        </w:rPr>
        <w:t>。</w:t>
      </w:r>
    </w:p>
    <w:p>
      <w:pPr>
        <w:pStyle w:val="6"/>
        <w:spacing w:line="360" w:lineRule="auto"/>
        <w:rPr>
          <w:rFonts w:ascii="宋体" w:hAnsi="宋体"/>
          <w:color w:val="auto"/>
          <w:sz w:val="21"/>
          <w:szCs w:val="21"/>
          <w:highlight w:val="none"/>
        </w:rPr>
      </w:pPr>
      <w:bookmarkStart w:id="93" w:name="_Toc9960"/>
      <w:bookmarkStart w:id="94" w:name="_Toc367780306"/>
      <w:bookmarkStart w:id="95" w:name="_Toc12498"/>
      <w:r>
        <w:rPr>
          <w:rFonts w:ascii="宋体" w:hAnsi="宋体"/>
          <w:color w:val="auto"/>
          <w:sz w:val="21"/>
          <w:szCs w:val="21"/>
          <w:highlight w:val="none"/>
        </w:rPr>
        <w:t>3</w:t>
      </w:r>
      <w:r>
        <w:rPr>
          <w:rFonts w:hint="eastAsia" w:ascii="宋体" w:hAnsi="宋体"/>
          <w:color w:val="auto"/>
          <w:sz w:val="21"/>
          <w:szCs w:val="21"/>
          <w:highlight w:val="none"/>
        </w:rPr>
        <w:tab/>
      </w:r>
      <w:r>
        <w:rPr>
          <w:rFonts w:hint="eastAsia" w:ascii="宋体" w:hAnsi="宋体"/>
          <w:color w:val="auto"/>
          <w:sz w:val="21"/>
          <w:szCs w:val="21"/>
          <w:highlight w:val="none"/>
        </w:rPr>
        <w:t>合格的供应商</w:t>
      </w:r>
      <w:bookmarkEnd w:id="93"/>
      <w:bookmarkEnd w:id="94"/>
      <w:bookmarkEnd w:id="95"/>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3.1</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凡具有供应能力，符合并承认和履行本谈判文件中各项规定者为合格的供应商。</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3.2</w:t>
      </w:r>
      <w:r>
        <w:rPr>
          <w:rFonts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供应商必须遵守国家有关规定和其他相关的法律、法规、规章、条例及谈判文件中的规定。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3.6    </w:t>
      </w:r>
      <w:r>
        <w:rPr>
          <w:rFonts w:ascii="宋体" w:hAnsi="宋体"/>
          <w:bCs/>
          <w:color w:val="auto"/>
          <w:szCs w:val="21"/>
          <w:highlight w:val="none"/>
        </w:rPr>
        <w:t>专门面向中小微企业采购的项目，只能由中小企业或微型企业参加。</w:t>
      </w:r>
    </w:p>
    <w:p>
      <w:pPr>
        <w:pStyle w:val="6"/>
        <w:spacing w:line="360" w:lineRule="auto"/>
        <w:rPr>
          <w:rFonts w:ascii="宋体" w:hAnsi="宋体"/>
          <w:color w:val="auto"/>
          <w:sz w:val="21"/>
          <w:szCs w:val="21"/>
          <w:highlight w:val="none"/>
        </w:rPr>
      </w:pPr>
      <w:bookmarkStart w:id="96" w:name="_Toc27369"/>
      <w:bookmarkStart w:id="97" w:name="_Toc15607"/>
      <w:bookmarkStart w:id="98" w:name="_Toc367780307"/>
      <w:r>
        <w:rPr>
          <w:rFonts w:ascii="宋体" w:hAnsi="宋体"/>
          <w:color w:val="auto"/>
          <w:sz w:val="21"/>
          <w:szCs w:val="21"/>
          <w:highlight w:val="none"/>
        </w:rPr>
        <w:t>4</w:t>
      </w:r>
      <w:r>
        <w:rPr>
          <w:rFonts w:hint="eastAsia" w:ascii="宋体" w:hAnsi="宋体"/>
          <w:color w:val="auto"/>
          <w:sz w:val="21"/>
          <w:szCs w:val="21"/>
          <w:highlight w:val="none"/>
        </w:rPr>
        <w:tab/>
      </w:r>
      <w:r>
        <w:rPr>
          <w:rFonts w:hint="eastAsia" w:ascii="宋体" w:hAnsi="宋体"/>
          <w:color w:val="auto"/>
          <w:sz w:val="21"/>
          <w:szCs w:val="21"/>
          <w:highlight w:val="none"/>
        </w:rPr>
        <w:t>谈判费用</w:t>
      </w:r>
      <w:bookmarkEnd w:id="96"/>
      <w:bookmarkEnd w:id="97"/>
      <w:bookmarkEnd w:id="98"/>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4.1</w:t>
      </w:r>
      <w:r>
        <w:rPr>
          <w:rFonts w:hint="eastAsia" w:ascii="宋体" w:hAnsi="宋体"/>
          <w:bCs/>
          <w:color w:val="auto"/>
          <w:szCs w:val="21"/>
          <w:highlight w:val="none"/>
        </w:rPr>
        <w:tab/>
      </w:r>
      <w:r>
        <w:rPr>
          <w:rFonts w:hint="eastAsia" w:ascii="宋体" w:hAnsi="宋体"/>
          <w:bCs/>
          <w:color w:val="auto"/>
          <w:szCs w:val="21"/>
          <w:highlight w:val="none"/>
        </w:rPr>
        <w:t>供应商自行承担所有与准备和参加谈判有关的费用。无论谈判结果如何，响应谈判的投标供应商自行承担参与本项目投标有关的所有费用，代理采购机构和采购人均无义务和责任承担这些费用。供应商所提供的谈判文件等在接收谈判文件截止时间后概不退回。</w:t>
      </w:r>
    </w:p>
    <w:p>
      <w:pPr>
        <w:pStyle w:val="4"/>
        <w:numPr>
          <w:ilvl w:val="1"/>
          <w:numId w:val="0"/>
        </w:numPr>
        <w:spacing w:before="240" w:after="240" w:line="360" w:lineRule="auto"/>
        <w:rPr>
          <w:rFonts w:ascii="宋体" w:hAnsi="宋体" w:eastAsia="宋体"/>
          <w:color w:val="auto"/>
          <w:sz w:val="21"/>
          <w:szCs w:val="21"/>
          <w:highlight w:val="none"/>
        </w:rPr>
      </w:pPr>
      <w:bookmarkStart w:id="99" w:name="_Toc26152"/>
      <w:bookmarkStart w:id="100" w:name="_Toc367780308"/>
      <w:bookmarkStart w:id="101" w:name="_Toc23360"/>
      <w:r>
        <w:rPr>
          <w:rFonts w:hint="eastAsia" w:ascii="宋体" w:hAnsi="宋体" w:eastAsia="宋体"/>
          <w:color w:val="auto"/>
          <w:sz w:val="21"/>
          <w:szCs w:val="21"/>
          <w:highlight w:val="none"/>
        </w:rPr>
        <w:t>Ｂ谈判文件说明</w:t>
      </w:r>
      <w:bookmarkEnd w:id="99"/>
      <w:bookmarkEnd w:id="100"/>
      <w:bookmarkEnd w:id="101"/>
    </w:p>
    <w:p>
      <w:pPr>
        <w:pStyle w:val="6"/>
        <w:spacing w:line="360" w:lineRule="auto"/>
        <w:rPr>
          <w:rFonts w:ascii="宋体" w:hAnsi="宋体"/>
          <w:color w:val="auto"/>
          <w:sz w:val="21"/>
          <w:szCs w:val="21"/>
          <w:highlight w:val="none"/>
        </w:rPr>
      </w:pPr>
      <w:bookmarkStart w:id="102" w:name="_Toc1108"/>
      <w:bookmarkStart w:id="103" w:name="_Toc1642"/>
      <w:bookmarkStart w:id="104" w:name="_Toc367780309"/>
      <w:r>
        <w:rPr>
          <w:rFonts w:ascii="宋体" w:hAnsi="宋体"/>
          <w:color w:val="auto"/>
          <w:sz w:val="21"/>
          <w:szCs w:val="21"/>
          <w:highlight w:val="none"/>
        </w:rPr>
        <w:t>5</w:t>
      </w:r>
      <w:r>
        <w:rPr>
          <w:rFonts w:hint="eastAsia" w:ascii="宋体" w:hAnsi="宋体"/>
          <w:color w:val="auto"/>
          <w:sz w:val="21"/>
          <w:szCs w:val="21"/>
          <w:highlight w:val="none"/>
        </w:rPr>
        <w:tab/>
      </w:r>
      <w:r>
        <w:rPr>
          <w:rFonts w:hint="eastAsia" w:ascii="宋体" w:hAnsi="宋体"/>
          <w:color w:val="auto"/>
          <w:sz w:val="21"/>
          <w:szCs w:val="21"/>
          <w:highlight w:val="none"/>
        </w:rPr>
        <w:t>谈判文件的构成</w:t>
      </w:r>
      <w:bookmarkEnd w:id="102"/>
      <w:bookmarkEnd w:id="103"/>
      <w:bookmarkEnd w:id="104"/>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5.1</w:t>
      </w:r>
      <w:r>
        <w:rPr>
          <w:rFonts w:ascii="宋体" w:hAnsi="宋体"/>
          <w:bCs/>
          <w:color w:val="auto"/>
          <w:szCs w:val="21"/>
          <w:highlight w:val="none"/>
        </w:rPr>
        <w:tab/>
      </w:r>
      <w:r>
        <w:rPr>
          <w:rFonts w:hint="eastAsia" w:ascii="宋体" w:hAnsi="宋体"/>
          <w:bCs/>
          <w:color w:val="auto"/>
          <w:szCs w:val="21"/>
          <w:highlight w:val="none"/>
        </w:rPr>
        <w:t>谈判文件用以阐明所需货物及服务、谈判程序、合同条款及相关附件。谈判文件由下述部分组成：</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第一部分  竞争性谈判邀请函</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第二部分  采购项目内容</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第三部分  报价须知</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第四部分  合同书格式（参考范本）</w:t>
      </w:r>
    </w:p>
    <w:p>
      <w:pPr>
        <w:widowControl/>
        <w:tabs>
          <w:tab w:val="left" w:pos="753"/>
        </w:tabs>
        <w:adjustRightInd w:val="0"/>
        <w:snapToGrid w:val="0"/>
        <w:spacing w:line="360" w:lineRule="auto"/>
        <w:ind w:left="1445" w:leftChars="448" w:hanging="504"/>
        <w:rPr>
          <w:rFonts w:ascii="宋体" w:hAnsi="宋体"/>
          <w:bCs/>
          <w:color w:val="auto"/>
          <w:szCs w:val="21"/>
          <w:highlight w:val="none"/>
        </w:rPr>
      </w:pPr>
      <w:r>
        <w:rPr>
          <w:rFonts w:hint="eastAsia" w:ascii="宋体" w:hAnsi="宋体"/>
          <w:bCs/>
          <w:color w:val="auto"/>
          <w:szCs w:val="21"/>
          <w:highlight w:val="none"/>
        </w:rPr>
        <w:t>第五部分  谈判文件格式</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5.2</w:t>
      </w:r>
      <w:r>
        <w:rPr>
          <w:rFonts w:ascii="宋体" w:hAnsi="宋体"/>
          <w:bCs/>
          <w:color w:val="auto"/>
          <w:szCs w:val="21"/>
          <w:highlight w:val="none"/>
        </w:rPr>
        <w:tab/>
      </w:r>
      <w:r>
        <w:rPr>
          <w:rFonts w:hint="eastAsia" w:ascii="宋体" w:hAnsi="宋体"/>
          <w:bCs/>
          <w:color w:val="auto"/>
          <w:szCs w:val="21"/>
          <w:highlight w:val="none"/>
        </w:rPr>
        <w:t>谈判文件以中文编印。</w:t>
      </w:r>
    </w:p>
    <w:p>
      <w:pPr>
        <w:pStyle w:val="6"/>
        <w:spacing w:line="360" w:lineRule="auto"/>
        <w:rPr>
          <w:rFonts w:ascii="宋体" w:hAnsi="宋体"/>
          <w:color w:val="auto"/>
          <w:sz w:val="21"/>
          <w:szCs w:val="21"/>
          <w:highlight w:val="none"/>
        </w:rPr>
      </w:pPr>
      <w:bookmarkStart w:id="105" w:name="_Toc22779"/>
      <w:bookmarkStart w:id="106" w:name="_Toc367780310"/>
      <w:bookmarkStart w:id="107" w:name="_Toc30807"/>
      <w:r>
        <w:rPr>
          <w:rFonts w:ascii="宋体" w:hAnsi="宋体"/>
          <w:color w:val="auto"/>
          <w:sz w:val="21"/>
          <w:szCs w:val="21"/>
          <w:highlight w:val="none"/>
        </w:rPr>
        <w:t>6</w:t>
      </w:r>
      <w:r>
        <w:rPr>
          <w:rFonts w:hint="eastAsia" w:ascii="宋体" w:hAnsi="宋体"/>
          <w:color w:val="auto"/>
          <w:sz w:val="21"/>
          <w:szCs w:val="21"/>
          <w:highlight w:val="none"/>
        </w:rPr>
        <w:tab/>
      </w:r>
      <w:r>
        <w:rPr>
          <w:rFonts w:hint="eastAsia" w:ascii="宋体" w:hAnsi="宋体"/>
          <w:color w:val="auto"/>
          <w:sz w:val="21"/>
          <w:szCs w:val="21"/>
          <w:highlight w:val="none"/>
        </w:rPr>
        <w:t>谈判文件的澄清</w:t>
      </w:r>
      <w:bookmarkEnd w:id="105"/>
      <w:bookmarkEnd w:id="106"/>
      <w:bookmarkEnd w:id="107"/>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6.1</w:t>
      </w:r>
      <w:r>
        <w:rPr>
          <w:rFonts w:ascii="宋体" w:hAnsi="宋体"/>
          <w:bCs/>
          <w:color w:val="auto"/>
          <w:szCs w:val="21"/>
          <w:highlight w:val="none"/>
        </w:rPr>
        <w:tab/>
      </w:r>
      <w:r>
        <w:rPr>
          <w:rFonts w:hint="eastAsia" w:ascii="宋体" w:hAnsi="宋体"/>
          <w:bCs/>
          <w:color w:val="auto"/>
          <w:szCs w:val="21"/>
          <w:highlight w:val="none"/>
        </w:rPr>
        <w:t>澄清是指代理采购机构对谈判文件中的遗漏、词义表述不清或对比较复杂的事项进行说明，回答供应商提出的各种问题。</w:t>
      </w:r>
    </w:p>
    <w:p>
      <w:pPr>
        <w:widowControl/>
        <w:numPr>
          <w:ilvl w:val="1"/>
          <w:numId w:val="8"/>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供应商对谈判文件如有疑点，可要求澄清。供应商应在投标截止日三（3）个日历日前按竞争性谈判邀请书中载明的地址以书面形式（包括信函、传真、电子邮件等，下同）通知到代理采购机构。代理采购机构将视情况确定采用适当方式予以澄清，或以书面形式予以答复，并在其认为必要时，将不标明查询来源的书面答复发给已购买谈判文件的每一供应商，供应商在收到通知后应立即以传真或其他书面形式予以确认收到。</w:t>
      </w:r>
    </w:p>
    <w:p>
      <w:pPr>
        <w:widowControl/>
        <w:numPr>
          <w:ilvl w:val="1"/>
          <w:numId w:val="8"/>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代理采购机构对澄清要求的书面答复是谈判文件的组成部分。</w:t>
      </w:r>
    </w:p>
    <w:p>
      <w:pPr>
        <w:pStyle w:val="6"/>
        <w:spacing w:line="360" w:lineRule="auto"/>
        <w:rPr>
          <w:rFonts w:ascii="宋体" w:hAnsi="宋体"/>
          <w:color w:val="auto"/>
          <w:sz w:val="21"/>
          <w:szCs w:val="21"/>
          <w:highlight w:val="none"/>
        </w:rPr>
      </w:pPr>
      <w:bookmarkStart w:id="108" w:name="_Toc30690"/>
      <w:bookmarkStart w:id="109" w:name="_Toc28879"/>
      <w:bookmarkStart w:id="110" w:name="_Toc367780311"/>
      <w:r>
        <w:rPr>
          <w:rFonts w:ascii="宋体" w:hAnsi="宋体"/>
          <w:color w:val="auto"/>
          <w:sz w:val="21"/>
          <w:szCs w:val="21"/>
          <w:highlight w:val="none"/>
        </w:rPr>
        <w:t>7</w:t>
      </w:r>
      <w:r>
        <w:rPr>
          <w:rFonts w:hint="eastAsia" w:ascii="宋体" w:hAnsi="宋体"/>
          <w:color w:val="auto"/>
          <w:sz w:val="21"/>
          <w:szCs w:val="21"/>
          <w:highlight w:val="none"/>
        </w:rPr>
        <w:tab/>
      </w:r>
      <w:r>
        <w:rPr>
          <w:rFonts w:hint="eastAsia" w:ascii="宋体" w:hAnsi="宋体"/>
          <w:color w:val="auto"/>
          <w:sz w:val="21"/>
          <w:szCs w:val="21"/>
          <w:highlight w:val="none"/>
        </w:rPr>
        <w:t>谈判文件的修改</w:t>
      </w:r>
      <w:bookmarkEnd w:id="108"/>
      <w:bookmarkEnd w:id="109"/>
      <w:bookmarkEnd w:id="11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7.1</w:t>
      </w:r>
      <w:r>
        <w:rPr>
          <w:rFonts w:ascii="宋体" w:hAnsi="宋体"/>
          <w:bCs/>
          <w:color w:val="auto"/>
          <w:szCs w:val="21"/>
          <w:highlight w:val="none"/>
        </w:rPr>
        <w:tab/>
      </w:r>
      <w:r>
        <w:rPr>
          <w:rFonts w:hint="eastAsia" w:ascii="宋体" w:hAnsi="宋体"/>
          <w:bCs/>
          <w:color w:val="auto"/>
          <w:szCs w:val="21"/>
          <w:highlight w:val="none"/>
        </w:rPr>
        <w:t>在谈判截止日期前，代理采购机构可主动地或依据供应商要求澄清的问题而修改谈判文件，并以书面形式通知已购买谈判文件的每一供应商，供应商在收到该通知后应立即以传真或其他书面形式予以确认。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7.2</w:t>
      </w:r>
      <w:r>
        <w:rPr>
          <w:rFonts w:ascii="宋体" w:hAnsi="宋体"/>
          <w:bCs/>
          <w:color w:val="auto"/>
          <w:szCs w:val="21"/>
          <w:highlight w:val="none"/>
        </w:rPr>
        <w:tab/>
      </w:r>
      <w:r>
        <w:rPr>
          <w:rFonts w:hint="eastAsia" w:ascii="宋体" w:hAnsi="宋体"/>
          <w:bCs/>
          <w:color w:val="auto"/>
          <w:szCs w:val="21"/>
          <w:highlight w:val="none"/>
        </w:rPr>
        <w:t>为使供应商在准备谈判文件时有合理的时间考虑谈判文件的修改，代理采购机构可酌情推迟谈判时间，并以书面形式通知已购买谈判文件的每一供应商。</w:t>
      </w:r>
    </w:p>
    <w:p>
      <w:pPr>
        <w:widowControl/>
        <w:numPr>
          <w:ilvl w:val="1"/>
          <w:numId w:val="9"/>
        </w:numPr>
        <w:tabs>
          <w:tab w:val="left" w:pos="753"/>
          <w:tab w:val="clear" w:pos="36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谈判文件的修改书将构成谈判文件的一部分，对供应商有约束力。</w:t>
      </w:r>
    </w:p>
    <w:p>
      <w:pPr>
        <w:pStyle w:val="4"/>
        <w:numPr>
          <w:ilvl w:val="1"/>
          <w:numId w:val="0"/>
        </w:numPr>
        <w:spacing w:before="240" w:after="240" w:line="360" w:lineRule="auto"/>
        <w:rPr>
          <w:rFonts w:ascii="宋体" w:hAnsi="宋体" w:eastAsia="宋体"/>
          <w:color w:val="auto"/>
          <w:sz w:val="21"/>
          <w:szCs w:val="21"/>
          <w:highlight w:val="none"/>
        </w:rPr>
      </w:pPr>
      <w:bookmarkStart w:id="111" w:name="_Toc367780312"/>
      <w:bookmarkStart w:id="112" w:name="_Toc6058"/>
      <w:bookmarkStart w:id="113" w:name="_Toc20730"/>
      <w:r>
        <w:rPr>
          <w:rFonts w:hint="eastAsia" w:ascii="宋体" w:hAnsi="宋体" w:eastAsia="宋体"/>
          <w:color w:val="auto"/>
          <w:sz w:val="21"/>
          <w:szCs w:val="21"/>
          <w:highlight w:val="none"/>
        </w:rPr>
        <w:t>Ｃ谈判文件的编制</w:t>
      </w:r>
      <w:bookmarkEnd w:id="111"/>
      <w:bookmarkEnd w:id="112"/>
      <w:bookmarkEnd w:id="113"/>
    </w:p>
    <w:p>
      <w:pPr>
        <w:pStyle w:val="6"/>
        <w:spacing w:line="360" w:lineRule="auto"/>
        <w:rPr>
          <w:rFonts w:ascii="宋体" w:hAnsi="宋体"/>
          <w:color w:val="auto"/>
          <w:sz w:val="21"/>
          <w:szCs w:val="21"/>
          <w:highlight w:val="none"/>
        </w:rPr>
      </w:pPr>
      <w:bookmarkStart w:id="114" w:name="_Toc30583"/>
      <w:bookmarkStart w:id="115" w:name="_Toc2308"/>
      <w:bookmarkStart w:id="116" w:name="_Toc367780313"/>
      <w:r>
        <w:rPr>
          <w:rFonts w:hint="eastAsia" w:ascii="宋体" w:hAnsi="宋体"/>
          <w:color w:val="auto"/>
          <w:sz w:val="21"/>
          <w:szCs w:val="21"/>
          <w:highlight w:val="none"/>
        </w:rPr>
        <w:t>8</w:t>
      </w:r>
      <w:r>
        <w:rPr>
          <w:rFonts w:hint="eastAsia" w:ascii="宋体" w:hAnsi="宋体"/>
          <w:color w:val="auto"/>
          <w:sz w:val="21"/>
          <w:szCs w:val="21"/>
          <w:highlight w:val="none"/>
        </w:rPr>
        <w:tab/>
      </w:r>
      <w:r>
        <w:rPr>
          <w:rFonts w:hint="eastAsia" w:ascii="宋体" w:hAnsi="宋体"/>
          <w:color w:val="auto"/>
          <w:sz w:val="21"/>
          <w:szCs w:val="21"/>
          <w:highlight w:val="none"/>
        </w:rPr>
        <w:t>要求</w:t>
      </w:r>
      <w:bookmarkEnd w:id="114"/>
      <w:bookmarkEnd w:id="115"/>
      <w:bookmarkEnd w:id="116"/>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8.1</w:t>
      </w:r>
      <w:r>
        <w:rPr>
          <w:rFonts w:ascii="宋体" w:hAnsi="宋体"/>
          <w:bCs/>
          <w:color w:val="auto"/>
          <w:szCs w:val="21"/>
          <w:highlight w:val="none"/>
        </w:rPr>
        <w:tab/>
      </w:r>
      <w:r>
        <w:rPr>
          <w:rFonts w:hint="eastAsia" w:ascii="宋体" w:hAnsi="宋体"/>
          <w:bCs/>
          <w:color w:val="auto"/>
          <w:szCs w:val="21"/>
          <w:highlight w:val="none"/>
        </w:rPr>
        <w:t>供应商应仔细阅读谈判文件的所有内容，按谈判文件的要求编制谈判文件，并保证所提供的全部资料的真实性，以使其投标对谈判文件提出的要求和条件做出实质性响应，否则，其投标将被拒绝。</w:t>
      </w:r>
    </w:p>
    <w:p>
      <w:pPr>
        <w:pStyle w:val="6"/>
        <w:spacing w:line="360" w:lineRule="auto"/>
        <w:rPr>
          <w:rFonts w:ascii="宋体" w:hAnsi="宋体"/>
          <w:color w:val="auto"/>
          <w:sz w:val="21"/>
          <w:szCs w:val="21"/>
          <w:highlight w:val="none"/>
        </w:rPr>
      </w:pPr>
      <w:bookmarkStart w:id="117" w:name="_Toc367780314"/>
      <w:bookmarkStart w:id="118" w:name="_Toc12393"/>
      <w:bookmarkStart w:id="119" w:name="_Toc998"/>
      <w:r>
        <w:rPr>
          <w:rFonts w:ascii="宋体" w:hAnsi="宋体"/>
          <w:color w:val="auto"/>
          <w:sz w:val="21"/>
          <w:szCs w:val="21"/>
          <w:highlight w:val="none"/>
        </w:rPr>
        <w:t>9</w:t>
      </w:r>
      <w:r>
        <w:rPr>
          <w:rFonts w:hint="eastAsia" w:ascii="宋体" w:hAnsi="宋体"/>
          <w:color w:val="auto"/>
          <w:sz w:val="21"/>
          <w:szCs w:val="21"/>
          <w:highlight w:val="none"/>
        </w:rPr>
        <w:tab/>
      </w:r>
      <w:r>
        <w:rPr>
          <w:rFonts w:hint="eastAsia" w:ascii="宋体" w:hAnsi="宋体"/>
          <w:color w:val="auto"/>
          <w:sz w:val="21"/>
          <w:szCs w:val="21"/>
          <w:highlight w:val="none"/>
        </w:rPr>
        <w:t>投标语言及计量单位</w:t>
      </w:r>
      <w:bookmarkEnd w:id="117"/>
      <w:bookmarkEnd w:id="118"/>
      <w:bookmarkEnd w:id="119"/>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9.1</w:t>
      </w:r>
      <w:r>
        <w:rPr>
          <w:rFonts w:ascii="宋体" w:hAnsi="宋体"/>
          <w:bCs/>
          <w:color w:val="auto"/>
          <w:szCs w:val="21"/>
          <w:highlight w:val="none"/>
        </w:rPr>
        <w:tab/>
      </w:r>
      <w:r>
        <w:rPr>
          <w:rFonts w:hint="eastAsia" w:ascii="宋体" w:hAnsi="宋体"/>
          <w:bCs/>
          <w:color w:val="auto"/>
          <w:szCs w:val="21"/>
          <w:highlight w:val="none"/>
        </w:rPr>
        <w:t>供应商提交的谈判文件（包括资格证明文件）以及供应商与代理采购机构就有关谈判的所有往来函电均应使用中文。供应商可以提交用其它语言打印的资料，但有关段落必须译成中文。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9.2</w:t>
      </w:r>
      <w:r>
        <w:rPr>
          <w:rFonts w:ascii="宋体" w:hAnsi="宋体"/>
          <w:bCs/>
          <w:color w:val="auto"/>
          <w:szCs w:val="21"/>
          <w:highlight w:val="none"/>
        </w:rPr>
        <w:tab/>
      </w:r>
      <w:r>
        <w:rPr>
          <w:rFonts w:hint="eastAsia" w:ascii="宋体" w:hAnsi="宋体"/>
          <w:bCs/>
          <w:color w:val="auto"/>
          <w:szCs w:val="21"/>
          <w:highlight w:val="none"/>
        </w:rPr>
        <w:t>除在谈判文件的技术规格中另有规定外，计量单位应使用中华人民共和国法定计量单位（国际单位制和国家选定的其他计量单位）。</w:t>
      </w:r>
    </w:p>
    <w:p>
      <w:pPr>
        <w:pStyle w:val="6"/>
        <w:spacing w:line="360" w:lineRule="auto"/>
        <w:rPr>
          <w:rFonts w:ascii="宋体" w:hAnsi="宋体"/>
          <w:color w:val="auto"/>
          <w:sz w:val="21"/>
          <w:szCs w:val="21"/>
          <w:highlight w:val="none"/>
        </w:rPr>
      </w:pPr>
      <w:bookmarkStart w:id="120" w:name="_Toc24408"/>
      <w:bookmarkStart w:id="121" w:name="_Toc80"/>
      <w:bookmarkStart w:id="122" w:name="_Toc367780315"/>
      <w:r>
        <w:rPr>
          <w:rFonts w:ascii="宋体" w:hAnsi="宋体"/>
          <w:color w:val="auto"/>
          <w:sz w:val="21"/>
          <w:szCs w:val="21"/>
          <w:highlight w:val="none"/>
        </w:rPr>
        <w:t>10</w:t>
      </w:r>
      <w:r>
        <w:rPr>
          <w:rFonts w:hint="eastAsia" w:ascii="宋体" w:hAnsi="宋体"/>
          <w:color w:val="auto"/>
          <w:sz w:val="21"/>
          <w:szCs w:val="21"/>
          <w:highlight w:val="none"/>
        </w:rPr>
        <w:tab/>
      </w:r>
      <w:r>
        <w:rPr>
          <w:rFonts w:hint="eastAsia" w:ascii="宋体" w:hAnsi="宋体"/>
          <w:color w:val="auto"/>
          <w:sz w:val="21"/>
          <w:szCs w:val="21"/>
          <w:highlight w:val="none"/>
        </w:rPr>
        <w:t>谈判文件的构成</w:t>
      </w:r>
      <w:bookmarkEnd w:id="120"/>
      <w:bookmarkEnd w:id="121"/>
      <w:bookmarkEnd w:id="122"/>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10.1</w:t>
      </w:r>
      <w:r>
        <w:rPr>
          <w:rFonts w:ascii="宋体" w:hAnsi="宋体"/>
          <w:bCs/>
          <w:color w:val="auto"/>
          <w:szCs w:val="21"/>
          <w:highlight w:val="none"/>
        </w:rPr>
        <w:tab/>
      </w:r>
      <w:r>
        <w:rPr>
          <w:rFonts w:hint="eastAsia" w:ascii="宋体" w:hAnsi="宋体"/>
          <w:bCs/>
          <w:color w:val="auto"/>
          <w:szCs w:val="21"/>
          <w:highlight w:val="none"/>
        </w:rPr>
        <w:t>谈判文件包括：</w:t>
      </w:r>
    </w:p>
    <w:p>
      <w:pPr>
        <w:widowControl/>
        <w:numPr>
          <w:ilvl w:val="0"/>
          <w:numId w:val="10"/>
        </w:numPr>
        <w:adjustRightInd w:val="0"/>
        <w:snapToGrid w:val="0"/>
        <w:spacing w:line="360" w:lineRule="auto"/>
        <w:ind w:left="0" w:firstLine="840" w:firstLineChars="400"/>
        <w:rPr>
          <w:rFonts w:ascii="宋体" w:hAnsi="宋体"/>
          <w:bCs/>
          <w:color w:val="auto"/>
          <w:szCs w:val="21"/>
          <w:highlight w:val="none"/>
        </w:rPr>
      </w:pPr>
      <w:r>
        <w:rPr>
          <w:rFonts w:hint="eastAsia" w:ascii="宋体" w:hAnsi="宋体"/>
          <w:bCs/>
          <w:color w:val="auto"/>
          <w:szCs w:val="21"/>
          <w:highlight w:val="none"/>
        </w:rPr>
        <w:t>资格审查文件（含附件）</w:t>
      </w:r>
    </w:p>
    <w:p>
      <w:pPr>
        <w:widowControl/>
        <w:numPr>
          <w:ilvl w:val="0"/>
          <w:numId w:val="10"/>
        </w:numPr>
        <w:adjustRightInd w:val="0"/>
        <w:snapToGrid w:val="0"/>
        <w:spacing w:line="360" w:lineRule="auto"/>
        <w:ind w:left="0" w:firstLine="840" w:firstLineChars="400"/>
        <w:rPr>
          <w:rFonts w:ascii="宋体" w:hAnsi="宋体"/>
          <w:bCs/>
          <w:color w:val="auto"/>
          <w:szCs w:val="21"/>
          <w:highlight w:val="none"/>
        </w:rPr>
      </w:pPr>
      <w:r>
        <w:rPr>
          <w:rFonts w:hint="eastAsia" w:ascii="宋体" w:hAnsi="宋体"/>
          <w:bCs/>
          <w:color w:val="auto"/>
          <w:szCs w:val="21"/>
          <w:highlight w:val="none"/>
        </w:rPr>
        <w:t>谈判响应文件商务及技术部分</w:t>
      </w:r>
    </w:p>
    <w:p>
      <w:pPr>
        <w:widowControl/>
        <w:adjustRightInd w:val="0"/>
        <w:snapToGrid w:val="0"/>
        <w:spacing w:line="360" w:lineRule="auto"/>
        <w:ind w:left="565" w:leftChars="269" w:firstLine="315" w:firstLineChars="150"/>
        <w:jc w:val="left"/>
        <w:rPr>
          <w:rFonts w:ascii="宋体" w:hAnsi="宋体"/>
          <w:bCs/>
          <w:color w:val="auto"/>
          <w:szCs w:val="21"/>
          <w:highlight w:val="none"/>
        </w:rPr>
      </w:pPr>
      <w:r>
        <w:rPr>
          <w:rFonts w:hint="eastAsia" w:ascii="宋体" w:hAnsi="宋体"/>
          <w:bCs/>
          <w:color w:val="auto"/>
          <w:szCs w:val="21"/>
          <w:highlight w:val="none"/>
        </w:rPr>
        <w:t>上述文件及表格为供应商必须提交的文件，各供应商可以根据实际情况增加内容，但不得擅自减少有关内容。</w:t>
      </w:r>
    </w:p>
    <w:p>
      <w:pPr>
        <w:pStyle w:val="6"/>
        <w:spacing w:line="360" w:lineRule="auto"/>
        <w:rPr>
          <w:rFonts w:ascii="宋体" w:hAnsi="宋体"/>
          <w:color w:val="auto"/>
          <w:sz w:val="21"/>
          <w:szCs w:val="21"/>
          <w:highlight w:val="none"/>
        </w:rPr>
      </w:pPr>
      <w:bookmarkStart w:id="123" w:name="_Toc2419"/>
      <w:bookmarkStart w:id="124" w:name="_Toc367780316"/>
      <w:bookmarkStart w:id="125" w:name="_Toc21768"/>
      <w:r>
        <w:rPr>
          <w:rFonts w:ascii="宋体" w:hAnsi="宋体"/>
          <w:color w:val="auto"/>
          <w:sz w:val="21"/>
          <w:szCs w:val="21"/>
          <w:highlight w:val="none"/>
        </w:rPr>
        <w:t>11</w:t>
      </w:r>
      <w:r>
        <w:rPr>
          <w:rFonts w:hint="eastAsia" w:ascii="宋体" w:hAnsi="宋体"/>
          <w:color w:val="auto"/>
          <w:sz w:val="21"/>
          <w:szCs w:val="21"/>
          <w:highlight w:val="none"/>
        </w:rPr>
        <w:tab/>
      </w:r>
      <w:r>
        <w:rPr>
          <w:rFonts w:hint="eastAsia" w:ascii="宋体" w:hAnsi="宋体"/>
          <w:color w:val="auto"/>
          <w:sz w:val="21"/>
          <w:szCs w:val="21"/>
          <w:highlight w:val="none"/>
        </w:rPr>
        <w:t>谈判响应文件格式</w:t>
      </w:r>
      <w:bookmarkEnd w:id="123"/>
      <w:bookmarkEnd w:id="124"/>
      <w:bookmarkEnd w:id="125"/>
    </w:p>
    <w:p>
      <w:pPr>
        <w:tabs>
          <w:tab w:val="left" w:pos="753"/>
        </w:tabs>
        <w:adjustRightInd w:val="0"/>
        <w:snapToGrid w:val="0"/>
        <w:spacing w:line="360" w:lineRule="auto"/>
        <w:rPr>
          <w:rFonts w:ascii="宋体" w:hAnsi="宋体"/>
          <w:bCs/>
          <w:color w:val="auto"/>
          <w:szCs w:val="21"/>
          <w:highlight w:val="none"/>
        </w:rPr>
      </w:pPr>
      <w:r>
        <w:rPr>
          <w:rFonts w:ascii="宋体" w:hAnsi="宋体"/>
          <w:bCs/>
          <w:color w:val="auto"/>
          <w:szCs w:val="21"/>
          <w:highlight w:val="none"/>
        </w:rPr>
        <w:t>11.1</w:t>
      </w:r>
      <w:r>
        <w:rPr>
          <w:rFonts w:ascii="宋体" w:hAnsi="宋体"/>
          <w:bCs/>
          <w:color w:val="auto"/>
          <w:szCs w:val="21"/>
          <w:highlight w:val="none"/>
        </w:rPr>
        <w:tab/>
      </w:r>
      <w:r>
        <w:rPr>
          <w:rFonts w:hint="eastAsia" w:ascii="宋体" w:hAnsi="宋体"/>
          <w:bCs/>
          <w:color w:val="auto"/>
          <w:szCs w:val="21"/>
          <w:highlight w:val="none"/>
        </w:rPr>
        <w:t>供应商应按照谈判文件中提供的谈判响应文件格式编制谈判响应文件（详见第五部分）。</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11.2 </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供应商应完整地填写谈判文件提供的各种表格，若谈判为工程类或服务类项目的，谈判响应文件中涉及货物的技术参数等可不填写。</w:t>
      </w:r>
    </w:p>
    <w:p>
      <w:pPr>
        <w:pStyle w:val="6"/>
        <w:spacing w:line="360" w:lineRule="auto"/>
        <w:rPr>
          <w:rFonts w:ascii="宋体" w:hAnsi="宋体"/>
          <w:color w:val="auto"/>
          <w:sz w:val="21"/>
          <w:szCs w:val="21"/>
          <w:highlight w:val="none"/>
        </w:rPr>
      </w:pPr>
      <w:bookmarkStart w:id="126" w:name="_Toc367780317"/>
      <w:bookmarkStart w:id="127" w:name="_Toc1414"/>
      <w:bookmarkStart w:id="128" w:name="_Toc22976"/>
      <w:r>
        <w:rPr>
          <w:rFonts w:hint="eastAsia" w:ascii="宋体" w:hAnsi="宋体"/>
          <w:color w:val="auto"/>
          <w:sz w:val="21"/>
          <w:szCs w:val="21"/>
          <w:highlight w:val="none"/>
        </w:rPr>
        <w:t>12</w:t>
      </w:r>
      <w:r>
        <w:rPr>
          <w:rFonts w:hint="eastAsia" w:ascii="宋体" w:hAnsi="宋体"/>
          <w:color w:val="auto"/>
          <w:sz w:val="21"/>
          <w:szCs w:val="21"/>
          <w:highlight w:val="none"/>
        </w:rPr>
        <w:tab/>
      </w:r>
      <w:r>
        <w:rPr>
          <w:rFonts w:hint="eastAsia" w:ascii="宋体" w:hAnsi="宋体"/>
          <w:color w:val="auto"/>
          <w:sz w:val="21"/>
          <w:szCs w:val="21"/>
          <w:highlight w:val="none"/>
        </w:rPr>
        <w:t>资格证明文件</w:t>
      </w:r>
      <w:bookmarkEnd w:id="126"/>
      <w:bookmarkEnd w:id="127"/>
      <w:bookmarkEnd w:id="128"/>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12.1 </w:t>
      </w:r>
      <w:r>
        <w:rPr>
          <w:rFonts w:hint="eastAsia" w:ascii="宋体" w:hAnsi="宋体"/>
          <w:bCs/>
          <w:color w:val="auto"/>
          <w:szCs w:val="21"/>
          <w:highlight w:val="none"/>
        </w:rPr>
        <w:tab/>
      </w:r>
      <w:r>
        <w:rPr>
          <w:rFonts w:hint="eastAsia" w:ascii="宋体" w:hAnsi="宋体"/>
          <w:bCs/>
          <w:color w:val="auto"/>
          <w:szCs w:val="21"/>
          <w:highlight w:val="none"/>
        </w:rPr>
        <w:t>供应商应当提供的资格证明文件包括:</w:t>
      </w:r>
    </w:p>
    <w:p>
      <w:pPr>
        <w:tabs>
          <w:tab w:val="left" w:pos="753"/>
          <w:tab w:val="left" w:pos="1113"/>
        </w:tabs>
        <w:adjustRightInd w:val="0"/>
        <w:snapToGrid w:val="0"/>
        <w:spacing w:line="360" w:lineRule="auto"/>
        <w:ind w:left="753"/>
        <w:rPr>
          <w:rFonts w:ascii="宋体" w:hAnsi="宋体"/>
          <w:bCs/>
          <w:color w:val="auto"/>
          <w:szCs w:val="21"/>
          <w:highlight w:val="none"/>
        </w:rPr>
      </w:pPr>
      <w:r>
        <w:rPr>
          <w:rFonts w:hint="eastAsia" w:ascii="宋体" w:hAnsi="宋体"/>
          <w:bCs/>
          <w:color w:val="auto"/>
          <w:szCs w:val="21"/>
          <w:highlight w:val="none"/>
        </w:rPr>
        <w:t>1)营业执照副本复印件（加盖公章）；</w:t>
      </w:r>
    </w:p>
    <w:p>
      <w:pPr>
        <w:tabs>
          <w:tab w:val="left" w:pos="753"/>
          <w:tab w:val="left" w:pos="1113"/>
        </w:tabs>
        <w:adjustRightInd w:val="0"/>
        <w:snapToGrid w:val="0"/>
        <w:spacing w:line="360" w:lineRule="auto"/>
        <w:ind w:left="753"/>
        <w:rPr>
          <w:rFonts w:ascii="宋体" w:hAnsi="宋体"/>
          <w:bCs/>
          <w:color w:val="auto"/>
          <w:szCs w:val="21"/>
          <w:highlight w:val="none"/>
        </w:rPr>
      </w:pPr>
      <w:r>
        <w:rPr>
          <w:rFonts w:hint="eastAsia" w:ascii="宋体" w:hAnsi="宋体"/>
          <w:bCs/>
          <w:color w:val="auto"/>
          <w:szCs w:val="21"/>
          <w:highlight w:val="none"/>
        </w:rPr>
        <w:t>2)如果项目有特殊要求，供应商还应当提供商务要求中列明的其他资格证明文件。</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12.2   供应商提交的资格证明文件应能够证明其有资格参加谈判，并说明被确定为成交供应商后的合同履行能力：</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1)供应商满足谈判文件商务要求中列出的资格要求；</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2)供应商已具备履行合同所需的财务、技术和服务能力；</w:t>
      </w:r>
    </w:p>
    <w:p>
      <w:pPr>
        <w:tabs>
          <w:tab w:val="left" w:pos="1255"/>
          <w:tab w:val="left" w:pos="1638"/>
        </w:tabs>
        <w:adjustRightInd w:val="0"/>
        <w:snapToGrid w:val="0"/>
        <w:spacing w:line="360" w:lineRule="auto"/>
        <w:ind w:firstLine="735" w:firstLineChars="350"/>
        <w:rPr>
          <w:rFonts w:ascii="宋体" w:hAnsi="宋体"/>
          <w:bCs/>
          <w:color w:val="auto"/>
          <w:szCs w:val="21"/>
          <w:highlight w:val="none"/>
        </w:rPr>
      </w:pPr>
      <w:r>
        <w:rPr>
          <w:rFonts w:hint="eastAsia" w:ascii="宋体" w:hAnsi="宋体"/>
          <w:bCs/>
          <w:color w:val="auto"/>
          <w:szCs w:val="21"/>
          <w:highlight w:val="none"/>
        </w:rPr>
        <w:t>3)供应商有能力按谈判文件中合同条款和技术要求所规定履行的由卖方应履行的义务。</w:t>
      </w:r>
    </w:p>
    <w:p>
      <w:pPr>
        <w:numPr>
          <w:ilvl w:val="1"/>
          <w:numId w:val="11"/>
        </w:numPr>
        <w:adjustRightInd w:val="0"/>
        <w:snapToGrid w:val="0"/>
        <w:spacing w:line="360" w:lineRule="auto"/>
        <w:ind w:left="709" w:hanging="709"/>
        <w:rPr>
          <w:rFonts w:ascii="宋体" w:hAnsi="宋体"/>
          <w:bCs/>
          <w:color w:val="auto"/>
          <w:szCs w:val="21"/>
          <w:highlight w:val="none"/>
        </w:rPr>
      </w:pPr>
      <w:r>
        <w:rPr>
          <w:rFonts w:hint="eastAsia" w:ascii="宋体" w:hAnsi="宋体"/>
          <w:bCs/>
          <w:color w:val="auto"/>
          <w:szCs w:val="21"/>
          <w:highlight w:val="none"/>
        </w:rPr>
        <w:t>供应商提交的资格证明文件不齐全，由此造成的谈判被拒绝的后果由供应商自负。</w:t>
      </w:r>
    </w:p>
    <w:p>
      <w:pPr>
        <w:numPr>
          <w:ilvl w:val="1"/>
          <w:numId w:val="11"/>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供应商对所提供的资格证明文件的真实性负全部责任。即使供应商提交的资格证明文件通过了</w:t>
      </w:r>
    </w:p>
    <w:p>
      <w:p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审核，在谈判过程中乃至定标后，如发现供应商所提供的资格证明文件不合法或不真实，代理</w:t>
      </w:r>
    </w:p>
    <w:p>
      <w:p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采购机构仍可追究供应商的法律责任。</w:t>
      </w:r>
    </w:p>
    <w:p>
      <w:pPr>
        <w:numPr>
          <w:ilvl w:val="1"/>
          <w:numId w:val="11"/>
        </w:numPr>
        <w:tabs>
          <w:tab w:val="left" w:pos="753"/>
        </w:tabs>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   如果供应商为联合体，则联合体各方应分别提交资格文件，并提供联合体协议书，以一个供应</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商的身份参加谈判。联合体协议须明确各方的权利与义务。由同一专业的单位组成的联合体，</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按照资质等级较低的单位确定资质等级。联合体成交的联合体各方应当共同与采购人签订合同，</w:t>
      </w:r>
    </w:p>
    <w:p>
      <w:pPr>
        <w:tabs>
          <w:tab w:val="left" w:pos="753"/>
        </w:tabs>
        <w:adjustRightInd w:val="0"/>
        <w:snapToGrid w:val="0"/>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就成交项目向采购人承担共同责任。</w:t>
      </w:r>
    </w:p>
    <w:p>
      <w:pPr>
        <w:pStyle w:val="6"/>
        <w:spacing w:line="360" w:lineRule="auto"/>
        <w:rPr>
          <w:rFonts w:ascii="宋体" w:hAnsi="宋体"/>
          <w:color w:val="auto"/>
          <w:sz w:val="21"/>
          <w:szCs w:val="21"/>
          <w:highlight w:val="none"/>
        </w:rPr>
      </w:pPr>
      <w:bookmarkStart w:id="129" w:name="_Toc367780318"/>
      <w:bookmarkStart w:id="130" w:name="_Toc13389"/>
      <w:bookmarkStart w:id="131" w:name="_Toc12589"/>
      <w:r>
        <w:rPr>
          <w:rFonts w:hint="eastAsia" w:ascii="宋体" w:hAnsi="宋体"/>
          <w:color w:val="auto"/>
          <w:sz w:val="21"/>
          <w:szCs w:val="21"/>
          <w:highlight w:val="none"/>
        </w:rPr>
        <w:t>13</w:t>
      </w:r>
      <w:r>
        <w:rPr>
          <w:rFonts w:hint="eastAsia" w:ascii="宋体" w:hAnsi="宋体"/>
          <w:color w:val="auto"/>
          <w:sz w:val="21"/>
          <w:szCs w:val="21"/>
          <w:highlight w:val="none"/>
        </w:rPr>
        <w:tab/>
      </w:r>
      <w:r>
        <w:rPr>
          <w:rFonts w:hint="eastAsia" w:ascii="宋体" w:hAnsi="宋体"/>
          <w:color w:val="auto"/>
          <w:sz w:val="21"/>
          <w:szCs w:val="21"/>
          <w:highlight w:val="none"/>
        </w:rPr>
        <w:t>货物和服务的证明文件</w:t>
      </w:r>
      <w:bookmarkEnd w:id="129"/>
      <w:bookmarkEnd w:id="130"/>
      <w:bookmarkEnd w:id="131"/>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13.1</w:t>
      </w:r>
      <w:r>
        <w:rPr>
          <w:rFonts w:hint="eastAsia" w:ascii="宋体" w:hAnsi="宋体"/>
          <w:bCs/>
          <w:color w:val="auto"/>
          <w:szCs w:val="21"/>
          <w:highlight w:val="none"/>
        </w:rPr>
        <w:tab/>
      </w:r>
      <w:r>
        <w:rPr>
          <w:rFonts w:hint="eastAsia" w:ascii="宋体" w:hAnsi="宋体"/>
          <w:bCs/>
          <w:color w:val="auto"/>
          <w:szCs w:val="21"/>
          <w:highlight w:val="none"/>
        </w:rPr>
        <w:t>供应商应提交其拟供的合同项下的货物和服务的合格性符合谈判文件规定的证明文件，并作为其谈判文件的一部分。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13.2</w:t>
      </w:r>
      <w:r>
        <w:rPr>
          <w:rFonts w:hint="eastAsia" w:ascii="宋体" w:hAnsi="宋体"/>
          <w:bCs/>
          <w:color w:val="auto"/>
          <w:szCs w:val="21"/>
          <w:highlight w:val="none"/>
        </w:rPr>
        <w:tab/>
      </w:r>
      <w:r>
        <w:rPr>
          <w:rFonts w:hint="eastAsia" w:ascii="宋体" w:hAnsi="宋体"/>
          <w:bCs/>
          <w:color w:val="auto"/>
          <w:szCs w:val="21"/>
          <w:highlight w:val="none"/>
        </w:rPr>
        <w:t>货物合格性的证明文件包括但不限于授权代理证书、装运货物时出具的运输单据或发票等文件。</w:t>
      </w:r>
    </w:p>
    <w:p>
      <w:pPr>
        <w:tabs>
          <w:tab w:val="left" w:pos="753"/>
        </w:tabs>
        <w:autoSpaceDE w:val="0"/>
        <w:autoSpaceDN w:val="0"/>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13.3</w:t>
      </w:r>
      <w:r>
        <w:rPr>
          <w:rFonts w:hint="eastAsia" w:ascii="宋体" w:hAnsi="宋体"/>
          <w:bCs/>
          <w:color w:val="auto"/>
          <w:szCs w:val="21"/>
          <w:highlight w:val="none"/>
        </w:rPr>
        <w:tab/>
      </w:r>
      <w:r>
        <w:rPr>
          <w:rFonts w:hint="eastAsia" w:ascii="宋体" w:hAnsi="宋体"/>
          <w:bCs/>
          <w:color w:val="auto"/>
          <w:szCs w:val="21"/>
          <w:highlight w:val="none"/>
        </w:rPr>
        <w:t>供应商提交的货物和服务的证明审核通过后，将成为谈判的重要依据。如供应商提交的证明文件不齐全、不真实、不合法，其将承担被拒绝参加谈判的风险。</w:t>
      </w:r>
    </w:p>
    <w:p>
      <w:pPr>
        <w:pStyle w:val="6"/>
        <w:spacing w:line="360" w:lineRule="auto"/>
        <w:rPr>
          <w:rFonts w:ascii="宋体" w:hAnsi="宋体"/>
          <w:color w:val="auto"/>
          <w:sz w:val="21"/>
          <w:szCs w:val="21"/>
          <w:highlight w:val="none"/>
        </w:rPr>
      </w:pPr>
      <w:bookmarkStart w:id="132" w:name="_Toc367780319"/>
      <w:bookmarkStart w:id="133" w:name="_Toc17062"/>
      <w:bookmarkStart w:id="134" w:name="_Toc30047"/>
      <w:r>
        <w:rPr>
          <w:rFonts w:ascii="宋体" w:hAnsi="宋体"/>
          <w:color w:val="auto"/>
          <w:sz w:val="21"/>
          <w:szCs w:val="21"/>
          <w:highlight w:val="none"/>
        </w:rPr>
        <w:t>14</w:t>
      </w:r>
      <w:r>
        <w:rPr>
          <w:rFonts w:hint="eastAsia" w:ascii="宋体" w:hAnsi="宋体"/>
          <w:color w:val="auto"/>
          <w:sz w:val="21"/>
          <w:szCs w:val="21"/>
          <w:highlight w:val="none"/>
        </w:rPr>
        <w:tab/>
      </w:r>
      <w:r>
        <w:rPr>
          <w:rFonts w:hint="eastAsia" w:ascii="宋体" w:hAnsi="宋体"/>
          <w:color w:val="auto"/>
          <w:sz w:val="21"/>
          <w:szCs w:val="21"/>
          <w:highlight w:val="none"/>
        </w:rPr>
        <w:t>投报价格与报价货币</w:t>
      </w:r>
      <w:bookmarkEnd w:id="132"/>
      <w:bookmarkEnd w:id="133"/>
      <w:bookmarkEnd w:id="134"/>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14.1</w:t>
      </w:r>
      <w:r>
        <w:rPr>
          <w:rFonts w:hint="eastAsia" w:ascii="宋体" w:hAnsi="宋体"/>
          <w:color w:val="auto"/>
          <w:szCs w:val="21"/>
          <w:highlight w:val="none"/>
        </w:rPr>
        <w:tab/>
      </w:r>
      <w:r>
        <w:rPr>
          <w:rFonts w:hint="eastAsia" w:ascii="宋体" w:hAnsi="宋体"/>
          <w:color w:val="auto"/>
          <w:szCs w:val="21"/>
          <w:highlight w:val="none"/>
        </w:rPr>
        <w:t>投报价格应按谈判文件第一次报价一览表和最终报价表（谈判时提供）格式填写报价清单。</w:t>
      </w:r>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14.2</w:t>
      </w:r>
      <w:r>
        <w:rPr>
          <w:rFonts w:hint="eastAsia" w:ascii="宋体" w:hAnsi="宋体"/>
          <w:color w:val="auto"/>
          <w:szCs w:val="21"/>
          <w:highlight w:val="none"/>
        </w:rPr>
        <w:tab/>
      </w:r>
      <w:r>
        <w:rPr>
          <w:rFonts w:hint="eastAsia" w:ascii="宋体" w:hAnsi="宋体"/>
          <w:bCs/>
          <w:color w:val="auto"/>
          <w:szCs w:val="21"/>
          <w:highlight w:val="none"/>
        </w:rPr>
        <w:t>供应商所报总价</w:t>
      </w:r>
      <w:r>
        <w:rPr>
          <w:rFonts w:hint="eastAsia" w:ascii="宋体" w:hAnsi="宋体"/>
          <w:color w:val="auto"/>
          <w:szCs w:val="21"/>
          <w:highlight w:val="none"/>
        </w:rPr>
        <w:t>应为包括</w:t>
      </w:r>
      <w:r>
        <w:rPr>
          <w:rFonts w:hint="eastAsia" w:ascii="宋体" w:hAnsi="宋体" w:cs="Tahoma"/>
          <w:bCs/>
          <w:color w:val="auto"/>
          <w:szCs w:val="21"/>
          <w:highlight w:val="none"/>
        </w:rPr>
        <w:t>完成该项目发生的全部费用（包含高温补贴、岗位津贴、非正常工作时间工资等费用），合同期间内采购人不再另行支付任何费用。</w:t>
      </w:r>
    </w:p>
    <w:p>
      <w:pPr>
        <w:tabs>
          <w:tab w:val="left" w:pos="753"/>
        </w:tabs>
        <w:adjustRightInd w:val="0"/>
        <w:snapToGrid w:val="0"/>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14.3</w:t>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报价的评审以最终报价为准；若大写和小写表示的金额之间有差异，则以大写金额为准，并对小写金额作相应的修正。</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color w:val="auto"/>
          <w:szCs w:val="21"/>
          <w:highlight w:val="none"/>
        </w:rPr>
        <w:t xml:space="preserve">14.4   </w:t>
      </w:r>
      <w:r>
        <w:rPr>
          <w:rFonts w:hint="eastAsia" w:ascii="宋体" w:hAnsi="宋体"/>
          <w:bCs/>
          <w:color w:val="auto"/>
          <w:szCs w:val="21"/>
          <w:highlight w:val="none"/>
        </w:rPr>
        <w:t>投报价格一律用人民币填报。</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14.5   供应商在谈判响应文件中如有任何遗漏，影响到谈判响应文件中规定的范围、质量、性能或限制了采购人的权利和供应商的义务，由此产生的费用由供应商负责。</w:t>
      </w:r>
    </w:p>
    <w:p>
      <w:pPr>
        <w:pStyle w:val="6"/>
        <w:spacing w:line="360" w:lineRule="auto"/>
        <w:rPr>
          <w:rFonts w:ascii="宋体" w:hAnsi="宋体"/>
          <w:color w:val="auto"/>
          <w:sz w:val="21"/>
          <w:szCs w:val="21"/>
          <w:highlight w:val="none"/>
        </w:rPr>
      </w:pPr>
      <w:bookmarkStart w:id="135" w:name="_Toc367780320"/>
      <w:bookmarkStart w:id="136" w:name="_Toc7947"/>
      <w:bookmarkStart w:id="137" w:name="_Toc30013"/>
      <w:r>
        <w:rPr>
          <w:rFonts w:ascii="宋体" w:hAnsi="宋体"/>
          <w:color w:val="auto"/>
          <w:sz w:val="21"/>
          <w:szCs w:val="21"/>
          <w:highlight w:val="none"/>
        </w:rPr>
        <w:t>15</w:t>
      </w:r>
      <w:r>
        <w:rPr>
          <w:rFonts w:hint="eastAsia" w:ascii="宋体" w:hAnsi="宋体"/>
          <w:color w:val="auto"/>
          <w:sz w:val="21"/>
          <w:szCs w:val="21"/>
          <w:highlight w:val="none"/>
        </w:rPr>
        <w:tab/>
      </w:r>
      <w:r>
        <w:rPr>
          <w:rFonts w:hint="eastAsia" w:ascii="宋体" w:hAnsi="宋体"/>
          <w:color w:val="auto"/>
          <w:sz w:val="21"/>
          <w:szCs w:val="21"/>
          <w:highlight w:val="none"/>
        </w:rPr>
        <w:t>谈判保证金</w:t>
      </w:r>
      <w:bookmarkEnd w:id="135"/>
      <w:bookmarkEnd w:id="136"/>
      <w:bookmarkEnd w:id="137"/>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谈判保证金为谈判响应文件的重要组成部分之一。</w:t>
      </w:r>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投标供应商在投标时应按照谈判文件商务要求中规定的形式和金额提交投标保证金。</w:t>
      </w:r>
    </w:p>
    <w:p>
      <w:pPr>
        <w:widowControl/>
        <w:numPr>
          <w:ilvl w:val="1"/>
          <w:numId w:val="12"/>
        </w:numPr>
        <w:tabs>
          <w:tab w:val="left" w:pos="753"/>
          <w:tab w:val="clear" w:pos="630"/>
        </w:tabs>
        <w:adjustRightInd w:val="0"/>
        <w:snapToGrid w:val="0"/>
        <w:spacing w:line="360" w:lineRule="auto"/>
        <w:ind w:left="753" w:hanging="753"/>
        <w:rPr>
          <w:rFonts w:ascii="宋体" w:hAnsi="宋体"/>
          <w:bCs/>
          <w:color w:val="auto"/>
          <w:szCs w:val="21"/>
          <w:highlight w:val="none"/>
        </w:rPr>
      </w:pPr>
      <w:r>
        <w:rPr>
          <w:rFonts w:hint="eastAsia" w:ascii="宋体" w:hAnsi="宋体"/>
          <w:bCs/>
          <w:color w:val="auto"/>
          <w:szCs w:val="21"/>
          <w:highlight w:val="none"/>
        </w:rPr>
        <w:t>凡未按本须知第15.2条规定提交有效谈判保证金的供应商将被拒绝参加谈判。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4</w:t>
      </w:r>
      <w:r>
        <w:rPr>
          <w:rFonts w:ascii="宋体" w:hAnsi="宋体"/>
          <w:bCs/>
          <w:color w:val="auto"/>
          <w:szCs w:val="21"/>
          <w:highlight w:val="none"/>
        </w:rPr>
        <w:tab/>
      </w:r>
      <w:r>
        <w:rPr>
          <w:rFonts w:hint="eastAsia" w:ascii="宋体" w:hAnsi="宋体"/>
          <w:bCs/>
          <w:color w:val="auto"/>
          <w:szCs w:val="21"/>
          <w:highlight w:val="none"/>
        </w:rPr>
        <w:t>未成交的供应商的谈判保证金，采购代理机构</w:t>
      </w:r>
      <w:r>
        <w:rPr>
          <w:rFonts w:hint="eastAsia" w:ascii="宋体" w:hAnsi="宋体"/>
          <w:bCs/>
          <w:color w:val="auto"/>
          <w:highlight w:val="none"/>
        </w:rPr>
        <w:t>应当自成交通知书发出之日起5个工作日内无息退还。</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5</w:t>
      </w:r>
      <w:r>
        <w:rPr>
          <w:rFonts w:ascii="宋体" w:hAnsi="宋体"/>
          <w:bCs/>
          <w:color w:val="auto"/>
          <w:szCs w:val="21"/>
          <w:highlight w:val="none"/>
        </w:rPr>
        <w:tab/>
      </w:r>
      <w:r>
        <w:rPr>
          <w:rFonts w:hint="eastAsia" w:ascii="宋体" w:hAnsi="宋体"/>
          <w:bCs/>
          <w:color w:val="auto"/>
          <w:szCs w:val="21"/>
          <w:highlight w:val="none"/>
        </w:rPr>
        <w:t>成交供应商的谈判保证金</w:t>
      </w:r>
      <w:r>
        <w:rPr>
          <w:rFonts w:ascii="宋体" w:hAnsi="宋体"/>
          <w:bCs/>
          <w:color w:val="auto"/>
          <w:szCs w:val="21"/>
          <w:highlight w:val="none"/>
        </w:rPr>
        <w:t>，</w:t>
      </w:r>
      <w:r>
        <w:rPr>
          <w:rFonts w:hint="eastAsia" w:ascii="宋体" w:hAnsi="宋体"/>
          <w:bCs/>
          <w:color w:val="auto"/>
          <w:szCs w:val="21"/>
          <w:highlight w:val="none"/>
        </w:rPr>
        <w:t>在签订合同，缴纳采购代理服务费后</w:t>
      </w:r>
      <w:r>
        <w:rPr>
          <w:rFonts w:hint="eastAsia" w:ascii="宋体" w:hAnsi="宋体"/>
          <w:bCs/>
          <w:color w:val="auto"/>
          <w:highlight w:val="none"/>
        </w:rPr>
        <w:t>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15.</w:t>
      </w:r>
      <w:r>
        <w:rPr>
          <w:rFonts w:hint="eastAsia" w:ascii="宋体" w:hAnsi="宋体"/>
          <w:bCs/>
          <w:color w:val="auto"/>
          <w:szCs w:val="21"/>
          <w:highlight w:val="none"/>
        </w:rPr>
        <w:t>6</w:t>
      </w:r>
      <w:r>
        <w:rPr>
          <w:rFonts w:ascii="宋体" w:hAnsi="宋体"/>
          <w:bCs/>
          <w:color w:val="auto"/>
          <w:szCs w:val="21"/>
          <w:highlight w:val="none"/>
        </w:rPr>
        <w:tab/>
      </w:r>
      <w:r>
        <w:rPr>
          <w:rFonts w:hint="eastAsia" w:ascii="宋体" w:hAnsi="宋体"/>
          <w:bCs/>
          <w:color w:val="auto"/>
          <w:szCs w:val="21"/>
          <w:highlight w:val="none"/>
        </w:rPr>
        <w:t>谈判保证金用于保护本次谈判免遭因供应商的行为而蒙受的损失。发生以下情况之一，谈判保证金将被没收：</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供应商在谈判文件中规定的投标有效期内撤回其报价资料的；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成交供应商未能按谈判文件的有关规定交纳采购代理服务费的；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成交供应商未能按谈判文件的规定签订合同的；</w:t>
      </w:r>
    </w:p>
    <w:p>
      <w:pPr>
        <w:widowControl/>
        <w:numPr>
          <w:ilvl w:val="2"/>
          <w:numId w:val="13"/>
        </w:numPr>
        <w:tabs>
          <w:tab w:val="left" w:pos="753"/>
          <w:tab w:val="left" w:pos="1255"/>
          <w:tab w:val="clear" w:pos="2838"/>
        </w:tabs>
        <w:adjustRightInd w:val="0"/>
        <w:snapToGrid w:val="0"/>
        <w:spacing w:line="360" w:lineRule="auto"/>
        <w:ind w:left="2087" w:hanging="2087"/>
        <w:rPr>
          <w:rFonts w:ascii="宋体" w:hAnsi="宋体"/>
          <w:bCs/>
          <w:color w:val="auto"/>
          <w:szCs w:val="21"/>
          <w:highlight w:val="none"/>
        </w:rPr>
      </w:pPr>
      <w:r>
        <w:rPr>
          <w:rFonts w:hint="eastAsia" w:ascii="宋体" w:hAnsi="宋体"/>
          <w:bCs/>
          <w:color w:val="auto"/>
          <w:szCs w:val="21"/>
          <w:highlight w:val="none"/>
        </w:rPr>
        <w:t>成交供应商以他人名义参加谈判或者以其他方式弄虚作假，骗取成交的。</w:t>
      </w:r>
    </w:p>
    <w:p>
      <w:pPr>
        <w:pStyle w:val="6"/>
        <w:spacing w:line="360" w:lineRule="auto"/>
        <w:rPr>
          <w:rFonts w:ascii="宋体" w:hAnsi="宋体"/>
          <w:color w:val="auto"/>
          <w:sz w:val="21"/>
          <w:szCs w:val="21"/>
          <w:highlight w:val="none"/>
        </w:rPr>
      </w:pPr>
      <w:bookmarkStart w:id="138" w:name="_Toc32302"/>
      <w:bookmarkStart w:id="139" w:name="_Toc367780321"/>
      <w:bookmarkStart w:id="140" w:name="_Toc31621"/>
      <w:r>
        <w:rPr>
          <w:rFonts w:ascii="宋体" w:hAnsi="宋体"/>
          <w:color w:val="auto"/>
          <w:sz w:val="21"/>
          <w:szCs w:val="21"/>
          <w:highlight w:val="none"/>
        </w:rPr>
        <w:t>16</w:t>
      </w:r>
      <w:r>
        <w:rPr>
          <w:rFonts w:hint="eastAsia" w:ascii="宋体" w:hAnsi="宋体"/>
          <w:color w:val="auto"/>
          <w:sz w:val="21"/>
          <w:szCs w:val="21"/>
          <w:highlight w:val="none"/>
        </w:rPr>
        <w:tab/>
      </w:r>
      <w:r>
        <w:rPr>
          <w:rFonts w:hint="eastAsia" w:ascii="宋体" w:hAnsi="宋体"/>
          <w:color w:val="auto"/>
          <w:sz w:val="21"/>
          <w:szCs w:val="21"/>
          <w:highlight w:val="none"/>
        </w:rPr>
        <w:t>谈判有效期</w:t>
      </w:r>
      <w:bookmarkEnd w:id="138"/>
      <w:bookmarkEnd w:id="139"/>
      <w:bookmarkEnd w:id="140"/>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16.1</w:t>
      </w:r>
      <w:r>
        <w:rPr>
          <w:rFonts w:hint="eastAsia" w:ascii="宋体" w:hAnsi="宋体"/>
          <w:bCs/>
          <w:color w:val="auto"/>
          <w:szCs w:val="21"/>
          <w:highlight w:val="none"/>
        </w:rPr>
        <w:tab/>
      </w:r>
      <w:r>
        <w:rPr>
          <w:rFonts w:hint="eastAsia" w:ascii="宋体" w:hAnsi="宋体"/>
          <w:bCs/>
          <w:color w:val="auto"/>
          <w:szCs w:val="21"/>
          <w:highlight w:val="none"/>
        </w:rPr>
        <w:t>谈判有效期应从谈判之日起计算，本项目的投标有效期为90天。</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16.2</w:t>
      </w:r>
      <w:r>
        <w:rPr>
          <w:rFonts w:hint="eastAsia" w:ascii="宋体" w:hAnsi="宋体"/>
          <w:bCs/>
          <w:color w:val="auto"/>
          <w:szCs w:val="21"/>
          <w:highlight w:val="none"/>
        </w:rPr>
        <w:tab/>
      </w:r>
      <w:r>
        <w:rPr>
          <w:rFonts w:hint="eastAsia" w:ascii="宋体" w:hAnsi="宋体"/>
          <w:bCs/>
          <w:color w:val="auto"/>
          <w:szCs w:val="21"/>
          <w:highlight w:val="none"/>
        </w:rPr>
        <w:t>在特殊情况下，代理采购机构可于原谈判有效期截止之前要求供应商同意延长有效期，要求与答复均应为书面形式。供应商可以拒绝上述要求而其谈判保证金不被没收。有关退还和没收谈判保证金的规定在谈判有效期的延长期内继续有效。</w:t>
      </w:r>
    </w:p>
    <w:p>
      <w:pPr>
        <w:pStyle w:val="6"/>
        <w:spacing w:line="360" w:lineRule="auto"/>
        <w:rPr>
          <w:rFonts w:ascii="宋体" w:hAnsi="宋体"/>
          <w:color w:val="auto"/>
          <w:sz w:val="21"/>
          <w:szCs w:val="21"/>
          <w:highlight w:val="none"/>
        </w:rPr>
      </w:pPr>
      <w:bookmarkStart w:id="141" w:name="_Toc367780322"/>
      <w:bookmarkStart w:id="142" w:name="_Toc20351"/>
      <w:bookmarkStart w:id="143" w:name="_Toc10679"/>
      <w:r>
        <w:rPr>
          <w:rFonts w:ascii="宋体" w:hAnsi="宋体"/>
          <w:color w:val="auto"/>
          <w:sz w:val="21"/>
          <w:szCs w:val="21"/>
          <w:highlight w:val="none"/>
        </w:rPr>
        <w:t>17</w:t>
      </w:r>
      <w:r>
        <w:rPr>
          <w:rFonts w:hint="eastAsia" w:ascii="宋体" w:hAnsi="宋体"/>
          <w:color w:val="auto"/>
          <w:sz w:val="21"/>
          <w:szCs w:val="21"/>
          <w:highlight w:val="none"/>
        </w:rPr>
        <w:tab/>
      </w:r>
      <w:r>
        <w:rPr>
          <w:rFonts w:hint="eastAsia" w:ascii="宋体" w:hAnsi="宋体"/>
          <w:color w:val="auto"/>
          <w:sz w:val="21"/>
          <w:szCs w:val="21"/>
          <w:highlight w:val="none"/>
        </w:rPr>
        <w:t>谈判响</w:t>
      </w:r>
      <w:r>
        <w:rPr>
          <w:rFonts w:hint="eastAsia" w:ascii="宋体" w:hAnsi="宋体"/>
          <w:color w:val="auto"/>
          <w:sz w:val="21"/>
          <w:szCs w:val="21"/>
          <w:highlight w:val="none"/>
        </w:rPr>
        <w:t>应文件的签署及规定</w:t>
      </w:r>
      <w:bookmarkEnd w:id="141"/>
      <w:bookmarkEnd w:id="142"/>
      <w:bookmarkEnd w:id="143"/>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17.1</w:t>
      </w:r>
      <w:r>
        <w:rPr>
          <w:rFonts w:hint="eastAsia" w:ascii="宋体" w:hAnsi="宋体"/>
          <w:bCs/>
          <w:color w:val="auto"/>
          <w:szCs w:val="21"/>
          <w:highlight w:val="none"/>
        </w:rPr>
        <w:tab/>
      </w:r>
      <w:r>
        <w:rPr>
          <w:rFonts w:hint="eastAsia" w:ascii="宋体" w:hAnsi="宋体"/>
          <w:bCs/>
          <w:color w:val="auto"/>
          <w:szCs w:val="21"/>
          <w:highlight w:val="none"/>
        </w:rPr>
        <w:t>供应商应准备正本和副本，在每一份谈判响应文件上要明确标明“正本”或“副本”。如正本的内容和副本不符，以正本为准</w:t>
      </w:r>
      <w:r>
        <w:rPr>
          <w:rFonts w:hint="eastAsia" w:ascii="宋体"/>
          <w:bCs/>
          <w:color w:val="auto"/>
          <w:highlight w:val="none"/>
        </w:rPr>
        <w:t>（注：谈判文件副本可为正本的复印件）。</w:t>
      </w:r>
      <w:r>
        <w:rPr>
          <w:rFonts w:hint="eastAsia" w:ascii="宋体" w:hAnsi="宋体"/>
          <w:bCs/>
          <w:color w:val="auto"/>
          <w:highlight w:val="none"/>
        </w:rPr>
        <w:t>电子文件</w:t>
      </w:r>
      <w:r>
        <w:rPr>
          <w:rFonts w:hint="eastAsia" w:ascii="宋体" w:hAnsi="宋体"/>
          <w:color w:val="auto"/>
          <w:szCs w:val="21"/>
          <w:highlight w:val="none"/>
        </w:rPr>
        <w:t>只接受PDF格式的电子文件</w:t>
      </w:r>
      <w:r>
        <w:rPr>
          <w:rFonts w:hint="eastAsia"/>
          <w:color w:val="auto"/>
          <w:szCs w:val="21"/>
          <w:highlight w:val="none"/>
        </w:rPr>
        <w:t>（电子文件须单独密封，在封皮上注明“（公司名称）投标电子版”并加盖公章）。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17.2</w:t>
      </w:r>
      <w:r>
        <w:rPr>
          <w:rFonts w:hint="eastAsia" w:ascii="宋体" w:hAnsi="宋体"/>
          <w:bCs/>
          <w:color w:val="auto"/>
          <w:szCs w:val="21"/>
          <w:highlight w:val="none"/>
        </w:rPr>
        <w:tab/>
      </w:r>
      <w:r>
        <w:rPr>
          <w:rFonts w:hint="eastAsia" w:ascii="宋体" w:hAnsi="宋体"/>
          <w:bCs/>
          <w:color w:val="auto"/>
          <w:szCs w:val="21"/>
          <w:highlight w:val="none"/>
        </w:rPr>
        <w:t>谈判响应文件正本和副本均须打印或用不褪色书写工具书写，并由供应商的法定代表人（负责人）或经法定代表人（负责人）正式授权并对供应商有约束力的代表签字。供应商须将以书面形式出具的“法定代表人（负责人）授权委托书”附在谈判响应文件中。谈判响应文件的副本亦可采用正本的复印件。</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17.3</w:t>
      </w:r>
      <w:r>
        <w:rPr>
          <w:rFonts w:hint="eastAsia" w:ascii="宋体" w:hAnsi="宋体"/>
          <w:bCs/>
          <w:color w:val="auto"/>
          <w:szCs w:val="21"/>
          <w:highlight w:val="none"/>
        </w:rPr>
        <w:tab/>
      </w:r>
      <w:r>
        <w:rPr>
          <w:rFonts w:hint="eastAsia" w:ascii="宋体" w:hAnsi="宋体"/>
          <w:bCs/>
          <w:color w:val="auto"/>
          <w:szCs w:val="21"/>
          <w:highlight w:val="none"/>
        </w:rPr>
        <w:t>除供应商对差错处做必要修改外，谈判响应文件中不许有行间插字、涂改或增删，如有修改错漏处，必须由签署谈判响应文件的人签字或盖章</w:t>
      </w:r>
      <w:r>
        <w:rPr>
          <w:rFonts w:hint="eastAsia" w:ascii="宋体"/>
          <w:bCs/>
          <w:color w:val="auto"/>
          <w:highlight w:val="none"/>
        </w:rPr>
        <w:t>并在修改错漏处加盖公章</w:t>
      </w:r>
      <w:r>
        <w:rPr>
          <w:rFonts w:hint="eastAsia" w:ascii="宋体" w:hAnsi="宋体"/>
          <w:bCs/>
          <w:color w:val="auto"/>
          <w:szCs w:val="21"/>
          <w:highlight w:val="none"/>
        </w:rPr>
        <w:t>，以示负责。</w:t>
      </w:r>
    </w:p>
    <w:p>
      <w:pPr>
        <w:pStyle w:val="4"/>
        <w:numPr>
          <w:ilvl w:val="1"/>
          <w:numId w:val="0"/>
        </w:numPr>
        <w:spacing w:before="240" w:after="240" w:line="360" w:lineRule="auto"/>
        <w:rPr>
          <w:rFonts w:ascii="宋体" w:hAnsi="宋体" w:eastAsia="宋体"/>
          <w:color w:val="auto"/>
          <w:sz w:val="21"/>
          <w:szCs w:val="21"/>
          <w:highlight w:val="none"/>
        </w:rPr>
      </w:pPr>
      <w:bookmarkStart w:id="144" w:name="_Toc19062"/>
      <w:bookmarkStart w:id="145" w:name="_Toc17868"/>
      <w:bookmarkStart w:id="146" w:name="_Toc367780323"/>
      <w:r>
        <w:rPr>
          <w:rFonts w:hint="eastAsia" w:ascii="宋体" w:hAnsi="宋体" w:eastAsia="宋体"/>
          <w:color w:val="auto"/>
          <w:sz w:val="21"/>
          <w:szCs w:val="21"/>
          <w:highlight w:val="none"/>
        </w:rPr>
        <w:t>Ｄ谈判响应文件的递交</w:t>
      </w:r>
      <w:bookmarkEnd w:id="144"/>
      <w:bookmarkEnd w:id="145"/>
      <w:bookmarkEnd w:id="146"/>
    </w:p>
    <w:p>
      <w:pPr>
        <w:pStyle w:val="6"/>
        <w:spacing w:line="360" w:lineRule="auto"/>
        <w:rPr>
          <w:rFonts w:ascii="宋体" w:hAnsi="宋体"/>
          <w:color w:val="auto"/>
          <w:sz w:val="21"/>
          <w:szCs w:val="21"/>
          <w:highlight w:val="none"/>
        </w:rPr>
      </w:pPr>
      <w:bookmarkStart w:id="147" w:name="_Toc367780324"/>
      <w:bookmarkStart w:id="148" w:name="_Toc23272"/>
      <w:bookmarkStart w:id="149" w:name="_Toc16599"/>
      <w:r>
        <w:rPr>
          <w:rFonts w:ascii="宋体" w:hAnsi="宋体"/>
          <w:color w:val="auto"/>
          <w:sz w:val="21"/>
          <w:szCs w:val="21"/>
          <w:highlight w:val="none"/>
        </w:rPr>
        <w:t>18</w:t>
      </w:r>
      <w:r>
        <w:rPr>
          <w:rFonts w:hint="eastAsia" w:ascii="宋体" w:hAnsi="宋体"/>
          <w:color w:val="auto"/>
          <w:sz w:val="21"/>
          <w:szCs w:val="21"/>
          <w:highlight w:val="none"/>
        </w:rPr>
        <w:tab/>
      </w:r>
      <w:r>
        <w:rPr>
          <w:rFonts w:hint="eastAsia" w:ascii="宋体" w:hAnsi="宋体"/>
          <w:color w:val="auto"/>
          <w:sz w:val="21"/>
          <w:szCs w:val="21"/>
          <w:highlight w:val="none"/>
        </w:rPr>
        <w:t>谈判响应文件的密封和标记</w:t>
      </w:r>
      <w:bookmarkEnd w:id="147"/>
      <w:bookmarkEnd w:id="148"/>
      <w:bookmarkEnd w:id="149"/>
    </w:p>
    <w:p>
      <w:pPr>
        <w:widowControl/>
        <w:tabs>
          <w:tab w:val="left" w:pos="251"/>
        </w:tabs>
        <w:adjustRightInd w:val="0"/>
        <w:snapToGrid w:val="0"/>
        <w:spacing w:line="360" w:lineRule="auto"/>
        <w:ind w:left="751" w:leftChars="1" w:hanging="749" w:hangingChars="357"/>
        <w:rPr>
          <w:rFonts w:ascii="宋体" w:hAnsi="宋体"/>
          <w:bCs/>
          <w:color w:val="auto"/>
          <w:szCs w:val="21"/>
          <w:highlight w:val="none"/>
        </w:rPr>
      </w:pPr>
      <w:r>
        <w:rPr>
          <w:rFonts w:hint="eastAsia"/>
          <w:color w:val="auto"/>
          <w:highlight w:val="none"/>
        </w:rPr>
        <w:tab/>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w:t>
      </w:r>
    </w:p>
    <w:p>
      <w:pPr>
        <w:pStyle w:val="6"/>
        <w:spacing w:line="360" w:lineRule="auto"/>
        <w:rPr>
          <w:rFonts w:ascii="宋体" w:hAnsi="宋体"/>
          <w:color w:val="auto"/>
          <w:sz w:val="21"/>
          <w:szCs w:val="21"/>
          <w:highlight w:val="none"/>
        </w:rPr>
      </w:pPr>
      <w:bookmarkStart w:id="150" w:name="_Toc13169"/>
      <w:bookmarkStart w:id="151" w:name="_Toc8145"/>
      <w:bookmarkStart w:id="152" w:name="_Toc367780325"/>
      <w:r>
        <w:rPr>
          <w:rFonts w:hint="eastAsia" w:ascii="宋体" w:hAnsi="宋体"/>
          <w:color w:val="auto"/>
          <w:sz w:val="21"/>
          <w:szCs w:val="21"/>
          <w:highlight w:val="none"/>
        </w:rPr>
        <w:t>19</w:t>
      </w:r>
      <w:r>
        <w:rPr>
          <w:rFonts w:hint="eastAsia" w:ascii="宋体" w:hAnsi="宋体"/>
          <w:color w:val="auto"/>
          <w:sz w:val="21"/>
          <w:szCs w:val="21"/>
          <w:highlight w:val="none"/>
        </w:rPr>
        <w:tab/>
      </w:r>
      <w:r>
        <w:rPr>
          <w:rFonts w:hint="eastAsia" w:ascii="宋体" w:hAnsi="宋体"/>
          <w:color w:val="auto"/>
          <w:sz w:val="21"/>
          <w:szCs w:val="21"/>
          <w:highlight w:val="none"/>
        </w:rPr>
        <w:t>递交谈判响应文件的时间、地点及截止时间</w:t>
      </w:r>
      <w:bookmarkEnd w:id="150"/>
      <w:bookmarkEnd w:id="151"/>
      <w:bookmarkEnd w:id="152"/>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19.1</w:t>
      </w:r>
      <w:r>
        <w:rPr>
          <w:rFonts w:hint="eastAsia" w:ascii="宋体" w:hAnsi="宋体"/>
          <w:bCs/>
          <w:color w:val="auto"/>
          <w:szCs w:val="21"/>
          <w:highlight w:val="none"/>
        </w:rPr>
        <w:tab/>
      </w:r>
      <w:r>
        <w:rPr>
          <w:rFonts w:hint="eastAsia" w:ascii="宋体" w:hAnsi="宋体"/>
          <w:bCs/>
          <w:color w:val="auto"/>
          <w:szCs w:val="21"/>
          <w:highlight w:val="none"/>
        </w:rPr>
        <w:t>递交谈判响应文件的地点与谈判地点为同一地点；谈判响应文件接</w:t>
      </w:r>
      <w:r>
        <w:rPr>
          <w:rFonts w:hint="eastAsia" w:ascii="宋体" w:hAnsi="宋体"/>
          <w:bCs/>
          <w:color w:val="auto"/>
          <w:szCs w:val="21"/>
          <w:highlight w:val="none"/>
        </w:rPr>
        <w:t>收截止时间与谈判开始时间为同一时间。</w:t>
      </w:r>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19.2</w:t>
      </w:r>
      <w:r>
        <w:rPr>
          <w:rFonts w:hint="eastAsia" w:ascii="宋体" w:hAnsi="宋体"/>
          <w:bCs/>
          <w:color w:val="auto"/>
          <w:szCs w:val="21"/>
          <w:highlight w:val="none"/>
        </w:rPr>
        <w:tab/>
      </w:r>
      <w:r>
        <w:rPr>
          <w:rFonts w:hint="eastAsia" w:ascii="宋体" w:hAnsi="宋体"/>
          <w:bCs/>
          <w:color w:val="auto"/>
          <w:szCs w:val="21"/>
          <w:highlight w:val="none"/>
        </w:rPr>
        <w:t>代理采购机构于投标截止时间前30分钟开始接收谈判响应文件，并于谈判文件规定的谈判时间和谈判地点进行谈判。提前、逾期递交或递交不符合规定的谈判响应文件恕不接受。</w:t>
      </w:r>
    </w:p>
    <w:p>
      <w:pPr>
        <w:pStyle w:val="6"/>
        <w:spacing w:line="360" w:lineRule="auto"/>
        <w:rPr>
          <w:rFonts w:ascii="宋体" w:hAnsi="宋体"/>
          <w:color w:val="auto"/>
          <w:sz w:val="21"/>
          <w:szCs w:val="21"/>
          <w:highlight w:val="none"/>
        </w:rPr>
      </w:pPr>
      <w:bookmarkStart w:id="153" w:name="_Toc5314"/>
      <w:bookmarkStart w:id="154" w:name="_Toc9828"/>
      <w:bookmarkStart w:id="155" w:name="_Toc367780326"/>
      <w:r>
        <w:rPr>
          <w:rFonts w:ascii="宋体" w:hAnsi="宋体"/>
          <w:color w:val="auto"/>
          <w:sz w:val="21"/>
          <w:szCs w:val="21"/>
          <w:highlight w:val="none"/>
        </w:rPr>
        <w:t>20</w:t>
      </w:r>
      <w:r>
        <w:rPr>
          <w:rFonts w:hint="eastAsia" w:ascii="宋体" w:hAnsi="宋体"/>
          <w:color w:val="auto"/>
          <w:sz w:val="21"/>
          <w:szCs w:val="21"/>
          <w:highlight w:val="none"/>
        </w:rPr>
        <w:tab/>
      </w:r>
      <w:r>
        <w:rPr>
          <w:rFonts w:hint="eastAsia" w:ascii="宋体" w:hAnsi="宋体"/>
          <w:color w:val="auto"/>
          <w:sz w:val="21"/>
          <w:szCs w:val="21"/>
          <w:highlight w:val="none"/>
        </w:rPr>
        <w:t>迟交的谈判响应文件</w:t>
      </w:r>
      <w:bookmarkEnd w:id="153"/>
      <w:bookmarkEnd w:id="154"/>
      <w:bookmarkEnd w:id="155"/>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w:t>
      </w:r>
      <w:r>
        <w:rPr>
          <w:rFonts w:hint="eastAsia" w:ascii="宋体" w:hAnsi="宋体"/>
          <w:bCs/>
          <w:color w:val="auto"/>
          <w:szCs w:val="21"/>
          <w:highlight w:val="none"/>
        </w:rPr>
        <w:t>0</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代理采购机构将拒绝在谈判截止时间后送达的谈判响应文件。</w:t>
      </w:r>
    </w:p>
    <w:p>
      <w:pPr>
        <w:pStyle w:val="6"/>
        <w:spacing w:line="360" w:lineRule="auto"/>
        <w:rPr>
          <w:rFonts w:ascii="宋体" w:hAnsi="宋体"/>
          <w:color w:val="auto"/>
          <w:sz w:val="21"/>
          <w:szCs w:val="21"/>
          <w:highlight w:val="none"/>
        </w:rPr>
      </w:pPr>
      <w:bookmarkStart w:id="156" w:name="_Toc18773"/>
      <w:bookmarkStart w:id="157" w:name="_Toc367780327"/>
      <w:bookmarkStart w:id="158" w:name="_Toc14785"/>
      <w:r>
        <w:rPr>
          <w:rFonts w:ascii="宋体" w:hAnsi="宋体"/>
          <w:color w:val="auto"/>
          <w:sz w:val="21"/>
          <w:szCs w:val="21"/>
          <w:highlight w:val="none"/>
        </w:rPr>
        <w:t>21</w:t>
      </w:r>
      <w:r>
        <w:rPr>
          <w:rFonts w:hint="eastAsia" w:ascii="宋体" w:hAnsi="宋体"/>
          <w:color w:val="auto"/>
          <w:sz w:val="21"/>
          <w:szCs w:val="21"/>
          <w:highlight w:val="none"/>
        </w:rPr>
        <w:tab/>
      </w:r>
      <w:r>
        <w:rPr>
          <w:rFonts w:hint="eastAsia" w:ascii="宋体" w:hAnsi="宋体"/>
          <w:color w:val="auto"/>
          <w:sz w:val="21"/>
          <w:szCs w:val="21"/>
          <w:highlight w:val="none"/>
        </w:rPr>
        <w:t>谈判响应文件的修改和撤回</w:t>
      </w:r>
      <w:bookmarkEnd w:id="156"/>
      <w:bookmarkEnd w:id="157"/>
      <w:bookmarkEnd w:id="158"/>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21.1</w:t>
      </w:r>
      <w:r>
        <w:rPr>
          <w:rFonts w:hint="eastAsia" w:ascii="宋体" w:hAnsi="宋体"/>
          <w:bCs/>
          <w:color w:val="auto"/>
          <w:szCs w:val="21"/>
          <w:highlight w:val="none"/>
        </w:rPr>
        <w:tab/>
      </w:r>
      <w:r>
        <w:rPr>
          <w:rFonts w:hint="eastAsia" w:ascii="宋体" w:hAnsi="宋体"/>
          <w:bCs/>
          <w:color w:val="auto"/>
          <w:szCs w:val="21"/>
          <w:highlight w:val="none"/>
        </w:rPr>
        <w:t>供应商在提交谈判响应文件后，可以修改或撤回其谈判响应文件。但代理采购机构必须在规定的递交谈判响应文件截止时间之前收到供应商发出的书面通知，该通知须有供应商法定代表人（负责人）或其授权代表签字。</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21.2</w:t>
      </w:r>
      <w:r>
        <w:rPr>
          <w:rFonts w:hint="eastAsia" w:ascii="宋体" w:hAnsi="宋体"/>
          <w:bCs/>
          <w:color w:val="auto"/>
          <w:szCs w:val="21"/>
          <w:highlight w:val="none"/>
        </w:rPr>
        <w:tab/>
      </w:r>
      <w:r>
        <w:rPr>
          <w:rFonts w:hint="eastAsia" w:ascii="宋体" w:hAnsi="宋体"/>
          <w:bCs/>
          <w:color w:val="auto"/>
          <w:szCs w:val="21"/>
          <w:highlight w:val="none"/>
        </w:rPr>
        <w:t>供应商对谈判响应文件修改的书面材料或撤销的通知应注明“修改谈判响应文件”或“撤销谈判”字样。</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ascii="宋体" w:hAnsi="宋体"/>
          <w:bCs/>
          <w:color w:val="auto"/>
          <w:szCs w:val="21"/>
          <w:highlight w:val="none"/>
        </w:rPr>
        <w:t>21.3</w:t>
      </w:r>
      <w:r>
        <w:rPr>
          <w:rFonts w:hint="eastAsia" w:ascii="宋体" w:hAnsi="宋体"/>
          <w:bCs/>
          <w:color w:val="auto"/>
          <w:szCs w:val="21"/>
          <w:highlight w:val="none"/>
        </w:rPr>
        <w:tab/>
      </w:r>
      <w:r>
        <w:rPr>
          <w:rFonts w:hint="eastAsia" w:ascii="宋体" w:hAnsi="宋体"/>
          <w:bCs/>
          <w:color w:val="auto"/>
          <w:szCs w:val="21"/>
          <w:highlight w:val="none"/>
        </w:rPr>
        <w:t>从谈判截止时间至谈判有效期期满之前，供应商不得撤回其报价资料，否则代理采购机构将按规定没收其谈判保证金。</w:t>
      </w:r>
    </w:p>
    <w:p>
      <w:pPr>
        <w:pStyle w:val="4"/>
        <w:numPr>
          <w:ilvl w:val="1"/>
          <w:numId w:val="0"/>
        </w:numPr>
        <w:spacing w:before="240" w:after="240" w:line="360" w:lineRule="auto"/>
        <w:rPr>
          <w:rFonts w:ascii="宋体" w:hAnsi="宋体" w:eastAsia="宋体"/>
          <w:color w:val="auto"/>
          <w:sz w:val="21"/>
          <w:szCs w:val="21"/>
          <w:highlight w:val="none"/>
        </w:rPr>
      </w:pPr>
      <w:bookmarkStart w:id="159" w:name="_Toc367780328"/>
      <w:bookmarkStart w:id="160" w:name="_Toc22748"/>
      <w:bookmarkStart w:id="161" w:name="_Toc21247"/>
      <w:r>
        <w:rPr>
          <w:rFonts w:hint="eastAsia" w:ascii="宋体" w:hAnsi="宋体" w:eastAsia="宋体"/>
          <w:color w:val="auto"/>
          <w:sz w:val="21"/>
          <w:szCs w:val="21"/>
          <w:highlight w:val="none"/>
        </w:rPr>
        <w:t>Ｅ竞争性谈判采购程序</w:t>
      </w:r>
      <w:bookmarkEnd w:id="159"/>
      <w:bookmarkEnd w:id="160"/>
      <w:bookmarkEnd w:id="161"/>
    </w:p>
    <w:p>
      <w:pPr>
        <w:pStyle w:val="6"/>
        <w:spacing w:line="360" w:lineRule="auto"/>
        <w:rPr>
          <w:rFonts w:ascii="宋体" w:hAnsi="宋体"/>
          <w:color w:val="auto"/>
          <w:sz w:val="21"/>
          <w:szCs w:val="21"/>
          <w:highlight w:val="none"/>
        </w:rPr>
      </w:pPr>
      <w:bookmarkStart w:id="162" w:name="_Toc15910"/>
      <w:bookmarkStart w:id="163" w:name="_Toc29568"/>
      <w:bookmarkStart w:id="164" w:name="_Toc367780329"/>
      <w:r>
        <w:rPr>
          <w:rFonts w:ascii="宋体" w:hAnsi="宋体"/>
          <w:color w:val="auto"/>
          <w:sz w:val="21"/>
          <w:szCs w:val="21"/>
          <w:highlight w:val="none"/>
        </w:rPr>
        <w:t>22</w:t>
      </w:r>
      <w:r>
        <w:rPr>
          <w:rFonts w:hint="eastAsia" w:ascii="宋体" w:hAnsi="宋体"/>
          <w:color w:val="auto"/>
          <w:sz w:val="21"/>
          <w:szCs w:val="21"/>
          <w:highlight w:val="none"/>
        </w:rPr>
        <w:tab/>
      </w:r>
      <w:r>
        <w:rPr>
          <w:rFonts w:hint="eastAsia" w:ascii="宋体" w:hAnsi="宋体"/>
          <w:color w:val="auto"/>
          <w:sz w:val="21"/>
          <w:szCs w:val="21"/>
          <w:highlight w:val="none"/>
        </w:rPr>
        <w:t>接收谈判响应文件</w:t>
      </w:r>
      <w:bookmarkEnd w:id="162"/>
      <w:bookmarkEnd w:id="163"/>
      <w:bookmarkEnd w:id="164"/>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22.1</w:t>
      </w:r>
      <w:r>
        <w:rPr>
          <w:rFonts w:hint="eastAsia" w:ascii="宋体" w:hAnsi="宋体"/>
          <w:bCs/>
          <w:color w:val="auto"/>
          <w:szCs w:val="21"/>
          <w:highlight w:val="none"/>
        </w:rPr>
        <w:tab/>
      </w:r>
      <w:r>
        <w:rPr>
          <w:rFonts w:hint="eastAsia" w:ascii="宋体" w:hAnsi="宋体"/>
          <w:bCs/>
          <w:color w:val="auto"/>
          <w:szCs w:val="21"/>
          <w:highlight w:val="none"/>
        </w:rPr>
        <w:t>代理采购机构在谈判文件中规定的时间和地点公开接收谈判响应文件。</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22.2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竞争性谈判的第一次投报价格不作公开唱标。</w:t>
      </w:r>
    </w:p>
    <w:p>
      <w:pPr>
        <w:pStyle w:val="6"/>
        <w:spacing w:line="360" w:lineRule="auto"/>
        <w:rPr>
          <w:rFonts w:ascii="宋体" w:hAnsi="宋体"/>
          <w:color w:val="auto"/>
          <w:sz w:val="21"/>
          <w:szCs w:val="21"/>
          <w:highlight w:val="none"/>
        </w:rPr>
      </w:pPr>
      <w:bookmarkStart w:id="165" w:name="_Toc32381"/>
      <w:bookmarkStart w:id="166" w:name="_Toc7126"/>
      <w:bookmarkStart w:id="167" w:name="_Toc367780330"/>
      <w:r>
        <w:rPr>
          <w:rFonts w:ascii="宋体" w:hAnsi="宋体"/>
          <w:color w:val="auto"/>
          <w:sz w:val="21"/>
          <w:szCs w:val="21"/>
          <w:highlight w:val="none"/>
        </w:rPr>
        <w:t>23</w:t>
      </w:r>
      <w:r>
        <w:rPr>
          <w:rFonts w:hint="eastAsia" w:ascii="宋体" w:hAnsi="宋体"/>
          <w:color w:val="auto"/>
          <w:sz w:val="21"/>
          <w:szCs w:val="21"/>
          <w:highlight w:val="none"/>
        </w:rPr>
        <w:tab/>
      </w:r>
      <w:r>
        <w:rPr>
          <w:rFonts w:hint="eastAsia" w:ascii="宋体" w:hAnsi="宋体"/>
          <w:color w:val="auto"/>
          <w:sz w:val="21"/>
          <w:szCs w:val="21"/>
          <w:highlight w:val="none"/>
        </w:rPr>
        <w:t>谈判小组</w:t>
      </w:r>
      <w:bookmarkEnd w:id="165"/>
      <w:bookmarkEnd w:id="166"/>
      <w:bookmarkEnd w:id="167"/>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23.1</w:t>
      </w:r>
      <w:r>
        <w:rPr>
          <w:rFonts w:hint="eastAsia" w:ascii="宋体" w:hAnsi="宋体"/>
          <w:bCs/>
          <w:color w:val="auto"/>
          <w:szCs w:val="21"/>
          <w:highlight w:val="none"/>
        </w:rPr>
        <w:tab/>
      </w:r>
      <w:r>
        <w:rPr>
          <w:rFonts w:hint="eastAsia" w:ascii="宋体" w:hAnsi="宋体"/>
          <w:bCs/>
          <w:color w:val="auto"/>
          <w:szCs w:val="21"/>
          <w:highlight w:val="none"/>
        </w:rPr>
        <w:t>谈判由代理采购机构依法组建的谈判小组:</w:t>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23.2</w:t>
      </w:r>
      <w:r>
        <w:rPr>
          <w:rFonts w:hint="eastAsia" w:ascii="宋体" w:hAnsi="宋体"/>
          <w:bCs/>
          <w:color w:val="auto"/>
          <w:szCs w:val="21"/>
          <w:highlight w:val="none"/>
        </w:rPr>
        <w:tab/>
      </w:r>
      <w:r>
        <w:rPr>
          <w:rFonts w:hint="eastAsia" w:ascii="宋体" w:hAnsi="宋体"/>
          <w:bCs/>
          <w:color w:val="auto"/>
          <w:szCs w:val="21"/>
          <w:highlight w:val="none"/>
        </w:rPr>
        <w:t>谈判小组专家由政府采购管理部门在专家库中，按照采购活动的特点和需要随机抽取产生。</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23.3</w:t>
      </w:r>
      <w:r>
        <w:rPr>
          <w:rFonts w:hint="eastAsia" w:ascii="宋体" w:hAnsi="宋体"/>
          <w:bCs/>
          <w:color w:val="auto"/>
          <w:szCs w:val="21"/>
          <w:highlight w:val="none"/>
        </w:rPr>
        <w:tab/>
      </w:r>
      <w:r>
        <w:rPr>
          <w:rFonts w:hint="eastAsia" w:ascii="宋体" w:hAnsi="宋体"/>
          <w:bCs/>
          <w:color w:val="auto"/>
          <w:szCs w:val="21"/>
          <w:highlight w:val="none"/>
        </w:rPr>
        <w:t>谈判小组专家与供应商有利害关系的不能进入谈判小组，已经进入的将予以更换。谈判小组专家名单在确定成交供应商之前严格保密。</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23.4</w:t>
      </w:r>
      <w:r>
        <w:rPr>
          <w:rFonts w:hint="eastAsia" w:ascii="宋体" w:hAnsi="宋体"/>
          <w:bCs/>
          <w:color w:val="auto"/>
          <w:szCs w:val="21"/>
          <w:highlight w:val="none"/>
        </w:rPr>
        <w:tab/>
      </w:r>
      <w:r>
        <w:rPr>
          <w:rFonts w:hint="eastAsia" w:ascii="宋体" w:hAnsi="宋体"/>
          <w:bCs/>
          <w:color w:val="auto"/>
          <w:szCs w:val="21"/>
          <w:highlight w:val="none"/>
        </w:rPr>
        <w:t>谈判小组将客观公正地履行职责，遵守职业道德，对所提出的评审意见承担个人责任。谈判小组专家不得私下接触供应商，不得收受供应商的财物或者其他好处。谈判小组和参与评审的有关工作人员不得透露对谈判响应文件的评价和比较、确定供应商情况以及与评审有关的其他情况。</w:t>
      </w:r>
    </w:p>
    <w:p>
      <w:pPr>
        <w:pStyle w:val="6"/>
        <w:spacing w:line="360" w:lineRule="auto"/>
        <w:rPr>
          <w:rFonts w:ascii="宋体" w:hAnsi="宋体"/>
          <w:color w:val="auto"/>
          <w:sz w:val="21"/>
          <w:szCs w:val="21"/>
          <w:highlight w:val="none"/>
        </w:rPr>
      </w:pPr>
      <w:bookmarkStart w:id="168" w:name="_Toc16010"/>
      <w:bookmarkStart w:id="169" w:name="_Toc367780331"/>
      <w:bookmarkStart w:id="170" w:name="_Toc17525"/>
      <w:r>
        <w:rPr>
          <w:rFonts w:ascii="宋体" w:hAnsi="宋体"/>
          <w:color w:val="auto"/>
          <w:sz w:val="21"/>
          <w:szCs w:val="21"/>
          <w:highlight w:val="none"/>
        </w:rPr>
        <w:t>2</w:t>
      </w:r>
      <w:r>
        <w:rPr>
          <w:rFonts w:hint="eastAsia" w:ascii="宋体" w:hAnsi="宋体"/>
          <w:color w:val="auto"/>
          <w:sz w:val="21"/>
          <w:szCs w:val="21"/>
          <w:highlight w:val="none"/>
        </w:rPr>
        <w:t>4</w:t>
      </w:r>
      <w:r>
        <w:rPr>
          <w:rFonts w:hint="eastAsia" w:ascii="宋体" w:hAnsi="宋体"/>
          <w:color w:val="auto"/>
          <w:sz w:val="21"/>
          <w:szCs w:val="21"/>
          <w:highlight w:val="none"/>
        </w:rPr>
        <w:tab/>
      </w:r>
      <w:r>
        <w:rPr>
          <w:rFonts w:hint="eastAsia" w:ascii="宋体" w:hAnsi="宋体"/>
          <w:color w:val="auto"/>
          <w:sz w:val="21"/>
          <w:szCs w:val="21"/>
          <w:highlight w:val="none"/>
        </w:rPr>
        <w:t>对谈判响应文件的初审</w:t>
      </w:r>
      <w:bookmarkEnd w:id="168"/>
      <w:bookmarkEnd w:id="169"/>
      <w:bookmarkEnd w:id="17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24.1</w:t>
      </w:r>
      <w:r>
        <w:rPr>
          <w:rFonts w:hint="eastAsia" w:ascii="宋体" w:hAnsi="宋体"/>
          <w:bCs/>
          <w:color w:val="auto"/>
          <w:szCs w:val="21"/>
          <w:highlight w:val="none"/>
        </w:rPr>
        <w:tab/>
      </w:r>
      <w:r>
        <w:rPr>
          <w:rFonts w:hint="eastAsia" w:ascii="宋体" w:hAnsi="宋体"/>
          <w:bCs/>
          <w:color w:val="auto"/>
          <w:szCs w:val="21"/>
          <w:highlight w:val="none"/>
        </w:rPr>
        <w:t>代理采购机构将组织谈判小组审查谈判响应文件是否完整，有无明显的计算错误，文件签署是否合格，证明文件是否齐全，谈判响应文件的编排是否有序，要求的保证金是否已递交。</w:t>
      </w:r>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24.2</w:t>
      </w:r>
      <w:r>
        <w:rPr>
          <w:rFonts w:hint="eastAsia" w:ascii="宋体" w:hAnsi="宋体"/>
          <w:bCs/>
          <w:color w:val="auto"/>
          <w:szCs w:val="21"/>
          <w:highlight w:val="none"/>
        </w:rPr>
        <w:tab/>
      </w:r>
      <w:r>
        <w:rPr>
          <w:rFonts w:hint="eastAsia" w:ascii="宋体" w:hAnsi="宋体"/>
          <w:bCs/>
          <w:color w:val="auto"/>
          <w:szCs w:val="21"/>
          <w:highlight w:val="none"/>
        </w:rPr>
        <w:t>在对谈判响应文件进行详细评审之前，谈判小组将依据谈判文件中规定的合格供应商应提交的“资格审查文件”文件是否通过符合性审查。如果确定供应商无资格履行合同，将拒绝其参加谈判。</w:t>
      </w:r>
    </w:p>
    <w:p>
      <w:pPr>
        <w:pStyle w:val="6"/>
        <w:spacing w:line="360" w:lineRule="auto"/>
        <w:rPr>
          <w:rFonts w:ascii="宋体" w:hAnsi="宋体"/>
          <w:color w:val="auto"/>
          <w:sz w:val="21"/>
          <w:szCs w:val="21"/>
          <w:highlight w:val="none"/>
        </w:rPr>
      </w:pPr>
      <w:bookmarkStart w:id="171" w:name="_Toc30834"/>
      <w:bookmarkStart w:id="172" w:name="_Toc13777"/>
      <w:bookmarkStart w:id="173" w:name="_Toc367780332"/>
      <w:r>
        <w:rPr>
          <w:rFonts w:hint="eastAsia" w:ascii="宋体" w:hAnsi="宋体"/>
          <w:color w:val="auto"/>
          <w:sz w:val="21"/>
          <w:szCs w:val="21"/>
          <w:highlight w:val="none"/>
        </w:rPr>
        <w:t>25</w:t>
      </w:r>
      <w:r>
        <w:rPr>
          <w:rFonts w:hint="eastAsia" w:ascii="宋体" w:hAnsi="宋体"/>
          <w:color w:val="auto"/>
          <w:sz w:val="21"/>
          <w:szCs w:val="21"/>
          <w:highlight w:val="none"/>
        </w:rPr>
        <w:tab/>
      </w:r>
      <w:r>
        <w:rPr>
          <w:rFonts w:hint="eastAsia" w:ascii="宋体" w:hAnsi="宋体"/>
          <w:color w:val="auto"/>
          <w:sz w:val="21"/>
          <w:szCs w:val="21"/>
          <w:highlight w:val="none"/>
        </w:rPr>
        <w:t>谈判报价的审核</w:t>
      </w:r>
      <w:bookmarkEnd w:id="171"/>
      <w:bookmarkEnd w:id="172"/>
      <w:bookmarkEnd w:id="173"/>
    </w:p>
    <w:p>
      <w:pPr>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bCs/>
          <w:color w:val="auto"/>
          <w:szCs w:val="21"/>
          <w:highlight w:val="none"/>
        </w:rPr>
        <w:t>25.1</w:t>
      </w:r>
      <w:r>
        <w:rPr>
          <w:rFonts w:hint="eastAsia" w:ascii="宋体" w:hAnsi="宋体"/>
          <w:bCs/>
          <w:color w:val="auto"/>
          <w:szCs w:val="21"/>
          <w:highlight w:val="none"/>
        </w:rPr>
        <w:tab/>
      </w:r>
      <w:r>
        <w:rPr>
          <w:rFonts w:hint="eastAsia" w:ascii="宋体" w:hAnsi="宋体"/>
          <w:bCs/>
          <w:color w:val="auto"/>
          <w:szCs w:val="21"/>
          <w:highlight w:val="none"/>
        </w:rPr>
        <w:t>供应商的谈判报价应是真实、合理和全面的报价。供应商应该公平竞争，合理报价。谈判小组有权对供应商的任何报价进行单项分析与澄清。任何虚假不实的报价，一经确认，将会导致没收供应商的谈判保证金或导致谈判被拒绝。</w:t>
      </w:r>
    </w:p>
    <w:p>
      <w:pPr>
        <w:pStyle w:val="6"/>
        <w:spacing w:line="360" w:lineRule="auto"/>
        <w:rPr>
          <w:rFonts w:ascii="宋体" w:hAnsi="宋体"/>
          <w:color w:val="auto"/>
          <w:sz w:val="21"/>
          <w:szCs w:val="21"/>
          <w:highlight w:val="none"/>
        </w:rPr>
      </w:pPr>
      <w:bookmarkStart w:id="174" w:name="_Toc367780333"/>
      <w:bookmarkStart w:id="175" w:name="_Toc23232"/>
      <w:bookmarkStart w:id="176" w:name="_Toc14793"/>
      <w:r>
        <w:rPr>
          <w:rFonts w:ascii="宋体" w:hAnsi="宋体"/>
          <w:color w:val="auto"/>
          <w:sz w:val="21"/>
          <w:szCs w:val="21"/>
          <w:highlight w:val="none"/>
        </w:rPr>
        <w:t>2</w:t>
      </w:r>
      <w:r>
        <w:rPr>
          <w:rFonts w:hint="eastAsia" w:ascii="宋体" w:hAnsi="宋体"/>
          <w:color w:val="auto"/>
          <w:sz w:val="21"/>
          <w:szCs w:val="21"/>
          <w:highlight w:val="none"/>
        </w:rPr>
        <w:t>6</w:t>
      </w:r>
      <w:r>
        <w:rPr>
          <w:rFonts w:hint="eastAsia" w:ascii="宋体" w:hAnsi="宋体"/>
          <w:color w:val="auto"/>
          <w:sz w:val="21"/>
          <w:szCs w:val="21"/>
          <w:highlight w:val="none"/>
        </w:rPr>
        <w:tab/>
      </w:r>
      <w:r>
        <w:rPr>
          <w:rFonts w:hint="eastAsia" w:ascii="宋体" w:hAnsi="宋体"/>
          <w:color w:val="auto"/>
          <w:sz w:val="21"/>
          <w:szCs w:val="21"/>
          <w:highlight w:val="none"/>
        </w:rPr>
        <w:t>谈判</w:t>
      </w:r>
      <w:bookmarkEnd w:id="174"/>
      <w:bookmarkEnd w:id="175"/>
      <w:bookmarkEnd w:id="176"/>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26.1   谈判小组所有成员集中按照递交谈判响应文件从前到后的顺序与单一供应商分别进行谈判。在谈判中，谈判的任何一方不得透露与谈判有关的其他供应商的技术资料、价格和其他信息。谈判文件有实质性变动的，谈判小组应当以书面形式通知所有参加谈判的供应商。</w:t>
      </w:r>
    </w:p>
    <w:p>
      <w:pPr>
        <w:widowControl/>
        <w:tabs>
          <w:tab w:val="left" w:pos="753"/>
        </w:tabs>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26.2 </w:t>
      </w:r>
      <w:r>
        <w:rPr>
          <w:rFonts w:hint="eastAsia" w:ascii="宋体" w:hAnsi="宋体"/>
          <w:color w:val="auto"/>
          <w:szCs w:val="21"/>
          <w:highlight w:val="none"/>
        </w:rPr>
        <w:tab/>
      </w:r>
      <w:r>
        <w:rPr>
          <w:rFonts w:hint="eastAsia" w:ascii="宋体" w:hAnsi="宋体"/>
          <w:color w:val="auto"/>
          <w:szCs w:val="21"/>
          <w:highlight w:val="none"/>
        </w:rPr>
        <w:t>谈判中的双方都应对谈判中的重要事项做详细记录。</w:t>
      </w:r>
    </w:p>
    <w:p>
      <w:pPr>
        <w:widowControl/>
        <w:tabs>
          <w:tab w:val="left" w:pos="753"/>
        </w:tabs>
        <w:adjustRightInd w:val="0"/>
        <w:snapToGrid w:val="0"/>
        <w:spacing w:line="360" w:lineRule="auto"/>
        <w:ind w:left="751" w:leftChars="1" w:hanging="749" w:hangingChars="357"/>
        <w:rPr>
          <w:rFonts w:ascii="宋体" w:hAnsi="宋体"/>
          <w:bCs/>
          <w:color w:val="auto"/>
          <w:szCs w:val="21"/>
          <w:highlight w:val="none"/>
        </w:rPr>
      </w:pPr>
      <w:r>
        <w:rPr>
          <w:rFonts w:hint="eastAsia" w:ascii="宋体" w:hAnsi="宋体"/>
          <w:color w:val="auto"/>
          <w:szCs w:val="21"/>
          <w:highlight w:val="none"/>
        </w:rPr>
        <w:t>26.3</w:t>
      </w:r>
      <w:r>
        <w:rPr>
          <w:rFonts w:hint="eastAsia" w:ascii="宋体" w:hAnsi="宋体"/>
          <w:color w:val="auto"/>
          <w:szCs w:val="21"/>
          <w:highlight w:val="none"/>
        </w:rPr>
        <w:tab/>
      </w:r>
      <w:r>
        <w:rPr>
          <w:rFonts w:hint="eastAsia" w:ascii="宋体" w:hAnsi="宋体"/>
          <w:color w:val="auto"/>
          <w:szCs w:val="21"/>
          <w:highlight w:val="none"/>
        </w:rPr>
        <w:t>谈判过程中，谈判小组向参加谈判的供应商提出疑问或要求，供应商必须在规定的时间内做出澄清并提交书面的承诺</w:t>
      </w:r>
      <w:r>
        <w:rPr>
          <w:rFonts w:hint="eastAsia" w:ascii="宋体" w:hAnsi="宋体"/>
          <w:bCs/>
          <w:color w:val="auto"/>
          <w:szCs w:val="21"/>
          <w:highlight w:val="none"/>
        </w:rPr>
        <w:t>。</w:t>
      </w:r>
    </w:p>
    <w:p>
      <w:pPr>
        <w:pStyle w:val="23"/>
        <w:widowControl/>
        <w:tabs>
          <w:tab w:val="left" w:pos="753"/>
        </w:tabs>
        <w:adjustRightInd w:val="0"/>
        <w:snapToGrid w:val="0"/>
        <w:spacing w:line="360" w:lineRule="auto"/>
        <w:ind w:left="751" w:leftChars="1" w:hanging="749" w:hangingChars="357"/>
        <w:rPr>
          <w:rFonts w:hAnsi="宋体"/>
          <w:color w:val="auto"/>
          <w:highlight w:val="none"/>
        </w:rPr>
      </w:pPr>
      <w:r>
        <w:rPr>
          <w:rFonts w:hint="eastAsia" w:hAnsi="宋体"/>
          <w:color w:val="auto"/>
          <w:highlight w:val="none"/>
        </w:rPr>
        <w:t>26.4</w:t>
      </w:r>
      <w:r>
        <w:rPr>
          <w:rFonts w:hint="eastAsia" w:hAnsi="宋体"/>
          <w:color w:val="auto"/>
          <w:highlight w:val="none"/>
        </w:rPr>
        <w:tab/>
      </w:r>
      <w:r>
        <w:rPr>
          <w:rFonts w:hint="eastAsia" w:hAnsi="宋体"/>
          <w:color w:val="auto"/>
          <w:highlight w:val="none"/>
        </w:rPr>
        <w:t>代理采购机构将在谈判时对供应商所作的解释和澄清作书面记录，并归档备查。</w:t>
      </w:r>
    </w:p>
    <w:p>
      <w:pPr>
        <w:pStyle w:val="6"/>
        <w:spacing w:line="360" w:lineRule="auto"/>
        <w:rPr>
          <w:rFonts w:ascii="宋体" w:hAnsi="宋体"/>
          <w:color w:val="auto"/>
          <w:sz w:val="21"/>
          <w:szCs w:val="21"/>
          <w:highlight w:val="none"/>
        </w:rPr>
      </w:pPr>
      <w:bookmarkStart w:id="177" w:name="_Toc18739"/>
      <w:bookmarkStart w:id="178" w:name="_Toc367780334"/>
      <w:bookmarkStart w:id="179" w:name="_Toc6314"/>
      <w:r>
        <w:rPr>
          <w:rFonts w:ascii="宋体" w:hAnsi="宋体"/>
          <w:color w:val="auto"/>
          <w:sz w:val="21"/>
          <w:szCs w:val="21"/>
          <w:highlight w:val="none"/>
        </w:rPr>
        <w:t>27</w:t>
      </w:r>
      <w:r>
        <w:rPr>
          <w:rFonts w:hint="eastAsia" w:ascii="宋体" w:hAnsi="宋体"/>
          <w:color w:val="auto"/>
          <w:sz w:val="21"/>
          <w:szCs w:val="21"/>
          <w:highlight w:val="none"/>
        </w:rPr>
        <w:tab/>
      </w:r>
      <w:r>
        <w:rPr>
          <w:rFonts w:hint="eastAsia" w:ascii="宋体" w:hAnsi="宋体"/>
          <w:color w:val="auto"/>
          <w:sz w:val="21"/>
          <w:szCs w:val="21"/>
          <w:highlight w:val="none"/>
        </w:rPr>
        <w:t>评审原则</w:t>
      </w:r>
      <w:bookmarkEnd w:id="177"/>
      <w:bookmarkEnd w:id="178"/>
      <w:bookmarkEnd w:id="179"/>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27.1</w:t>
      </w:r>
      <w:r>
        <w:rPr>
          <w:rFonts w:hint="eastAsia" w:ascii="宋体" w:hAnsi="宋体"/>
          <w:bCs/>
          <w:color w:val="auto"/>
          <w:szCs w:val="21"/>
          <w:highlight w:val="none"/>
        </w:rPr>
        <w:tab/>
      </w:r>
      <w:r>
        <w:rPr>
          <w:rFonts w:hint="eastAsia" w:ascii="宋体" w:hAnsi="宋体"/>
          <w:bCs/>
          <w:color w:val="auto"/>
          <w:szCs w:val="21"/>
          <w:highlight w:val="none"/>
        </w:rPr>
        <w:t>依据有关法律法规，维护采购当事人的合法权益。</w:t>
      </w:r>
    </w:p>
    <w:p>
      <w:pPr>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27.2</w:t>
      </w:r>
      <w:r>
        <w:rPr>
          <w:rFonts w:hint="eastAsia" w:ascii="宋体" w:hAnsi="宋体"/>
          <w:bCs/>
          <w:color w:val="auto"/>
          <w:szCs w:val="21"/>
          <w:highlight w:val="none"/>
        </w:rPr>
        <w:tab/>
      </w:r>
      <w:r>
        <w:rPr>
          <w:rFonts w:hint="eastAsia" w:ascii="宋体" w:hAnsi="宋体"/>
          <w:bCs/>
          <w:color w:val="auto"/>
          <w:szCs w:val="21"/>
          <w:highlight w:val="none"/>
        </w:rPr>
        <w:tab/>
      </w:r>
      <w:r>
        <w:rPr>
          <w:rFonts w:hint="eastAsia" w:ascii="宋体" w:hAnsi="宋体"/>
          <w:bCs/>
          <w:color w:val="auto"/>
          <w:szCs w:val="21"/>
          <w:highlight w:val="none"/>
        </w:rPr>
        <w:t>实行科学评估、集体决策。</w:t>
      </w:r>
    </w:p>
    <w:p>
      <w:pPr>
        <w:pStyle w:val="6"/>
        <w:spacing w:line="360" w:lineRule="auto"/>
        <w:rPr>
          <w:rFonts w:ascii="宋体" w:hAnsi="宋体"/>
          <w:color w:val="auto"/>
          <w:sz w:val="21"/>
          <w:szCs w:val="21"/>
          <w:highlight w:val="none"/>
        </w:rPr>
      </w:pPr>
      <w:bookmarkStart w:id="180" w:name="_Toc789"/>
      <w:bookmarkStart w:id="181" w:name="_Toc19763"/>
      <w:bookmarkStart w:id="182" w:name="_Toc367780335"/>
      <w:r>
        <w:rPr>
          <w:rFonts w:ascii="宋体" w:hAnsi="宋体"/>
          <w:color w:val="auto"/>
          <w:sz w:val="21"/>
          <w:szCs w:val="21"/>
          <w:highlight w:val="none"/>
        </w:rPr>
        <w:t>28</w:t>
      </w:r>
      <w:r>
        <w:rPr>
          <w:rFonts w:hint="eastAsia" w:ascii="宋体" w:hAnsi="宋体"/>
          <w:color w:val="auto"/>
          <w:sz w:val="21"/>
          <w:szCs w:val="21"/>
          <w:highlight w:val="none"/>
        </w:rPr>
        <w:tab/>
      </w:r>
      <w:r>
        <w:rPr>
          <w:rFonts w:hint="eastAsia" w:ascii="宋体" w:hAnsi="宋体"/>
          <w:color w:val="auto"/>
          <w:sz w:val="21"/>
          <w:szCs w:val="21"/>
          <w:highlight w:val="none"/>
        </w:rPr>
        <w:t>评审办法</w:t>
      </w:r>
      <w:bookmarkEnd w:id="180"/>
      <w:bookmarkEnd w:id="181"/>
      <w:bookmarkEnd w:id="182"/>
    </w:p>
    <w:p>
      <w:pPr>
        <w:pStyle w:val="23"/>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28.1</w:t>
      </w:r>
      <w:r>
        <w:rPr>
          <w:rFonts w:hint="eastAsia" w:hAnsi="宋体"/>
          <w:bCs/>
          <w:color w:val="auto"/>
          <w:highlight w:val="none"/>
        </w:rPr>
        <w:tab/>
      </w:r>
      <w:r>
        <w:rPr>
          <w:rFonts w:hint="eastAsia" w:hAnsi="宋体"/>
          <w:color w:val="auto"/>
          <w:highlight w:val="none"/>
        </w:rPr>
        <w:t>谈判结束后，谈判小组应当要求所有符合采购需求的供应商在规定时间内进行最后报价，根据符合采购需求、质量和服务相等且最终报价最低的原则确定成交供应商，并将结果通知所有参加谈判的未成交的供应商。</w:t>
      </w:r>
    </w:p>
    <w:p>
      <w:pPr>
        <w:pStyle w:val="23"/>
        <w:tabs>
          <w:tab w:val="left" w:pos="753"/>
        </w:tabs>
        <w:adjustRightInd w:val="0"/>
        <w:snapToGrid w:val="0"/>
        <w:spacing w:line="360" w:lineRule="auto"/>
        <w:ind w:left="751" w:leftChars="1" w:hanging="749" w:hangingChars="357"/>
        <w:rPr>
          <w:rFonts w:hAnsi="宋体"/>
          <w:color w:val="auto"/>
          <w:highlight w:val="none"/>
        </w:rPr>
      </w:pPr>
      <w:r>
        <w:rPr>
          <w:rFonts w:hint="eastAsia" w:hAnsi="宋体"/>
          <w:bCs/>
          <w:color w:val="auto"/>
          <w:highlight w:val="none"/>
        </w:rPr>
        <w:t>28.2</w:t>
      </w:r>
      <w:r>
        <w:rPr>
          <w:rFonts w:hint="eastAsia" w:hAnsi="宋体"/>
          <w:bCs/>
          <w:color w:val="auto"/>
          <w:highlight w:val="none"/>
        </w:rPr>
        <w:tab/>
      </w:r>
      <w:r>
        <w:rPr>
          <w:rFonts w:hint="eastAsia" w:hAnsi="宋体"/>
          <w:color w:val="auto"/>
          <w:highlight w:val="none"/>
        </w:rPr>
        <w:t>如果出现两家以上（含两家）供应商的最终报价最低并且金额相同的情况时，报价最低的供应商将进行重新报价，直至只有一家供应商的报价最低。报价最低的供应商为预成交供应商。超出项目预算的报价将不予接受。</w:t>
      </w:r>
    </w:p>
    <w:p>
      <w:pPr>
        <w:pStyle w:val="23"/>
        <w:widowControl/>
        <w:tabs>
          <w:tab w:val="left" w:pos="753"/>
        </w:tabs>
        <w:adjustRightInd w:val="0"/>
        <w:snapToGrid w:val="0"/>
        <w:spacing w:line="360" w:lineRule="auto"/>
        <w:ind w:left="751" w:leftChars="1" w:hanging="749" w:hangingChars="357"/>
        <w:rPr>
          <w:rFonts w:hAnsi="宋体"/>
          <w:color w:val="auto"/>
          <w:highlight w:val="none"/>
        </w:rPr>
      </w:pPr>
      <w:r>
        <w:rPr>
          <w:rFonts w:hint="eastAsia" w:hAnsi="宋体"/>
          <w:bCs/>
          <w:color w:val="auto"/>
          <w:highlight w:val="none"/>
        </w:rPr>
        <w:t xml:space="preserve">28.3   </w:t>
      </w:r>
      <w:r>
        <w:rPr>
          <w:rFonts w:hint="eastAsia" w:hAnsi="宋体"/>
          <w:color w:val="auto"/>
          <w:highlight w:val="none"/>
        </w:rPr>
        <w:t>如果谈判时出现没有供应商参加或者没有符合采购需求供应商的，或符合采购需求的供应商少于三家的情况，依照《中华人民共和国政府采购法》的有关规定，本项目将重新组织谈判或根据政府采购管理部门重新确定的采购方式进行采购。</w:t>
      </w:r>
    </w:p>
    <w:p>
      <w:pPr>
        <w:pStyle w:val="6"/>
        <w:spacing w:line="360" w:lineRule="auto"/>
        <w:rPr>
          <w:rFonts w:ascii="宋体" w:hAnsi="宋体"/>
          <w:color w:val="auto"/>
          <w:sz w:val="21"/>
          <w:szCs w:val="21"/>
          <w:highlight w:val="none"/>
        </w:rPr>
      </w:pPr>
      <w:bookmarkStart w:id="183" w:name="_Toc6233"/>
      <w:bookmarkStart w:id="184" w:name="_Toc25816"/>
      <w:bookmarkStart w:id="185" w:name="_Toc367780336"/>
      <w:r>
        <w:rPr>
          <w:rFonts w:hint="eastAsia" w:ascii="宋体" w:hAnsi="宋体"/>
          <w:color w:val="auto"/>
          <w:sz w:val="21"/>
          <w:szCs w:val="21"/>
          <w:highlight w:val="none"/>
        </w:rPr>
        <w:t>29</w:t>
      </w:r>
      <w:r>
        <w:rPr>
          <w:rFonts w:hint="eastAsia" w:ascii="宋体" w:hAnsi="宋体"/>
          <w:color w:val="auto"/>
          <w:sz w:val="21"/>
          <w:szCs w:val="21"/>
          <w:highlight w:val="none"/>
        </w:rPr>
        <w:tab/>
      </w:r>
      <w:r>
        <w:rPr>
          <w:rFonts w:hint="eastAsia" w:ascii="宋体" w:hAnsi="宋体"/>
          <w:color w:val="auto"/>
          <w:sz w:val="21"/>
          <w:szCs w:val="21"/>
          <w:highlight w:val="none"/>
        </w:rPr>
        <w:t>评审注意事项</w:t>
      </w:r>
      <w:bookmarkEnd w:id="183"/>
      <w:bookmarkEnd w:id="184"/>
      <w:bookmarkEnd w:id="185"/>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29.1</w:t>
      </w:r>
      <w:r>
        <w:rPr>
          <w:rFonts w:hint="eastAsia" w:ascii="宋体" w:hAnsi="宋体"/>
          <w:color w:val="auto"/>
          <w:szCs w:val="21"/>
          <w:highlight w:val="none"/>
        </w:rPr>
        <w:tab/>
      </w:r>
      <w:r>
        <w:rPr>
          <w:rFonts w:hint="eastAsia" w:ascii="宋体" w:hAnsi="宋体"/>
          <w:color w:val="auto"/>
          <w:szCs w:val="21"/>
          <w:highlight w:val="none"/>
        </w:rPr>
        <w:t>评审是竞争性谈判采购工作的重要环节，评审工作在谈判小组内独立进行。谈判小组将遵照评审原则，公正、平等地对待所有供应商。</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29.2</w:t>
      </w:r>
      <w:r>
        <w:rPr>
          <w:rFonts w:hint="eastAsia" w:ascii="宋体" w:hAnsi="宋体"/>
          <w:color w:val="auto"/>
          <w:szCs w:val="21"/>
          <w:highlight w:val="none"/>
        </w:rPr>
        <w:tab/>
      </w:r>
      <w:r>
        <w:rPr>
          <w:rFonts w:hint="eastAsia" w:ascii="宋体" w:hAnsi="宋体"/>
          <w:color w:val="auto"/>
          <w:szCs w:val="21"/>
          <w:highlight w:val="none"/>
        </w:rPr>
        <w:t>在谈判期间，供应商不得向谈判小组成员询问评审情况，不得进行旨在影响评审结果的活动。</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29.3</w:t>
      </w:r>
      <w:r>
        <w:rPr>
          <w:rFonts w:hint="eastAsia" w:ascii="宋体" w:hAnsi="宋体"/>
          <w:color w:val="auto"/>
          <w:szCs w:val="21"/>
          <w:highlight w:val="none"/>
        </w:rPr>
        <w:tab/>
      </w:r>
      <w:r>
        <w:rPr>
          <w:rFonts w:hint="eastAsia" w:ascii="宋体" w:hAnsi="宋体"/>
          <w:color w:val="auto"/>
          <w:szCs w:val="21"/>
          <w:highlight w:val="none"/>
        </w:rPr>
        <w:t>为保证确定成交供应商的公正性，在评审过程中，谈判小组成员不得与供应商私下交换意见。在谈判工作结束后，凡与谈判情况有接触的任何人，不得也不应将评审情况扩散出谈判小组人员之外。</w:t>
      </w:r>
    </w:p>
    <w:p>
      <w:pPr>
        <w:pStyle w:val="6"/>
        <w:spacing w:line="360" w:lineRule="auto"/>
        <w:rPr>
          <w:rFonts w:ascii="宋体" w:hAnsi="宋体"/>
          <w:color w:val="auto"/>
          <w:sz w:val="21"/>
          <w:szCs w:val="21"/>
          <w:highlight w:val="none"/>
        </w:rPr>
      </w:pPr>
      <w:bookmarkStart w:id="186" w:name="_Toc24051"/>
      <w:bookmarkStart w:id="187" w:name="_Toc367780337"/>
      <w:bookmarkStart w:id="188" w:name="_Toc15848"/>
      <w:r>
        <w:rPr>
          <w:rFonts w:hint="eastAsia" w:ascii="宋体" w:hAnsi="宋体"/>
          <w:color w:val="auto"/>
          <w:sz w:val="21"/>
          <w:szCs w:val="21"/>
          <w:highlight w:val="none"/>
        </w:rPr>
        <w:t>30</w:t>
      </w:r>
      <w:r>
        <w:rPr>
          <w:rFonts w:hint="eastAsia" w:ascii="宋体" w:hAnsi="宋体"/>
          <w:color w:val="auto"/>
          <w:sz w:val="21"/>
          <w:szCs w:val="21"/>
          <w:highlight w:val="none"/>
        </w:rPr>
        <w:tab/>
      </w:r>
      <w:r>
        <w:rPr>
          <w:rFonts w:hint="eastAsia" w:ascii="宋体" w:hAnsi="宋体"/>
          <w:color w:val="auto"/>
          <w:sz w:val="21"/>
          <w:szCs w:val="21"/>
          <w:highlight w:val="none"/>
        </w:rPr>
        <w:t>发布成交结果公告和发放成交通知书</w:t>
      </w:r>
      <w:bookmarkEnd w:id="186"/>
      <w:bookmarkEnd w:id="187"/>
      <w:bookmarkEnd w:id="188"/>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30.1   采购人或其授权的谈判小组应按照评标报告中推荐的成交候选供应商排名顺序确定成交供应商。</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30.2   成交人确认后，成交结果将在指定媒体上公告：</w:t>
      </w:r>
      <w:r>
        <w:rPr>
          <w:rFonts w:hint="eastAsia" w:ascii="黑体" w:eastAsia="黑体"/>
          <w:bCs/>
          <w:color w:val="auto"/>
          <w:highlight w:val="none"/>
        </w:rPr>
        <w:t>详见第三部份《报价须知〈投标人须知前附表〉》</w:t>
      </w:r>
      <w:r>
        <w:rPr>
          <w:rFonts w:hint="eastAsia" w:ascii="宋体" w:hAnsi="宋体"/>
          <w:color w:val="auto"/>
          <w:szCs w:val="21"/>
          <w:highlight w:val="none"/>
        </w:rPr>
        <w:t>。发布成交结果公告的同时，代理采购机构向成交人发出成交通知书。</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30.3   未成交供应商，</w:t>
      </w:r>
      <w:r>
        <w:rPr>
          <w:rFonts w:hint="eastAsia" w:ascii="宋体" w:hAnsi="宋体"/>
          <w:color w:val="auto"/>
          <w:szCs w:val="21"/>
          <w:highlight w:val="none"/>
          <w:lang w:eastAsia="zh-CN"/>
        </w:rPr>
        <w:t>广东业信招标有限公司</w:t>
      </w:r>
      <w:r>
        <w:rPr>
          <w:rFonts w:hint="eastAsia" w:ascii="宋体" w:hAnsi="宋体"/>
          <w:color w:val="auto"/>
          <w:szCs w:val="21"/>
          <w:highlight w:val="none"/>
        </w:rPr>
        <w:t>不再以其它方式另行通知。</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30.4   成交通知书发出后，采购人改变成交结果，或者成交供应商放弃成交，应当承担相应的法律责任。</w:t>
      </w:r>
    </w:p>
    <w:p>
      <w:pPr>
        <w:pStyle w:val="6"/>
        <w:spacing w:line="360" w:lineRule="auto"/>
        <w:rPr>
          <w:rFonts w:ascii="宋体" w:hAnsi="宋体"/>
          <w:color w:val="auto"/>
          <w:sz w:val="21"/>
          <w:szCs w:val="21"/>
          <w:highlight w:val="none"/>
        </w:rPr>
      </w:pPr>
      <w:bookmarkStart w:id="189" w:name="_Toc13351"/>
      <w:bookmarkStart w:id="190" w:name="_Toc367780338"/>
      <w:bookmarkStart w:id="191" w:name="_Toc29168"/>
      <w:r>
        <w:rPr>
          <w:rFonts w:hint="eastAsia" w:ascii="宋体" w:hAnsi="宋体"/>
          <w:color w:val="auto"/>
          <w:sz w:val="21"/>
          <w:szCs w:val="21"/>
          <w:highlight w:val="none"/>
        </w:rPr>
        <w:t>31     投标供应商对成交结果的质疑、投诉</w:t>
      </w:r>
      <w:bookmarkEnd w:id="189"/>
      <w:bookmarkEnd w:id="190"/>
      <w:bookmarkEnd w:id="191"/>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投标供应商对成交公告有异议的，应当在成交结果公告发布之日起七个工作日内，以书面形式向采购人或代理采购机构提出质疑。</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31.2   采购人或代理采购机构应当在收到投标供应商书面质疑后七个工作日内，对质疑内容作出答复。</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31.3   投标供应商对采购人或代理采购机构的答复不满意或者采购人、代理采购机构未在规定时间内答复的，可以在答复期满后十五个工作日内按有关规定，向同级人民政府财政部门投诉。</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31.5   投标供应商须对质疑或投诉内容的真实性承担责任。</w:t>
      </w:r>
    </w:p>
    <w:p>
      <w:pPr>
        <w:spacing w:line="360" w:lineRule="auto"/>
        <w:ind w:left="752" w:hanging="751" w:hangingChars="358"/>
        <w:rPr>
          <w:rFonts w:ascii="宋体" w:hAnsi="宋体"/>
          <w:color w:val="auto"/>
          <w:szCs w:val="21"/>
          <w:highlight w:val="none"/>
        </w:rPr>
      </w:pPr>
      <w:r>
        <w:rPr>
          <w:rFonts w:hint="eastAsia" w:ascii="宋体" w:hAnsi="宋体"/>
          <w:color w:val="auto"/>
          <w:szCs w:val="21"/>
          <w:highlight w:val="none"/>
        </w:rPr>
        <w:t>31.6   质疑函应当署名。质疑供应商为自然人的，应当由本人签字；质疑供应商为法人或其他组织的，应由法定代表人或者主要负责人签字并盖公章。</w:t>
      </w:r>
    </w:p>
    <w:p>
      <w:pPr>
        <w:pStyle w:val="4"/>
        <w:numPr>
          <w:ilvl w:val="1"/>
          <w:numId w:val="0"/>
        </w:numPr>
        <w:spacing w:before="240" w:after="240" w:line="360" w:lineRule="auto"/>
        <w:rPr>
          <w:rFonts w:ascii="宋体" w:hAnsi="宋体" w:eastAsia="宋体"/>
          <w:color w:val="auto"/>
          <w:sz w:val="21"/>
          <w:szCs w:val="21"/>
          <w:highlight w:val="none"/>
        </w:rPr>
      </w:pPr>
      <w:bookmarkStart w:id="192" w:name="_Toc22257"/>
      <w:bookmarkStart w:id="193" w:name="_Toc31398"/>
      <w:bookmarkStart w:id="194" w:name="_Toc367780339"/>
      <w:r>
        <w:rPr>
          <w:rFonts w:hint="eastAsia" w:ascii="宋体" w:hAnsi="宋体" w:eastAsia="宋体"/>
          <w:color w:val="auto"/>
          <w:sz w:val="21"/>
          <w:szCs w:val="21"/>
          <w:highlight w:val="none"/>
        </w:rPr>
        <w:t>Ｆ  授予合同</w:t>
      </w:r>
      <w:bookmarkEnd w:id="192"/>
      <w:bookmarkEnd w:id="193"/>
      <w:bookmarkEnd w:id="194"/>
    </w:p>
    <w:p>
      <w:pPr>
        <w:pStyle w:val="6"/>
        <w:spacing w:line="360" w:lineRule="auto"/>
        <w:rPr>
          <w:rFonts w:ascii="宋体" w:hAnsi="宋体"/>
          <w:color w:val="auto"/>
          <w:sz w:val="21"/>
          <w:szCs w:val="21"/>
          <w:highlight w:val="none"/>
        </w:rPr>
      </w:pPr>
      <w:bookmarkStart w:id="195" w:name="_Toc28437"/>
      <w:bookmarkStart w:id="196" w:name="_Toc2761"/>
      <w:bookmarkStart w:id="197" w:name="_Toc367780340"/>
      <w:r>
        <w:rPr>
          <w:rFonts w:hint="eastAsia" w:ascii="宋体" w:hAnsi="宋体"/>
          <w:color w:val="auto"/>
          <w:sz w:val="21"/>
          <w:szCs w:val="21"/>
          <w:highlight w:val="none"/>
        </w:rPr>
        <w:t>32     接受和拒绝投标的权利</w:t>
      </w:r>
      <w:bookmarkEnd w:id="195"/>
      <w:bookmarkEnd w:id="196"/>
      <w:bookmarkEnd w:id="197"/>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32</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谈判小组经评审认为所有供应商提供的货物或服务都不符合谈判文件要求的，或所有供应商的报价均超过了采购人的预算，且采购人不能支付的，有权否决所有报价资料。</w:t>
      </w:r>
    </w:p>
    <w:p>
      <w:pPr>
        <w:pStyle w:val="6"/>
        <w:spacing w:line="360" w:lineRule="auto"/>
        <w:rPr>
          <w:rFonts w:ascii="宋体" w:hAnsi="宋体"/>
          <w:color w:val="auto"/>
          <w:sz w:val="21"/>
          <w:szCs w:val="21"/>
          <w:highlight w:val="none"/>
        </w:rPr>
      </w:pPr>
      <w:bookmarkStart w:id="198" w:name="_Toc367780341"/>
      <w:bookmarkStart w:id="199" w:name="_Toc20866"/>
      <w:bookmarkStart w:id="200" w:name="_Toc4882"/>
      <w:r>
        <w:rPr>
          <w:rFonts w:hint="eastAsia" w:ascii="宋体" w:hAnsi="宋体"/>
          <w:color w:val="auto"/>
          <w:sz w:val="21"/>
          <w:szCs w:val="21"/>
          <w:highlight w:val="none"/>
        </w:rPr>
        <w:t>33</w:t>
      </w:r>
      <w:r>
        <w:rPr>
          <w:rFonts w:hint="eastAsia" w:ascii="宋体" w:hAnsi="宋体"/>
          <w:color w:val="auto"/>
          <w:sz w:val="21"/>
          <w:szCs w:val="21"/>
          <w:highlight w:val="none"/>
        </w:rPr>
        <w:tab/>
      </w:r>
      <w:r>
        <w:rPr>
          <w:rFonts w:hint="eastAsia" w:ascii="宋体" w:hAnsi="宋体"/>
          <w:color w:val="auto"/>
          <w:sz w:val="21"/>
          <w:szCs w:val="21"/>
          <w:highlight w:val="none"/>
        </w:rPr>
        <w:t xml:space="preserve">   合同授予标准</w:t>
      </w:r>
      <w:bookmarkEnd w:id="198"/>
      <w:bookmarkEnd w:id="199"/>
      <w:bookmarkEnd w:id="200"/>
    </w:p>
    <w:p>
      <w:pPr>
        <w:widowControl/>
        <w:tabs>
          <w:tab w:val="left" w:pos="753"/>
        </w:tabs>
        <w:adjustRightInd w:val="0"/>
        <w:snapToGrid w:val="0"/>
        <w:spacing w:line="360" w:lineRule="auto"/>
        <w:ind w:left="752" w:hanging="751" w:hangingChars="358"/>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3</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第32条规定之外，采购人将把合同授予此次谈判的成交供应商。</w:t>
      </w:r>
    </w:p>
    <w:p>
      <w:pPr>
        <w:pStyle w:val="6"/>
        <w:spacing w:line="360" w:lineRule="auto"/>
        <w:rPr>
          <w:rFonts w:ascii="宋体" w:hAnsi="宋体"/>
          <w:color w:val="auto"/>
          <w:sz w:val="21"/>
          <w:szCs w:val="21"/>
          <w:highlight w:val="none"/>
        </w:rPr>
      </w:pPr>
      <w:bookmarkStart w:id="201" w:name="_Toc30241"/>
      <w:bookmarkStart w:id="202" w:name="_Toc367780342"/>
      <w:bookmarkStart w:id="203" w:name="_Toc22547"/>
      <w:r>
        <w:rPr>
          <w:rFonts w:hint="eastAsia" w:ascii="宋体" w:hAnsi="宋体"/>
          <w:color w:val="auto"/>
          <w:sz w:val="21"/>
          <w:szCs w:val="21"/>
          <w:highlight w:val="none"/>
        </w:rPr>
        <w:t>34</w:t>
      </w:r>
      <w:r>
        <w:rPr>
          <w:rFonts w:hint="eastAsia" w:ascii="宋体" w:hAnsi="宋体"/>
          <w:color w:val="auto"/>
          <w:sz w:val="21"/>
          <w:szCs w:val="21"/>
          <w:highlight w:val="none"/>
        </w:rPr>
        <w:tab/>
      </w:r>
      <w:r>
        <w:rPr>
          <w:rFonts w:hint="eastAsia" w:ascii="宋体" w:hAnsi="宋体"/>
          <w:color w:val="auto"/>
          <w:sz w:val="21"/>
          <w:szCs w:val="21"/>
          <w:highlight w:val="none"/>
        </w:rPr>
        <w:t xml:space="preserve">   签订合同</w:t>
      </w:r>
      <w:bookmarkEnd w:id="201"/>
      <w:bookmarkEnd w:id="202"/>
      <w:bookmarkEnd w:id="203"/>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采购人应当按照谈判文件和成交供应商谈判响应文件的约定，与成交供应商签订书面合同。所签订的合同不得对谈判文件和成交供应商谈判响应文件作实质性修改。采购人不得向成交供应商提出任何不合理的要求，作为签订合同的条件，不得与成交供应商私下订立背离合同实质性内容的协议。</w:t>
      </w:r>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.2</w:t>
      </w:r>
      <w:r>
        <w:rPr>
          <w:rFonts w:hint="eastAsia" w:ascii="宋体" w:hAnsi="宋体"/>
          <w:bCs/>
          <w:color w:val="auto"/>
          <w:szCs w:val="21"/>
          <w:highlight w:val="none"/>
        </w:rPr>
        <w:tab/>
      </w:r>
      <w:r>
        <w:rPr>
          <w:rFonts w:hint="eastAsia" w:ascii="宋体" w:hAnsi="宋体"/>
          <w:bCs/>
          <w:color w:val="auto"/>
          <w:szCs w:val="21"/>
          <w:highlight w:val="none"/>
        </w:rPr>
        <w:t>谈判文件、成交供应商的谈判文件及其澄清文件等，均为签订合同的依据。</w:t>
      </w:r>
    </w:p>
    <w:p>
      <w:pPr>
        <w:widowControl/>
        <w:tabs>
          <w:tab w:val="left" w:pos="753"/>
        </w:tabs>
        <w:adjustRightInd w:val="0"/>
        <w:snapToGrid w:val="0"/>
        <w:spacing w:line="360" w:lineRule="auto"/>
        <w:ind w:left="753" w:hanging="753"/>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4</w:t>
      </w:r>
      <w:r>
        <w:rPr>
          <w:rFonts w:ascii="宋体" w:hAnsi="宋体"/>
          <w:bCs/>
          <w:color w:val="auto"/>
          <w:szCs w:val="21"/>
          <w:highlight w:val="none"/>
        </w:rPr>
        <w:t>.</w:t>
      </w:r>
      <w:r>
        <w:rPr>
          <w:rFonts w:hint="eastAsia" w:ascii="宋体" w:hAnsi="宋体"/>
          <w:bCs/>
          <w:color w:val="auto"/>
          <w:szCs w:val="21"/>
          <w:highlight w:val="none"/>
        </w:rPr>
        <w:t>3</w:t>
      </w:r>
      <w:r>
        <w:rPr>
          <w:rFonts w:hint="eastAsia" w:ascii="宋体" w:hAnsi="宋体"/>
          <w:bCs/>
          <w:color w:val="auto"/>
          <w:szCs w:val="21"/>
          <w:highlight w:val="none"/>
        </w:rPr>
        <w:tab/>
      </w:r>
      <w:r>
        <w:rPr>
          <w:rFonts w:hint="eastAsia" w:ascii="宋体" w:hAnsi="宋体"/>
          <w:bCs/>
          <w:color w:val="auto"/>
          <w:szCs w:val="21"/>
          <w:highlight w:val="none"/>
        </w:rPr>
        <w:t>采购人应当自采购合同签订之日起七个工作日内，按照有关规定将采购合同副本报同级人民政府财政部门和</w:t>
      </w:r>
      <w:r>
        <w:rPr>
          <w:rFonts w:hint="eastAsia" w:ascii="宋体" w:hAnsi="宋体"/>
          <w:bCs/>
          <w:color w:val="auto"/>
          <w:szCs w:val="21"/>
          <w:highlight w:val="none"/>
          <w:lang w:eastAsia="zh-CN"/>
        </w:rPr>
        <w:t>广东业信招标有限公司</w:t>
      </w:r>
      <w:r>
        <w:rPr>
          <w:rFonts w:hint="eastAsia" w:ascii="宋体" w:hAnsi="宋体"/>
          <w:bCs/>
          <w:color w:val="auto"/>
          <w:szCs w:val="21"/>
          <w:highlight w:val="none"/>
        </w:rPr>
        <w:t>备案。</w:t>
      </w:r>
      <w:bookmarkStart w:id="204" w:name="_Toc200414511"/>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pStyle w:val="4"/>
        <w:numPr>
          <w:ilvl w:val="0"/>
          <w:numId w:val="0"/>
        </w:numPr>
        <w:jc w:val="center"/>
        <w:rPr>
          <w:color w:val="auto"/>
          <w:sz w:val="24"/>
          <w:highlight w:val="none"/>
        </w:rPr>
      </w:pPr>
      <w:bookmarkStart w:id="205" w:name="_Toc430771059"/>
      <w:bookmarkStart w:id="206" w:name="_Toc17235"/>
      <w:bookmarkStart w:id="207" w:name="_Toc499041071"/>
      <w:bookmarkStart w:id="208" w:name="_Toc432682726"/>
      <w:bookmarkStart w:id="209" w:name="_Toc21399"/>
      <w:r>
        <w:rPr>
          <w:color w:val="auto"/>
          <w:sz w:val="24"/>
          <w:highlight w:val="none"/>
        </w:rPr>
        <w:t>G</w:t>
      </w:r>
      <w:r>
        <w:rPr>
          <w:rFonts w:hint="eastAsia"/>
          <w:color w:val="auto"/>
          <w:sz w:val="24"/>
          <w:highlight w:val="none"/>
        </w:rPr>
        <w:t>、政府采购政策</w:t>
      </w:r>
      <w:bookmarkEnd w:id="205"/>
      <w:bookmarkEnd w:id="206"/>
      <w:bookmarkEnd w:id="207"/>
      <w:bookmarkEnd w:id="208"/>
      <w:bookmarkEnd w:id="209"/>
    </w:p>
    <w:p>
      <w:pPr>
        <w:spacing w:line="360" w:lineRule="auto"/>
        <w:ind w:left="735" w:hanging="735" w:hangingChars="350"/>
        <w:rPr>
          <w:rFonts w:hint="eastAsia" w:ascii="宋体" w:hAnsi="宋体" w:eastAsia="宋体" w:cs="宋体"/>
          <w:color w:val="auto"/>
          <w:highlight w:val="none"/>
        </w:rPr>
      </w:pPr>
      <w:bookmarkStart w:id="210" w:name="_Toc430771060"/>
      <w:bookmarkStart w:id="211" w:name="_Toc430185803"/>
      <w:r>
        <w:rPr>
          <w:rFonts w:hint="eastAsia" w:ascii="宋体" w:hAnsi="宋体" w:eastAsia="宋体" w:cs="宋体"/>
          <w:color w:val="auto"/>
          <w:highlight w:val="none"/>
        </w:rPr>
        <w:t xml:space="preserve">35     </w:t>
      </w:r>
      <w:bookmarkStart w:id="212"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210"/>
      <w:bookmarkEnd w:id="211"/>
      <w:bookmarkEnd w:id="212"/>
    </w:p>
    <w:p>
      <w:pPr>
        <w:spacing w:line="360" w:lineRule="auto"/>
        <w:ind w:left="735" w:hanging="735" w:hangingChars="350"/>
        <w:rPr>
          <w:rFonts w:hint="eastAsia" w:ascii="宋体" w:hAnsi="宋体" w:eastAsia="宋体" w:cs="宋体"/>
          <w:color w:val="auto"/>
          <w:highlight w:val="none"/>
        </w:rPr>
      </w:pPr>
      <w:bookmarkStart w:id="213" w:name="_Toc430185804"/>
      <w:bookmarkStart w:id="214" w:name="_Toc430771061"/>
      <w:r>
        <w:rPr>
          <w:rFonts w:hint="eastAsia" w:ascii="宋体" w:hAnsi="宋体" w:eastAsia="宋体" w:cs="宋体"/>
          <w:color w:val="auto"/>
          <w:highlight w:val="none"/>
        </w:rPr>
        <w:t>36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213"/>
      <w:bookmarkEnd w:id="214"/>
    </w:p>
    <w:p>
      <w:pPr>
        <w:spacing w:line="360" w:lineRule="auto"/>
        <w:ind w:left="735" w:hanging="735" w:hangingChars="350"/>
        <w:rPr>
          <w:rFonts w:hint="eastAsia" w:ascii="宋体" w:hAnsi="宋体" w:eastAsia="宋体" w:cs="宋体"/>
          <w:color w:val="auto"/>
          <w:highlight w:val="none"/>
        </w:rPr>
      </w:pPr>
      <w:bookmarkStart w:id="215" w:name="_Toc430771062"/>
      <w:bookmarkStart w:id="216" w:name="_Toc430185805"/>
      <w:r>
        <w:rPr>
          <w:rFonts w:hint="eastAsia" w:ascii="宋体" w:hAnsi="宋体" w:eastAsia="宋体" w:cs="宋体"/>
          <w:color w:val="auto"/>
          <w:highlight w:val="none"/>
        </w:rPr>
        <w:t>37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215"/>
      <w:bookmarkEnd w:id="216"/>
    </w:p>
    <w:p>
      <w:pPr>
        <w:spacing w:line="360" w:lineRule="auto"/>
        <w:ind w:left="735" w:hanging="735" w:hangingChars="350"/>
        <w:rPr>
          <w:rFonts w:hint="eastAsia" w:ascii="宋体" w:hAnsi="宋体" w:eastAsia="宋体" w:cs="宋体"/>
          <w:color w:val="auto"/>
          <w:highlight w:val="none"/>
        </w:rPr>
      </w:pPr>
      <w:bookmarkStart w:id="217" w:name="_Toc430185806"/>
      <w:bookmarkStart w:id="218" w:name="_Toc430771063"/>
      <w:r>
        <w:rPr>
          <w:rFonts w:hint="eastAsia" w:ascii="宋体" w:hAnsi="宋体" w:eastAsia="宋体" w:cs="宋体"/>
          <w:color w:val="auto"/>
          <w:highlight w:val="none"/>
        </w:rPr>
        <w:t>38     根据《关于印发《政府采购促进中小企业发展管理方法》的通知》（财库[2020]46号）的规定，投标人投标时需注意：</w:t>
      </w:r>
      <w:bookmarkEnd w:id="217"/>
      <w:bookmarkEnd w:id="218"/>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38.1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38.2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38.3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38.4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38.</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43"/>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eastAsia="宋体" w:cs="宋体"/>
                <w:color w:val="auto"/>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eastAsia="宋体" w:cs="宋体"/>
                <w:color w:val="auto"/>
                <w:szCs w:val="21"/>
                <w:highlight w:val="none"/>
                <w:u w:val="single"/>
              </w:rPr>
              <w:t>6%</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eastAsia="宋体" w:cs="宋体"/>
                <w:color w:val="auto"/>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1-2%</w:t>
            </w:r>
            <w:r>
              <w:rPr>
                <w:rFonts w:hint="eastAsia" w:ascii="宋体" w:hAnsi="宋体" w:eastAsia="宋体" w:cs="宋体"/>
                <w:color w:val="auto"/>
                <w:szCs w:val="21"/>
                <w:highlight w:val="none"/>
              </w:rPr>
              <w:t>）</w:t>
            </w:r>
          </w:p>
        </w:tc>
      </w:tr>
    </w:tbl>
    <w:p>
      <w:pPr>
        <w:rPr>
          <w:rFonts w:ascii="宋体"/>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widowControl/>
        <w:tabs>
          <w:tab w:val="left" w:pos="753"/>
        </w:tabs>
        <w:adjustRightInd w:val="0"/>
        <w:snapToGrid w:val="0"/>
        <w:spacing w:line="360" w:lineRule="auto"/>
        <w:ind w:left="753" w:hanging="753"/>
        <w:rPr>
          <w:rFonts w:ascii="宋体" w:hAnsi="宋体"/>
          <w:bCs/>
          <w:color w:val="auto"/>
          <w:szCs w:val="21"/>
          <w:highlight w:val="none"/>
        </w:rPr>
      </w:pPr>
    </w:p>
    <w:p>
      <w:pPr>
        <w:pStyle w:val="3"/>
        <w:numPr>
          <w:ilvl w:val="0"/>
          <w:numId w:val="0"/>
        </w:numPr>
        <w:spacing w:after="120" w:line="360" w:lineRule="auto"/>
        <w:jc w:val="center"/>
        <w:rPr>
          <w:rFonts w:ascii="宋体" w:hAnsi="宋体"/>
          <w:color w:val="auto"/>
          <w:sz w:val="21"/>
          <w:szCs w:val="21"/>
          <w:highlight w:val="none"/>
        </w:rPr>
      </w:pPr>
      <w:bookmarkStart w:id="219" w:name="_Toc10536"/>
      <w:bookmarkStart w:id="220" w:name="_Toc31292"/>
      <w:r>
        <w:rPr>
          <w:rFonts w:hint="eastAsia" w:ascii="宋体" w:hAnsi="宋体"/>
          <w:color w:val="auto"/>
          <w:sz w:val="21"/>
          <w:szCs w:val="21"/>
          <w:highlight w:val="none"/>
        </w:rPr>
        <w:t>第四部分  合同书格式（参考范本）</w:t>
      </w:r>
      <w:bookmarkEnd w:id="204"/>
      <w:bookmarkEnd w:id="219"/>
      <w:bookmarkEnd w:id="220"/>
    </w:p>
    <w:p>
      <w:pPr>
        <w:spacing w:line="360" w:lineRule="auto"/>
        <w:rPr>
          <w:rFonts w:ascii="宋体" w:hAnsi="宋体"/>
          <w:bCs/>
          <w:color w:val="auto"/>
          <w:szCs w:val="21"/>
          <w:highlight w:val="none"/>
        </w:rPr>
      </w:pPr>
    </w:p>
    <w:p>
      <w:pPr>
        <w:spacing w:line="480" w:lineRule="auto"/>
        <w:rPr>
          <w:rFonts w:ascii="宋体" w:hAnsi="宋体"/>
          <w:bCs/>
          <w:color w:val="auto"/>
          <w:szCs w:val="21"/>
          <w:highlight w:val="none"/>
        </w:rPr>
      </w:pPr>
      <w:r>
        <w:rPr>
          <w:rFonts w:hint="eastAsia" w:ascii="宋体" w:hAnsi="宋体"/>
          <w:bCs/>
          <w:color w:val="auto"/>
          <w:szCs w:val="21"/>
          <w:highlight w:val="none"/>
        </w:rPr>
        <w:t>甲方（采购人）：</w:t>
      </w:r>
    </w:p>
    <w:p>
      <w:pPr>
        <w:spacing w:line="480" w:lineRule="auto"/>
        <w:rPr>
          <w:rFonts w:ascii="宋体" w:hAnsi="宋体"/>
          <w:bCs/>
          <w:color w:val="auto"/>
          <w:szCs w:val="21"/>
          <w:highlight w:val="none"/>
        </w:rPr>
      </w:pPr>
      <w:r>
        <w:rPr>
          <w:rFonts w:hint="eastAsia" w:ascii="宋体" w:hAnsi="宋体"/>
          <w:bCs/>
          <w:color w:val="auto"/>
          <w:szCs w:val="21"/>
          <w:highlight w:val="none"/>
        </w:rPr>
        <w:t>乙方（成交供应商）：</w:t>
      </w:r>
    </w:p>
    <w:p>
      <w:pPr>
        <w:spacing w:line="480" w:lineRule="auto"/>
        <w:rPr>
          <w:rFonts w:ascii="宋体" w:hAnsi="宋体"/>
          <w:bCs/>
          <w:color w:val="auto"/>
          <w:szCs w:val="21"/>
          <w:highlight w:val="none"/>
        </w:rPr>
      </w:pPr>
      <w:r>
        <w:rPr>
          <w:rFonts w:ascii="宋体" w:hAnsi="宋体"/>
          <w:bCs/>
          <w:color w:val="auto"/>
          <w:szCs w:val="21"/>
          <w:highlight w:val="none"/>
        </w:rPr>
        <w:tab/>
      </w:r>
    </w:p>
    <w:p>
      <w:pPr>
        <w:spacing w:line="480" w:lineRule="auto"/>
        <w:rPr>
          <w:rFonts w:ascii="宋体" w:hAnsi="宋体"/>
          <w:bCs/>
          <w:color w:val="auto"/>
          <w:highlight w:val="none"/>
        </w:rPr>
      </w:pPr>
      <w:r>
        <w:rPr>
          <w:rFonts w:hint="eastAsia" w:ascii="宋体" w:hAnsi="宋体"/>
          <w:bCs/>
          <w:color w:val="auto"/>
          <w:szCs w:val="21"/>
          <w:highlight w:val="none"/>
        </w:rPr>
        <w:t xml:space="preserve">    甲乙双方根据</w:t>
      </w:r>
      <w:r>
        <w:rPr>
          <w:rFonts w:ascii="宋体" w:hAnsi="宋体"/>
          <w:bCs/>
          <w:color w:val="auto"/>
          <w:szCs w:val="21"/>
          <w:highlight w:val="none"/>
        </w:rPr>
        <w:t>年月日</w:t>
      </w:r>
      <w:r>
        <w:rPr>
          <w:rFonts w:hint="eastAsia" w:ascii="宋体" w:hAnsi="宋体" w:cs="宋体"/>
          <w:color w:val="auto"/>
          <w:szCs w:val="21"/>
          <w:highlight w:val="none"/>
          <w:u w:val="single"/>
        </w:rPr>
        <w:t xml:space="preserve">  采购项目名称  </w:t>
      </w:r>
      <w:r>
        <w:rPr>
          <w:rFonts w:hint="eastAsia" w:ascii="宋体" w:hAnsi="宋体"/>
          <w:bCs/>
          <w:color w:val="auto"/>
          <w:szCs w:val="21"/>
          <w:highlight w:val="none"/>
        </w:rPr>
        <w:t>（项目编号:</w:t>
      </w:r>
      <w:r>
        <w:rPr>
          <w:rFonts w:hint="eastAsia" w:ascii="宋体" w:hAnsi="宋体"/>
          <w:bCs/>
          <w:color w:val="auto"/>
          <w:szCs w:val="21"/>
          <w:highlight w:val="none"/>
          <w:u w:val="single"/>
        </w:rPr>
        <w:t xml:space="preserve">           </w:t>
      </w:r>
      <w:r>
        <w:rPr>
          <w:rFonts w:hint="eastAsia" w:ascii="宋体" w:hAnsi="宋体"/>
          <w:bCs/>
          <w:color w:val="auto"/>
          <w:szCs w:val="21"/>
          <w:highlight w:val="none"/>
        </w:rPr>
        <w:t>）招标结果和有关招、报价文件的要求，经双方协商一致，订立以下合同：</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第一条  </w:t>
      </w:r>
      <w:r>
        <w:rPr>
          <w:rFonts w:hint="eastAsia" w:ascii="宋体" w:hAnsi="宋体"/>
          <w:bCs/>
          <w:color w:val="auto"/>
          <w:szCs w:val="21"/>
          <w:highlight w:val="none"/>
        </w:rPr>
        <w:tab/>
      </w:r>
      <w:r>
        <w:rPr>
          <w:rFonts w:hint="eastAsia" w:ascii="宋体" w:hAnsi="宋体"/>
          <w:bCs/>
          <w:color w:val="auto"/>
          <w:szCs w:val="21"/>
          <w:highlight w:val="none"/>
        </w:rPr>
        <w:t>项目的名称、单价、总价，项目所包含服务的范围</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1. 项目名称：</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2. 服务范围：</w:t>
      </w:r>
      <w:r>
        <w:rPr>
          <w:rFonts w:hint="eastAsia" w:ascii="宋体" w:hAnsi="宋体"/>
          <w:bCs/>
          <w:color w:val="auto"/>
          <w:szCs w:val="21"/>
          <w:highlight w:val="none"/>
          <w:u w:val="single"/>
        </w:rPr>
        <w:t xml:space="preserve">（另附）                               </w:t>
      </w:r>
      <w:r>
        <w:rPr>
          <w:rFonts w:hint="eastAsia" w:ascii="宋体" w:hAnsi="宋体"/>
          <w:bCs/>
          <w:color w:val="auto"/>
          <w:szCs w:val="21"/>
          <w:highlight w:val="none"/>
        </w:rPr>
        <w:t>；</w:t>
      </w:r>
    </w:p>
    <w:p>
      <w:pPr>
        <w:tabs>
          <w:tab w:val="left" w:pos="1004"/>
        </w:tabs>
        <w:spacing w:line="480" w:lineRule="auto"/>
        <w:ind w:right="31" w:rightChars="15" w:firstLine="1003" w:firstLineChars="478"/>
        <w:rPr>
          <w:rFonts w:ascii="宋体" w:hAnsi="宋体"/>
          <w:bCs/>
          <w:color w:val="auto"/>
          <w:szCs w:val="21"/>
          <w:highlight w:val="none"/>
          <w:u w:val="single"/>
        </w:rPr>
      </w:pPr>
      <w:r>
        <w:rPr>
          <w:rFonts w:hint="eastAsia" w:ascii="宋体" w:hAnsi="宋体"/>
          <w:bCs/>
          <w:color w:val="auto"/>
          <w:szCs w:val="21"/>
          <w:highlight w:val="none"/>
        </w:rPr>
        <w:t>3. 项目总价：</w:t>
      </w:r>
      <w:r>
        <w:rPr>
          <w:rFonts w:hint="eastAsia" w:ascii="宋体" w:hAnsi="宋体"/>
          <w:bCs/>
          <w:color w:val="auto"/>
          <w:szCs w:val="21"/>
          <w:highlight w:val="none"/>
          <w:u w:val="single"/>
        </w:rPr>
        <w:t xml:space="preserve">（小写）                               </w:t>
      </w:r>
    </w:p>
    <w:p>
      <w:pPr>
        <w:tabs>
          <w:tab w:val="left" w:pos="1004"/>
        </w:tabs>
        <w:spacing w:line="480" w:lineRule="auto"/>
        <w:ind w:right="31" w:rightChars="15" w:firstLine="2261" w:firstLineChars="1077"/>
        <w:rPr>
          <w:rFonts w:ascii="宋体" w:hAnsi="宋体"/>
          <w:bCs/>
          <w:color w:val="auto"/>
          <w:szCs w:val="21"/>
          <w:highlight w:val="none"/>
          <w:u w:val="single"/>
        </w:rPr>
      </w:pPr>
      <w:r>
        <w:rPr>
          <w:rFonts w:hint="eastAsia" w:ascii="宋体" w:hAnsi="宋体"/>
          <w:bCs/>
          <w:color w:val="auto"/>
          <w:szCs w:val="21"/>
          <w:highlight w:val="none"/>
          <w:u w:val="single"/>
        </w:rPr>
        <w:t xml:space="preserve">（大写）                               </w:t>
      </w:r>
    </w:p>
    <w:p>
      <w:pPr>
        <w:tabs>
          <w:tab w:val="left" w:pos="1004"/>
        </w:tabs>
        <w:spacing w:line="48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甲方不再另付任何费用。项目总价为完成项目含税的全包价。</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第二条  </w:t>
      </w:r>
      <w:r>
        <w:rPr>
          <w:rFonts w:hint="eastAsia" w:ascii="宋体" w:hAnsi="宋体"/>
          <w:bCs/>
          <w:color w:val="auto"/>
          <w:szCs w:val="21"/>
          <w:highlight w:val="none"/>
        </w:rPr>
        <w:tab/>
      </w:r>
      <w:r>
        <w:rPr>
          <w:rFonts w:hint="eastAsia" w:ascii="宋体" w:hAnsi="宋体"/>
          <w:bCs/>
          <w:color w:val="auto"/>
          <w:szCs w:val="21"/>
          <w:highlight w:val="none"/>
        </w:rPr>
        <w:t>服务的质量要求、售后服务、培训费用及损害赔偿。</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第三条</w:t>
      </w:r>
      <w:r>
        <w:rPr>
          <w:rFonts w:hint="eastAsia" w:ascii="宋体" w:hAnsi="宋体"/>
          <w:bCs/>
          <w:color w:val="auto"/>
          <w:szCs w:val="21"/>
          <w:highlight w:val="none"/>
        </w:rPr>
        <w:tab/>
      </w:r>
      <w:r>
        <w:rPr>
          <w:rFonts w:hint="eastAsia" w:ascii="宋体" w:hAnsi="宋体"/>
          <w:bCs/>
          <w:color w:val="auto"/>
          <w:szCs w:val="21"/>
          <w:highlight w:val="none"/>
        </w:rPr>
        <w:t>服务和验收</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1.服务期：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2.服务地点：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left="1361" w:leftChars="428" w:right="31" w:rightChars="15" w:hanging="462" w:hangingChars="220"/>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3.验收时间：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480" w:lineRule="auto"/>
        <w:ind w:right="31" w:rightChars="15"/>
        <w:rPr>
          <w:rFonts w:ascii="宋体" w:hAnsi="宋体"/>
          <w:bCs/>
          <w:color w:val="auto"/>
          <w:szCs w:val="21"/>
          <w:highlight w:val="none"/>
          <w:u w:val="single"/>
        </w:rPr>
      </w:pPr>
      <w:r>
        <w:rPr>
          <w:rFonts w:hint="eastAsia" w:ascii="宋体" w:hAnsi="宋体"/>
          <w:bCs/>
          <w:color w:val="auto"/>
          <w:szCs w:val="21"/>
          <w:highlight w:val="none"/>
        </w:rPr>
        <w:tab/>
      </w:r>
      <w:r>
        <w:rPr>
          <w:rFonts w:hint="eastAsia" w:ascii="宋体" w:hAnsi="宋体"/>
          <w:bCs/>
          <w:color w:val="auto"/>
          <w:szCs w:val="21"/>
          <w:highlight w:val="none"/>
        </w:rPr>
        <w:t>4.服务验收方式：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80" w:lineRule="auto"/>
        <w:ind w:right="31" w:rightChars="15" w:firstLine="1050" w:firstLineChars="500"/>
        <w:rPr>
          <w:rFonts w:ascii="宋体" w:hAnsi="宋体"/>
          <w:color w:val="auto"/>
          <w:szCs w:val="21"/>
          <w:highlight w:val="none"/>
        </w:rPr>
      </w:pPr>
      <w:r>
        <w:rPr>
          <w:rFonts w:hint="eastAsia" w:ascii="宋体" w:hAnsi="宋体"/>
          <w:color w:val="auto"/>
          <w:szCs w:val="21"/>
          <w:highlight w:val="none"/>
        </w:rPr>
        <w:t>5.验收标准：</w:t>
      </w:r>
    </w:p>
    <w:p>
      <w:pPr>
        <w:numPr>
          <w:ilvl w:val="6"/>
          <w:numId w:val="14"/>
        </w:numPr>
        <w:tabs>
          <w:tab w:val="left" w:pos="1680"/>
        </w:tabs>
        <w:spacing w:line="480" w:lineRule="auto"/>
        <w:ind w:left="1680" w:hanging="315"/>
        <w:rPr>
          <w:rFonts w:ascii="宋体" w:hAnsi="宋体"/>
          <w:bCs/>
          <w:color w:val="auto"/>
          <w:szCs w:val="21"/>
          <w:highlight w:val="none"/>
        </w:rPr>
      </w:pPr>
      <w:r>
        <w:rPr>
          <w:rFonts w:hint="eastAsia" w:ascii="宋体" w:hAnsi="宋体"/>
          <w:color w:val="auto"/>
          <w:szCs w:val="21"/>
          <w:highlight w:val="none"/>
        </w:rPr>
        <w:t>质量符合报价文件和报价文件的要求；</w:t>
      </w:r>
    </w:p>
    <w:p>
      <w:pPr>
        <w:numPr>
          <w:ilvl w:val="6"/>
          <w:numId w:val="14"/>
        </w:numPr>
        <w:tabs>
          <w:tab w:val="left" w:pos="1680"/>
          <w:tab w:val="clear" w:pos="4830"/>
        </w:tabs>
        <w:spacing w:line="480" w:lineRule="auto"/>
        <w:ind w:left="1680" w:right="31" w:rightChars="15" w:hanging="315"/>
        <w:rPr>
          <w:rFonts w:ascii="宋体" w:hAnsi="宋体"/>
          <w:bCs/>
          <w:color w:val="auto"/>
          <w:szCs w:val="21"/>
          <w:highlight w:val="none"/>
        </w:rPr>
      </w:pPr>
      <w:r>
        <w:rPr>
          <w:rFonts w:hint="eastAsia" w:ascii="宋体" w:hAnsi="宋体"/>
          <w:bCs/>
          <w:color w:val="auto"/>
          <w:szCs w:val="21"/>
          <w:highlight w:val="none"/>
        </w:rPr>
        <w:t>双方约定的其他验收标准。</w:t>
      </w:r>
      <w:r>
        <w:rPr>
          <w:rFonts w:hint="eastAsia" w:ascii="宋体" w:hAnsi="宋体"/>
          <w:bCs/>
          <w:color w:val="auto"/>
          <w:szCs w:val="21"/>
          <w:highlight w:val="none"/>
        </w:rPr>
        <w:tab/>
      </w:r>
    </w:p>
    <w:p>
      <w:pPr>
        <w:tabs>
          <w:tab w:val="left" w:pos="1004"/>
        </w:tabs>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第四条   价款的结算、付款时间</w:t>
      </w:r>
    </w:p>
    <w:p>
      <w:pPr>
        <w:numPr>
          <w:ilvl w:val="0"/>
          <w:numId w:val="15"/>
        </w:numPr>
        <w:tabs>
          <w:tab w:val="left" w:pos="945"/>
        </w:tabs>
        <w:adjustRightInd w:val="0"/>
        <w:snapToGrid w:val="0"/>
        <w:spacing w:line="480" w:lineRule="auto"/>
        <w:ind w:right="31" w:rightChars="15"/>
        <w:rPr>
          <w:rFonts w:ascii="宋体" w:hAnsi="宋体"/>
          <w:bCs/>
          <w:color w:val="auto"/>
          <w:szCs w:val="21"/>
          <w:highlight w:val="none"/>
        </w:rPr>
      </w:pPr>
      <w:r>
        <w:rPr>
          <w:rFonts w:hint="eastAsia" w:ascii="宋体" w:hAnsi="宋体"/>
          <w:bCs/>
          <w:color w:val="auto"/>
          <w:szCs w:val="21"/>
          <w:highlight w:val="none"/>
        </w:rPr>
        <w:t>付款方式：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numPr>
          <w:ilvl w:val="0"/>
          <w:numId w:val="15"/>
        </w:numPr>
        <w:tabs>
          <w:tab w:val="left" w:pos="1155"/>
          <w:tab w:val="clear" w:pos="1203"/>
        </w:tabs>
        <w:adjustRightInd w:val="0"/>
        <w:snapToGrid w:val="0"/>
        <w:spacing w:line="480" w:lineRule="auto"/>
        <w:ind w:right="31" w:rightChars="15"/>
        <w:rPr>
          <w:rFonts w:ascii="宋体" w:hAnsi="宋体"/>
          <w:color w:val="auto"/>
          <w:szCs w:val="21"/>
          <w:highlight w:val="none"/>
        </w:rPr>
      </w:pPr>
      <w:r>
        <w:rPr>
          <w:rFonts w:hint="eastAsia" w:ascii="宋体" w:hAnsi="宋体"/>
          <w:bCs/>
          <w:color w:val="auto"/>
          <w:szCs w:val="21"/>
          <w:highlight w:val="none"/>
        </w:rPr>
        <w:t>付款时间：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945"/>
        </w:tabs>
        <w:adjustRightInd w:val="0"/>
        <w:snapToGrid w:val="0"/>
        <w:spacing w:line="480" w:lineRule="auto"/>
        <w:ind w:left="945" w:right="31" w:rightChars="15" w:hanging="945" w:hangingChars="450"/>
        <w:rPr>
          <w:rFonts w:ascii="宋体" w:hAnsi="宋体"/>
          <w:bCs/>
          <w:color w:val="auto"/>
          <w:szCs w:val="21"/>
          <w:highlight w:val="none"/>
        </w:rPr>
      </w:pPr>
      <w:r>
        <w:rPr>
          <w:rFonts w:hint="eastAsia" w:ascii="宋体" w:hAnsi="宋体"/>
          <w:bCs/>
          <w:color w:val="auto"/>
          <w:szCs w:val="21"/>
          <w:highlight w:val="none"/>
        </w:rPr>
        <w:t>第五条   对产品异议的时间和办法</w:t>
      </w:r>
    </w:p>
    <w:p>
      <w:pPr>
        <w:tabs>
          <w:tab w:val="left" w:pos="1255"/>
        </w:tabs>
        <w:spacing w:line="48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甲方在验收中，如果发现乙方所提供的服务质量或相关服务不合规定的，在</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日内向乙方提出书面异议；甲方怠于通知乙方的，视为乙方所提供的服务合乎规定。</w:t>
      </w:r>
    </w:p>
    <w:p>
      <w:pPr>
        <w:tabs>
          <w:tab w:val="left" w:pos="1255"/>
        </w:tabs>
        <w:spacing w:line="48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2. 乙方在接到甲方书面异议后，应在</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日历日内负责处理，否则，即视为默认甲方提出的异议和处理意见。</w:t>
      </w:r>
    </w:p>
    <w:p>
      <w:pPr>
        <w:tabs>
          <w:tab w:val="left" w:pos="1004"/>
        </w:tabs>
        <w:spacing w:line="480" w:lineRule="auto"/>
        <w:rPr>
          <w:rFonts w:ascii="宋体" w:hAnsi="宋体"/>
          <w:bCs/>
          <w:color w:val="auto"/>
          <w:szCs w:val="21"/>
          <w:highlight w:val="none"/>
        </w:rPr>
      </w:pP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第六条   乙方的违约责任</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1. 乙方所提供的服务质量、拟投入人员不符合合同规定的，由乙方负责按照原报价文件、更正公告内容和质疑答疑文件（若有）、报价文件、中标（成交）通知书等实质性内容重新免费提供该项目服务内容。</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2. 每推迟一天按总价的</w:t>
      </w:r>
      <w:r>
        <w:rPr>
          <w:rFonts w:hint="eastAsia" w:ascii="宋体" w:hAnsi="宋体"/>
          <w:bCs/>
          <w:color w:val="auto"/>
          <w:szCs w:val="21"/>
          <w:highlight w:val="none"/>
          <w:u w:val="single"/>
        </w:rPr>
        <w:t xml:space="preserve">    </w:t>
      </w:r>
      <w:r>
        <w:rPr>
          <w:rFonts w:hint="eastAsia" w:ascii="宋体" w:hAnsi="宋体"/>
          <w:bCs/>
          <w:color w:val="auto"/>
          <w:szCs w:val="21"/>
          <w:highlight w:val="none"/>
        </w:rPr>
        <w:t>罚款。</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第七条</w:t>
      </w:r>
      <w:r>
        <w:rPr>
          <w:rFonts w:hint="eastAsia" w:ascii="宋体" w:hAnsi="宋体"/>
          <w:bCs/>
          <w:color w:val="auto"/>
          <w:szCs w:val="21"/>
          <w:highlight w:val="none"/>
        </w:rPr>
        <w:tab/>
      </w:r>
      <w:r>
        <w:rPr>
          <w:rFonts w:hint="eastAsia" w:ascii="宋体" w:hAnsi="宋体"/>
          <w:bCs/>
          <w:color w:val="auto"/>
          <w:szCs w:val="21"/>
          <w:highlight w:val="none"/>
        </w:rPr>
        <w:t>甲方的违约责任</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 甲方逾期付款的，每日应向乙方偿付合同总额的</w:t>
      </w:r>
      <w:r>
        <w:rPr>
          <w:rFonts w:hint="eastAsia" w:ascii="宋体" w:hAnsi="宋体"/>
          <w:bCs/>
          <w:color w:val="auto"/>
          <w:szCs w:val="21"/>
          <w:highlight w:val="none"/>
          <w:u w:val="single"/>
        </w:rPr>
        <w:t xml:space="preserve">    </w:t>
      </w:r>
      <w:r>
        <w:rPr>
          <w:rFonts w:hint="eastAsia" w:ascii="宋体" w:hAnsi="宋体"/>
          <w:bCs/>
          <w:color w:val="auto"/>
          <w:szCs w:val="21"/>
          <w:highlight w:val="none"/>
        </w:rPr>
        <w:t>作为违约金。</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2. 甲方违反合同规定拒绝接货的，应当承担由此对乙方造成的损失。</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第八条    不可抗力</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1.不可抗力事故系指买卖双方在缔结合同时所不能预见的，并且它的发生及其后果是无法避免和无法克服的事故。受阻一方应在不可抗力事故发生后尽快用电报、传真或电话通知对方，并于事故发生后</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u w:val="single"/>
        </w:rPr>
        <w:t xml:space="preserve">     </w:t>
      </w:r>
      <w:r>
        <w:rPr>
          <w:rFonts w:hint="eastAsia" w:ascii="宋体" w:hAnsi="宋体"/>
          <w:bCs/>
          <w:color w:val="auto"/>
          <w:szCs w:val="21"/>
          <w:highlight w:val="none"/>
        </w:rPr>
        <w:t>个工作日内将有关当局出具的证明文件用专人递交、特快专递或挂号信寄给对方审阅确认。</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2.签约双方任一方由于不可抗力事故的影响而不能执行合同时，经确认后，允许延期履行、部分履行或不履行合同，根据情况可部分或全部免予承担违约责任。</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第九条  争议的解决</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1. 因服务期间质量问题发生争议，由法律及有关规章规定的技术单位进行质量鉴定，双方无条件服从该鉴定的结论。</w:t>
      </w:r>
    </w:p>
    <w:p>
      <w:pPr>
        <w:tabs>
          <w:tab w:val="left" w:pos="1255"/>
        </w:tabs>
        <w:spacing w:line="480" w:lineRule="auto"/>
        <w:ind w:firstLine="420" w:firstLineChars="200"/>
        <w:rPr>
          <w:rFonts w:ascii="宋体" w:hAnsi="宋体"/>
          <w:color w:val="auto"/>
          <w:szCs w:val="21"/>
          <w:highlight w:val="none"/>
        </w:rPr>
      </w:pPr>
      <w:r>
        <w:rPr>
          <w:rFonts w:hint="eastAsia" w:ascii="宋体" w:hAnsi="宋体"/>
          <w:bCs/>
          <w:color w:val="auto"/>
          <w:szCs w:val="21"/>
          <w:highlight w:val="none"/>
        </w:rPr>
        <w:t xml:space="preserve">2. </w:t>
      </w:r>
      <w:r>
        <w:rPr>
          <w:rFonts w:hint="eastAsia" w:ascii="宋体" w:hAnsi="宋体"/>
          <w:color w:val="auto"/>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第十条  监督和管理</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本项目合同订立后，应提供至</w:t>
      </w:r>
      <w:r>
        <w:rPr>
          <w:rFonts w:hint="eastAsia" w:ascii="宋体" w:hAnsi="宋体"/>
          <w:bCs/>
          <w:color w:val="auto"/>
          <w:szCs w:val="21"/>
          <w:highlight w:val="none"/>
          <w:u w:val="single"/>
          <w:lang w:eastAsia="zh-CN"/>
        </w:rPr>
        <w:t>广东业信招标有限公司</w:t>
      </w:r>
      <w:r>
        <w:rPr>
          <w:rFonts w:hint="eastAsia" w:ascii="宋体" w:hAnsi="宋体"/>
          <w:bCs/>
          <w:color w:val="auto"/>
          <w:szCs w:val="21"/>
          <w:highlight w:val="none"/>
          <w:u w:val="single"/>
        </w:rPr>
        <w:t xml:space="preserve"> </w:t>
      </w:r>
      <w:r>
        <w:rPr>
          <w:rFonts w:hint="eastAsia" w:ascii="宋体" w:hAnsi="宋体"/>
          <w:bCs/>
          <w:color w:val="auto"/>
          <w:szCs w:val="21"/>
          <w:highlight w:val="none"/>
        </w:rPr>
        <w:t>备案；</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第十一条  无效合同</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    甲乙双方如因违反国家法律、法规和有关政府采购规定，导致合同无效，责任由过错方承担。</w:t>
      </w:r>
    </w:p>
    <w:p>
      <w:pPr>
        <w:tabs>
          <w:tab w:val="left" w:pos="1004"/>
        </w:tabs>
        <w:spacing w:line="480" w:lineRule="auto"/>
        <w:rPr>
          <w:rFonts w:ascii="宋体" w:hAnsi="宋体"/>
          <w:bCs/>
          <w:color w:val="auto"/>
          <w:szCs w:val="21"/>
          <w:highlight w:val="none"/>
        </w:rPr>
      </w:pPr>
      <w:r>
        <w:rPr>
          <w:rFonts w:hint="eastAsia" w:ascii="宋体" w:hAnsi="宋体"/>
          <w:bCs/>
          <w:color w:val="auto"/>
          <w:szCs w:val="21"/>
          <w:highlight w:val="none"/>
        </w:rPr>
        <w:t xml:space="preserve">第十二条  附则   </w:t>
      </w:r>
    </w:p>
    <w:p>
      <w:pPr>
        <w:tabs>
          <w:tab w:val="left" w:pos="1004"/>
        </w:tabs>
        <w:spacing w:line="480" w:lineRule="auto"/>
        <w:ind w:firstLine="420" w:firstLineChars="200"/>
        <w:rPr>
          <w:rFonts w:ascii="宋体" w:hAnsi="宋体"/>
          <w:bCs/>
          <w:color w:val="auto"/>
          <w:szCs w:val="21"/>
          <w:highlight w:val="none"/>
        </w:rPr>
      </w:pPr>
      <w:r>
        <w:rPr>
          <w:rFonts w:hint="eastAsia" w:ascii="宋体" w:hAnsi="宋体"/>
          <w:bCs/>
          <w:color w:val="auto"/>
          <w:szCs w:val="21"/>
          <w:highlight w:val="none"/>
        </w:rPr>
        <w:t>本合同一式</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份，甲乙双方各执</w:t>
      </w:r>
      <w:r>
        <w:rPr>
          <w:rFonts w:hint="eastAsia" w:ascii="宋体" w:hAnsi="宋体"/>
          <w:bCs/>
          <w:color w:val="auto"/>
          <w:szCs w:val="21"/>
          <w:highlight w:val="none"/>
          <w:u w:val="single"/>
        </w:rPr>
        <w:t xml:space="preserve">    </w:t>
      </w:r>
      <w:r>
        <w:rPr>
          <w:rFonts w:hint="eastAsia" w:ascii="宋体" w:hAnsi="宋体"/>
          <w:bCs/>
          <w:color w:val="auto"/>
          <w:szCs w:val="21"/>
          <w:highlight w:val="none"/>
        </w:rPr>
        <w:t>份。</w:t>
      </w:r>
    </w:p>
    <w:p>
      <w:pPr>
        <w:spacing w:line="480" w:lineRule="auto"/>
        <w:ind w:left="752" w:leftChars="358" w:firstLine="420"/>
        <w:rPr>
          <w:rFonts w:ascii="宋体" w:hAnsi="宋体"/>
          <w:bCs/>
          <w:color w:val="auto"/>
          <w:szCs w:val="21"/>
          <w:highlight w:val="none"/>
        </w:rPr>
      </w:pPr>
    </w:p>
    <w:p>
      <w:pPr>
        <w:spacing w:line="480" w:lineRule="auto"/>
        <w:ind w:left="752" w:leftChars="358" w:firstLine="420"/>
        <w:rPr>
          <w:rFonts w:ascii="宋体" w:hAnsi="宋体"/>
          <w:bCs/>
          <w:color w:val="auto"/>
          <w:szCs w:val="21"/>
          <w:highlight w:val="none"/>
        </w:rPr>
      </w:pPr>
    </w:p>
    <w:p>
      <w:pPr>
        <w:tabs>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 xml:space="preserve">甲方：  </w:t>
      </w:r>
      <w:r>
        <w:rPr>
          <w:rFonts w:hint="eastAsia" w:ascii="宋体" w:hAnsi="宋体"/>
          <w:bCs/>
          <w:color w:val="auto"/>
          <w:szCs w:val="21"/>
          <w:highlight w:val="none"/>
        </w:rPr>
        <w:tab/>
      </w:r>
      <w:r>
        <w:rPr>
          <w:rFonts w:hint="eastAsia" w:ascii="宋体" w:hAnsi="宋体"/>
          <w:bCs/>
          <w:color w:val="auto"/>
          <w:szCs w:val="21"/>
          <w:highlight w:val="none"/>
        </w:rPr>
        <w:t>乙方：</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法定代表人：</w:t>
      </w:r>
      <w:r>
        <w:rPr>
          <w:rFonts w:hint="eastAsia" w:ascii="宋体" w:hAnsi="宋体"/>
          <w:bCs/>
          <w:color w:val="auto"/>
          <w:szCs w:val="21"/>
          <w:highlight w:val="none"/>
        </w:rPr>
        <w:tab/>
      </w:r>
      <w:r>
        <w:rPr>
          <w:rFonts w:hint="eastAsia" w:ascii="宋体" w:hAnsi="宋体"/>
          <w:bCs/>
          <w:color w:val="auto"/>
          <w:szCs w:val="21"/>
          <w:highlight w:val="none"/>
        </w:rPr>
        <w:t>法定代表人：</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委托代理人：</w:t>
      </w:r>
      <w:r>
        <w:rPr>
          <w:rFonts w:hint="eastAsia" w:ascii="宋体" w:hAnsi="宋体"/>
          <w:bCs/>
          <w:color w:val="auto"/>
          <w:szCs w:val="21"/>
          <w:highlight w:val="none"/>
        </w:rPr>
        <w:tab/>
      </w:r>
      <w:r>
        <w:rPr>
          <w:rFonts w:hint="eastAsia" w:ascii="宋体" w:hAnsi="宋体"/>
          <w:bCs/>
          <w:color w:val="auto"/>
          <w:szCs w:val="21"/>
          <w:highlight w:val="none"/>
        </w:rPr>
        <w:t>委托代理人：</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地址：</w:t>
      </w:r>
      <w:r>
        <w:rPr>
          <w:rFonts w:hint="eastAsia" w:ascii="宋体" w:hAnsi="宋体"/>
          <w:bCs/>
          <w:color w:val="auto"/>
          <w:szCs w:val="21"/>
          <w:highlight w:val="none"/>
        </w:rPr>
        <w:tab/>
      </w:r>
      <w:r>
        <w:rPr>
          <w:rFonts w:hint="eastAsia" w:ascii="宋体" w:hAnsi="宋体"/>
          <w:bCs/>
          <w:color w:val="auto"/>
          <w:szCs w:val="21"/>
          <w:highlight w:val="none"/>
        </w:rPr>
        <w:t>地址：</w:t>
      </w:r>
    </w:p>
    <w:p>
      <w:pPr>
        <w:tabs>
          <w:tab w:val="left" w:pos="1004"/>
          <w:tab w:val="left" w:pos="4267"/>
        </w:tabs>
        <w:spacing w:line="480" w:lineRule="auto"/>
        <w:rPr>
          <w:rFonts w:ascii="宋体" w:hAnsi="宋体"/>
          <w:bCs/>
          <w:color w:val="auto"/>
          <w:szCs w:val="21"/>
          <w:highlight w:val="none"/>
        </w:rPr>
      </w:pPr>
      <w:r>
        <w:rPr>
          <w:rFonts w:hint="eastAsia" w:ascii="宋体" w:hAnsi="宋体"/>
          <w:bCs/>
          <w:color w:val="auto"/>
          <w:szCs w:val="21"/>
          <w:highlight w:val="none"/>
        </w:rPr>
        <w:t>开户银行：</w:t>
      </w:r>
      <w:r>
        <w:rPr>
          <w:rFonts w:hint="eastAsia" w:ascii="宋体" w:hAnsi="宋体"/>
          <w:bCs/>
          <w:color w:val="auto"/>
          <w:szCs w:val="21"/>
          <w:highlight w:val="none"/>
        </w:rPr>
        <w:tab/>
      </w:r>
      <w:r>
        <w:rPr>
          <w:rFonts w:hint="eastAsia" w:ascii="宋体" w:hAnsi="宋体"/>
          <w:bCs/>
          <w:color w:val="auto"/>
          <w:szCs w:val="21"/>
          <w:highlight w:val="none"/>
        </w:rPr>
        <w:t>开户银行：</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帐号：</w:t>
      </w:r>
      <w:r>
        <w:rPr>
          <w:rFonts w:hint="eastAsia" w:ascii="宋体" w:hAnsi="宋体"/>
          <w:bCs/>
          <w:color w:val="auto"/>
          <w:szCs w:val="21"/>
          <w:highlight w:val="none"/>
        </w:rPr>
        <w:tab/>
      </w:r>
      <w:r>
        <w:rPr>
          <w:rFonts w:hint="eastAsia" w:ascii="宋体" w:hAnsi="宋体"/>
          <w:bCs/>
          <w:color w:val="auto"/>
          <w:szCs w:val="21"/>
          <w:highlight w:val="none"/>
        </w:rPr>
        <w:t>帐号：</w:t>
      </w:r>
    </w:p>
    <w:p>
      <w:pPr>
        <w:tabs>
          <w:tab w:val="left" w:pos="4267"/>
          <w:tab w:val="left" w:pos="4360"/>
        </w:tabs>
        <w:spacing w:line="480" w:lineRule="auto"/>
        <w:rPr>
          <w:rFonts w:ascii="宋体" w:hAnsi="宋体"/>
          <w:bCs/>
          <w:color w:val="auto"/>
          <w:szCs w:val="21"/>
          <w:highlight w:val="none"/>
        </w:rPr>
      </w:pPr>
      <w:r>
        <w:rPr>
          <w:rFonts w:hint="eastAsia" w:ascii="宋体" w:hAnsi="宋体"/>
          <w:bCs/>
          <w:color w:val="auto"/>
          <w:szCs w:val="21"/>
          <w:highlight w:val="none"/>
        </w:rPr>
        <w:t>电话：</w:t>
      </w:r>
      <w:r>
        <w:rPr>
          <w:rFonts w:hint="eastAsia" w:ascii="宋体" w:hAnsi="宋体"/>
          <w:bCs/>
          <w:color w:val="auto"/>
          <w:szCs w:val="21"/>
          <w:highlight w:val="none"/>
        </w:rPr>
        <w:tab/>
      </w:r>
      <w:r>
        <w:rPr>
          <w:rFonts w:hint="eastAsia" w:ascii="宋体" w:hAnsi="宋体"/>
          <w:bCs/>
          <w:color w:val="auto"/>
          <w:szCs w:val="21"/>
          <w:highlight w:val="none"/>
        </w:rPr>
        <w:t>电话：</w:t>
      </w:r>
    </w:p>
    <w:p>
      <w:pPr>
        <w:tabs>
          <w:tab w:val="left" w:pos="1004"/>
        </w:tabs>
        <w:spacing w:line="480" w:lineRule="auto"/>
        <w:ind w:firstLine="630" w:firstLineChars="300"/>
        <w:rPr>
          <w:rFonts w:ascii="宋体" w:hAnsi="宋体"/>
          <w:bCs/>
          <w:color w:val="auto"/>
          <w:szCs w:val="21"/>
          <w:highlight w:val="none"/>
        </w:rPr>
      </w:pPr>
      <w:r>
        <w:rPr>
          <w:rFonts w:hint="eastAsia" w:ascii="宋体" w:hAnsi="宋体"/>
          <w:bCs/>
          <w:color w:val="auto"/>
          <w:szCs w:val="21"/>
          <w:highlight w:val="none"/>
        </w:rPr>
        <w:t>年  月  日                          年  月  日</w:t>
      </w:r>
    </w:p>
    <w:p>
      <w:pPr>
        <w:tabs>
          <w:tab w:val="left" w:pos="1004"/>
        </w:tabs>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
          <w:bCs/>
          <w:color w:val="auto"/>
          <w:szCs w:val="21"/>
          <w:highlight w:val="none"/>
        </w:rPr>
        <w:t>本合同样本仅供参考，具体条款内容由采购人和成交单位协商确定，但不得改变谈判文件、谈判响应文件、成交通知书等实质性内容</w:t>
      </w:r>
      <w:r>
        <w:rPr>
          <w:rFonts w:hint="eastAsia" w:ascii="宋体" w:hAnsi="宋体"/>
          <w:bCs/>
          <w:color w:val="auto"/>
          <w:szCs w:val="21"/>
          <w:highlight w:val="none"/>
        </w:rPr>
        <w:t>。</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pStyle w:val="3"/>
        <w:numPr>
          <w:ilvl w:val="0"/>
          <w:numId w:val="0"/>
        </w:numPr>
        <w:spacing w:after="120" w:line="360" w:lineRule="auto"/>
        <w:jc w:val="center"/>
        <w:rPr>
          <w:rFonts w:ascii="宋体" w:hAnsi="宋体"/>
          <w:color w:val="auto"/>
          <w:sz w:val="21"/>
          <w:szCs w:val="21"/>
          <w:highlight w:val="none"/>
        </w:rPr>
      </w:pPr>
      <w:bookmarkStart w:id="221" w:name="_Toc200414512"/>
      <w:bookmarkStart w:id="222" w:name="_Toc6412"/>
      <w:bookmarkStart w:id="223" w:name="_Toc19187"/>
      <w:r>
        <w:rPr>
          <w:rFonts w:hint="eastAsia" w:ascii="宋体" w:hAnsi="宋体"/>
          <w:color w:val="auto"/>
          <w:sz w:val="21"/>
          <w:szCs w:val="21"/>
          <w:highlight w:val="none"/>
        </w:rPr>
        <w:t>第五部分  谈判文件格式</w:t>
      </w:r>
      <w:bookmarkEnd w:id="221"/>
      <w:bookmarkEnd w:id="222"/>
      <w:bookmarkEnd w:id="223"/>
    </w:p>
    <w:p>
      <w:pPr>
        <w:pStyle w:val="4"/>
        <w:numPr>
          <w:ilvl w:val="1"/>
          <w:numId w:val="0"/>
        </w:numPr>
        <w:spacing w:line="360" w:lineRule="auto"/>
        <w:jc w:val="center"/>
        <w:rPr>
          <w:rFonts w:ascii="宋体" w:hAnsi="宋体" w:eastAsia="宋体"/>
          <w:color w:val="auto"/>
          <w:highlight w:val="none"/>
        </w:rPr>
      </w:pPr>
      <w:bookmarkStart w:id="224" w:name="_Toc23754"/>
      <w:bookmarkStart w:id="225" w:name="_Toc17832"/>
      <w:bookmarkStart w:id="226" w:name="_Toc200414513"/>
      <w:r>
        <w:rPr>
          <w:rFonts w:hint="eastAsia" w:ascii="宋体" w:hAnsi="宋体" w:eastAsia="宋体"/>
          <w:color w:val="auto"/>
          <w:highlight w:val="none"/>
        </w:rPr>
        <w:t>封面格式</w:t>
      </w:r>
      <w:bookmarkEnd w:id="224"/>
      <w:bookmarkEnd w:id="225"/>
      <w:bookmarkEnd w:id="226"/>
    </w:p>
    <w:p>
      <w:pPr>
        <w:pStyle w:val="5"/>
        <w:spacing w:line="360" w:lineRule="auto"/>
        <w:rPr>
          <w:rFonts w:ascii="宋体" w:hAnsi="宋体"/>
          <w:bCs/>
          <w:color w:val="auto"/>
          <w:szCs w:val="24"/>
          <w:highlight w:val="none"/>
        </w:rPr>
      </w:pPr>
    </w:p>
    <w:p>
      <w:pPr>
        <w:pStyle w:val="5"/>
        <w:spacing w:line="360" w:lineRule="auto"/>
        <w:rPr>
          <w:rFonts w:ascii="宋体" w:hAnsi="宋体"/>
          <w:bCs/>
          <w:color w:val="auto"/>
          <w:szCs w:val="24"/>
          <w:highlight w:val="none"/>
        </w:rPr>
      </w:pPr>
      <w:r>
        <w:rPr>
          <w:rFonts w:hint="eastAsia" w:ascii="宋体" w:hAnsi="宋体"/>
          <w:bCs/>
          <w:color w:val="auto"/>
          <w:highlight w:val="none"/>
        </w:rPr>
        <w:t>文件内容应当编有目录、页码，按页码排序并装订成册；一切未装订成册的文件在开标、评标过程中若出现缺页、漏页等现象可能影响投标人评审结果的，后果将由投标人本人负责。</w:t>
      </w:r>
    </w:p>
    <w:p>
      <w:pPr>
        <w:pStyle w:val="5"/>
        <w:spacing w:line="360" w:lineRule="auto"/>
        <w:ind w:left="315" w:leftChars="150" w:firstLine="0"/>
        <w:rPr>
          <w:rFonts w:ascii="宋体" w:hAnsi="宋体"/>
          <w:bCs/>
          <w:color w:val="auto"/>
          <w:szCs w:val="24"/>
          <w:highlight w:val="none"/>
        </w:rPr>
      </w:pPr>
      <w:r>
        <w:rPr>
          <w:rFonts w:hint="eastAsia" w:ascii="宋体" w:hAnsi="宋体"/>
          <w:bCs/>
          <w:color w:val="auto"/>
          <w:szCs w:val="24"/>
          <w:highlight w:val="none"/>
        </w:rPr>
        <w:t>谈判响应文件的封面格式由供应商自拟，并应注明“谈判响应文件、项目编号、项目名称、供应商</w:t>
      </w:r>
    </w:p>
    <w:p>
      <w:pPr>
        <w:pStyle w:val="5"/>
        <w:spacing w:line="360" w:lineRule="auto"/>
        <w:ind w:firstLine="0"/>
        <w:rPr>
          <w:rFonts w:ascii="宋体" w:hAnsi="宋体"/>
          <w:bCs/>
          <w:color w:val="auto"/>
          <w:szCs w:val="24"/>
          <w:highlight w:val="none"/>
        </w:rPr>
      </w:pPr>
      <w:r>
        <w:rPr>
          <w:rFonts w:hint="eastAsia" w:ascii="宋体" w:hAnsi="宋体"/>
          <w:bCs/>
          <w:color w:val="auto"/>
          <w:szCs w:val="24"/>
          <w:highlight w:val="none"/>
        </w:rPr>
        <w:t>名称及地址、法定代表人（负责人）或授权代理人、联系电话、传真、邮编，并加盖供应商公章。如：</w:t>
      </w:r>
    </w:p>
    <w:p>
      <w:pPr>
        <w:pStyle w:val="5"/>
        <w:spacing w:line="360" w:lineRule="auto"/>
        <w:rPr>
          <w:rFonts w:ascii="宋体" w:hAnsi="宋体"/>
          <w:bCs/>
          <w:color w:val="auto"/>
          <w:szCs w:val="24"/>
          <w:highlight w:val="none"/>
        </w:rPr>
      </w:pPr>
    </w:p>
    <w:p>
      <w:pPr>
        <w:pStyle w:val="5"/>
        <w:spacing w:line="360" w:lineRule="auto"/>
        <w:rPr>
          <w:rFonts w:ascii="宋体" w:hAnsi="宋体"/>
          <w:bCs/>
          <w:color w:val="auto"/>
          <w:szCs w:val="24"/>
          <w:highlight w:val="none"/>
        </w:rPr>
      </w:pPr>
    </w:p>
    <w:p>
      <w:pPr>
        <w:pStyle w:val="5"/>
        <w:spacing w:line="360" w:lineRule="auto"/>
        <w:rPr>
          <w:rFonts w:ascii="宋体" w:hAnsi="宋体"/>
          <w:bCs/>
          <w:color w:val="auto"/>
          <w:szCs w:val="24"/>
          <w:highlight w:val="none"/>
        </w:rPr>
      </w:pPr>
    </w:p>
    <w:p>
      <w:pPr>
        <w:pStyle w:val="5"/>
        <w:spacing w:line="360" w:lineRule="auto"/>
        <w:jc w:val="center"/>
        <w:rPr>
          <w:rFonts w:ascii="宋体" w:hAnsi="宋体"/>
          <w:b/>
          <w:bCs/>
          <w:color w:val="auto"/>
          <w:sz w:val="44"/>
          <w:szCs w:val="44"/>
          <w:highlight w:val="none"/>
        </w:rPr>
      </w:pPr>
      <w:r>
        <w:rPr>
          <w:rFonts w:hint="eastAsia" w:ascii="宋体" w:hAnsi="宋体"/>
          <w:b/>
          <w:bCs/>
          <w:color w:val="auto"/>
          <w:sz w:val="44"/>
          <w:szCs w:val="44"/>
          <w:highlight w:val="none"/>
        </w:rPr>
        <w:t>谈判响应文件</w:t>
      </w:r>
    </w:p>
    <w:p>
      <w:pPr>
        <w:pStyle w:val="5"/>
        <w:spacing w:line="360" w:lineRule="auto"/>
        <w:jc w:val="center"/>
        <w:rPr>
          <w:rFonts w:ascii="宋体" w:hAnsi="宋体"/>
          <w:b/>
          <w:bCs/>
          <w:color w:val="auto"/>
          <w:sz w:val="32"/>
          <w:szCs w:val="32"/>
          <w:highlight w:val="none"/>
        </w:rPr>
      </w:pPr>
      <w:r>
        <w:rPr>
          <w:rFonts w:hint="eastAsia" w:ascii="宋体" w:hAnsi="宋体"/>
          <w:b/>
          <w:bCs/>
          <w:color w:val="auto"/>
          <w:sz w:val="32"/>
          <w:szCs w:val="32"/>
          <w:highlight w:val="none"/>
        </w:rPr>
        <w:t>（□正本、□副本）</w:t>
      </w:r>
    </w:p>
    <w:p>
      <w:pPr>
        <w:pStyle w:val="5"/>
        <w:spacing w:line="360" w:lineRule="auto"/>
        <w:jc w:val="center"/>
        <w:rPr>
          <w:rFonts w:ascii="宋体" w:hAnsi="宋体"/>
          <w:bCs/>
          <w:color w:val="auto"/>
          <w:szCs w:val="24"/>
          <w:highlight w:val="none"/>
        </w:rPr>
      </w:pPr>
    </w:p>
    <w:p>
      <w:pPr>
        <w:pStyle w:val="5"/>
        <w:spacing w:line="360" w:lineRule="auto"/>
        <w:jc w:val="center"/>
        <w:rPr>
          <w:rFonts w:ascii="宋体" w:hAnsi="宋体"/>
          <w:bCs/>
          <w:color w:val="auto"/>
          <w:szCs w:val="24"/>
          <w:highlight w:val="none"/>
        </w:rPr>
      </w:pPr>
    </w:p>
    <w:p>
      <w:pPr>
        <w:pStyle w:val="5"/>
        <w:spacing w:line="360" w:lineRule="auto"/>
        <w:rPr>
          <w:rFonts w:hint="eastAsia" w:ascii="宋体" w:hAnsi="宋体" w:eastAsia="宋体"/>
          <w:bCs/>
          <w:color w:val="auto"/>
          <w:szCs w:val="24"/>
          <w:highlight w:val="none"/>
          <w:lang w:eastAsia="zh-CN"/>
        </w:rPr>
      </w:pPr>
      <w:r>
        <w:rPr>
          <w:rFonts w:hint="eastAsia" w:ascii="宋体" w:hAnsi="宋体"/>
          <w:bCs/>
          <w:color w:val="auto"/>
          <w:szCs w:val="24"/>
          <w:highlight w:val="none"/>
        </w:rPr>
        <w:t>项目编号：</w:t>
      </w:r>
      <w:r>
        <w:rPr>
          <w:rFonts w:hint="eastAsia" w:ascii="宋体" w:hAnsi="宋体"/>
          <w:b/>
          <w:bCs/>
          <w:color w:val="auto"/>
          <w:szCs w:val="24"/>
          <w:highlight w:val="none"/>
          <w:u w:val="single"/>
          <w:lang w:eastAsia="zh-CN"/>
        </w:rPr>
        <w:t>YXZB-20220608</w:t>
      </w:r>
    </w:p>
    <w:p>
      <w:pPr>
        <w:pStyle w:val="5"/>
        <w:spacing w:line="360" w:lineRule="auto"/>
        <w:rPr>
          <w:rFonts w:ascii="宋体" w:hAnsi="宋体"/>
          <w:bCs/>
          <w:color w:val="auto"/>
          <w:szCs w:val="24"/>
          <w:highlight w:val="none"/>
          <w:u w:val="single"/>
        </w:rPr>
      </w:pPr>
      <w:r>
        <w:rPr>
          <w:rFonts w:hint="eastAsia" w:ascii="宋体" w:hAnsi="宋体"/>
          <w:bCs/>
          <w:color w:val="auto"/>
          <w:szCs w:val="24"/>
          <w:highlight w:val="none"/>
        </w:rPr>
        <w:t>项目名称：</w:t>
      </w:r>
      <w:r>
        <w:rPr>
          <w:rFonts w:hint="eastAsia" w:ascii="宋体" w:hAnsi="宋体" w:cs="宋体"/>
          <w:b/>
          <w:color w:val="auto"/>
          <w:szCs w:val="21"/>
          <w:highlight w:val="none"/>
          <w:u w:val="single"/>
        </w:rPr>
        <w:t xml:space="preserve">项目名称，由供应商填写               </w:t>
      </w:r>
    </w:p>
    <w:p>
      <w:pPr>
        <w:pStyle w:val="5"/>
        <w:spacing w:line="360" w:lineRule="auto"/>
        <w:rPr>
          <w:rFonts w:ascii="宋体" w:hAnsi="宋体"/>
          <w:bCs/>
          <w:color w:val="auto"/>
          <w:szCs w:val="24"/>
          <w:highlight w:val="none"/>
          <w:u w:val="single"/>
        </w:rPr>
      </w:pPr>
      <w:r>
        <w:rPr>
          <w:rFonts w:hint="eastAsia" w:ascii="宋体" w:hAnsi="宋体"/>
          <w:bCs/>
          <w:color w:val="auto"/>
          <w:szCs w:val="24"/>
          <w:highlight w:val="none"/>
        </w:rPr>
        <w:t>供应商名称（加盖公章）：</w:t>
      </w:r>
    </w:p>
    <w:p>
      <w:pPr>
        <w:pStyle w:val="5"/>
        <w:spacing w:line="360" w:lineRule="auto"/>
        <w:rPr>
          <w:rFonts w:ascii="宋体" w:hAnsi="宋体"/>
          <w:bCs/>
          <w:color w:val="auto"/>
          <w:szCs w:val="24"/>
          <w:highlight w:val="none"/>
          <w:u w:val="single"/>
        </w:rPr>
      </w:pPr>
      <w:r>
        <w:rPr>
          <w:rFonts w:hint="eastAsia" w:ascii="宋体" w:hAnsi="宋体"/>
          <w:bCs/>
          <w:color w:val="auto"/>
          <w:szCs w:val="24"/>
          <w:highlight w:val="none"/>
        </w:rPr>
        <w:t>供应商地址：</w:t>
      </w:r>
    </w:p>
    <w:p>
      <w:pPr>
        <w:pStyle w:val="5"/>
        <w:spacing w:line="360" w:lineRule="auto"/>
        <w:rPr>
          <w:rFonts w:ascii="宋体" w:hAnsi="宋体"/>
          <w:bCs/>
          <w:color w:val="auto"/>
          <w:szCs w:val="24"/>
          <w:highlight w:val="none"/>
          <w:u w:val="single"/>
        </w:rPr>
      </w:pPr>
      <w:r>
        <w:rPr>
          <w:rFonts w:hint="eastAsia" w:ascii="宋体" w:hAnsi="宋体"/>
          <w:bCs/>
          <w:color w:val="auto"/>
          <w:szCs w:val="24"/>
          <w:highlight w:val="none"/>
        </w:rPr>
        <w:t>法定代表人（负责人）或授权代理人（签字）</w:t>
      </w:r>
      <w:r>
        <w:rPr>
          <w:rFonts w:ascii="宋体" w:hAnsi="宋体"/>
          <w:bCs/>
          <w:color w:val="auto"/>
          <w:szCs w:val="24"/>
          <w:highlight w:val="none"/>
        </w:rPr>
        <w:t>：</w:t>
      </w:r>
    </w:p>
    <w:p>
      <w:pPr>
        <w:pStyle w:val="5"/>
        <w:spacing w:line="360" w:lineRule="auto"/>
        <w:rPr>
          <w:rFonts w:ascii="宋体" w:hAnsi="宋体"/>
          <w:bCs/>
          <w:color w:val="auto"/>
          <w:szCs w:val="24"/>
          <w:highlight w:val="none"/>
        </w:rPr>
      </w:pPr>
      <w:r>
        <w:rPr>
          <w:rFonts w:hint="eastAsia" w:ascii="宋体" w:hAnsi="宋体"/>
          <w:bCs/>
          <w:color w:val="auto"/>
          <w:szCs w:val="24"/>
          <w:highlight w:val="none"/>
        </w:rPr>
        <w:t>联系</w:t>
      </w:r>
      <w:r>
        <w:rPr>
          <w:rFonts w:ascii="宋体" w:hAnsi="宋体"/>
          <w:bCs/>
          <w:color w:val="auto"/>
          <w:szCs w:val="24"/>
          <w:highlight w:val="none"/>
        </w:rPr>
        <w:t>电话：</w:t>
      </w:r>
    </w:p>
    <w:p>
      <w:pPr>
        <w:pStyle w:val="5"/>
        <w:spacing w:line="360" w:lineRule="auto"/>
        <w:ind w:firstLineChars="200"/>
        <w:rPr>
          <w:rFonts w:ascii="宋体" w:hAnsi="宋体"/>
          <w:bCs/>
          <w:color w:val="auto"/>
          <w:szCs w:val="24"/>
          <w:highlight w:val="none"/>
          <w:u w:val="single"/>
        </w:rPr>
      </w:pPr>
      <w:r>
        <w:rPr>
          <w:rFonts w:hint="eastAsia" w:ascii="宋体" w:hAnsi="宋体"/>
          <w:bCs/>
          <w:color w:val="auto"/>
          <w:szCs w:val="24"/>
          <w:highlight w:val="none"/>
        </w:rPr>
        <w:t>传真：</w:t>
      </w:r>
    </w:p>
    <w:p>
      <w:pPr>
        <w:pStyle w:val="5"/>
        <w:spacing w:line="360" w:lineRule="auto"/>
        <w:rPr>
          <w:rFonts w:ascii="宋体" w:hAnsi="宋体"/>
          <w:bCs/>
          <w:color w:val="auto"/>
          <w:szCs w:val="24"/>
          <w:highlight w:val="none"/>
          <w:u w:val="single"/>
        </w:rPr>
      </w:pPr>
      <w:r>
        <w:rPr>
          <w:rFonts w:ascii="宋体" w:hAnsi="宋体"/>
          <w:bCs/>
          <w:color w:val="auto"/>
          <w:szCs w:val="24"/>
          <w:highlight w:val="none"/>
        </w:rPr>
        <w:t>邮编：</w:t>
      </w:r>
    </w:p>
    <w:p>
      <w:pPr>
        <w:pStyle w:val="5"/>
        <w:spacing w:line="360" w:lineRule="auto"/>
        <w:rPr>
          <w:rFonts w:ascii="宋体" w:hAnsi="宋体"/>
          <w:color w:val="auto"/>
          <w:highlight w:val="none"/>
        </w:rPr>
      </w:pPr>
      <w:r>
        <w:rPr>
          <w:rFonts w:hint="eastAsia" w:ascii="宋体" w:hAnsi="宋体"/>
          <w:bCs/>
          <w:color w:val="auto"/>
          <w:szCs w:val="24"/>
          <w:highlight w:val="none"/>
        </w:rPr>
        <w:t>编制日期：年月日</w:t>
      </w:r>
    </w:p>
    <w:p>
      <w:pPr>
        <w:tabs>
          <w:tab w:val="left" w:pos="1004"/>
          <w:tab w:val="left" w:pos="4267"/>
        </w:tabs>
        <w:spacing w:line="360" w:lineRule="auto"/>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pPr>
    </w:p>
    <w:p>
      <w:pPr>
        <w:tabs>
          <w:tab w:val="left" w:pos="1004"/>
          <w:tab w:val="left" w:pos="4267"/>
        </w:tabs>
        <w:spacing w:line="360" w:lineRule="auto"/>
        <w:rPr>
          <w:rFonts w:ascii="宋体" w:hAnsi="宋体"/>
          <w:bCs/>
          <w:color w:val="auto"/>
          <w:highlight w:val="none"/>
        </w:rPr>
      </w:pPr>
    </w:p>
    <w:p>
      <w:pPr>
        <w:tabs>
          <w:tab w:val="left" w:pos="1004"/>
          <w:tab w:val="left" w:pos="4267"/>
        </w:tabs>
        <w:spacing w:line="360" w:lineRule="auto"/>
        <w:ind w:firstLine="420" w:firstLineChars="200"/>
        <w:rPr>
          <w:rFonts w:ascii="宋体" w:hAnsi="宋体"/>
          <w:bCs/>
          <w:color w:val="auto"/>
          <w:highlight w:val="none"/>
        </w:rPr>
        <w:sectPr>
          <w:pgSz w:w="11906" w:h="16838"/>
          <w:pgMar w:top="1191" w:right="1247" w:bottom="1191" w:left="1247" w:header="851" w:footer="992" w:gutter="0"/>
          <w:cols w:space="720" w:num="1"/>
          <w:docGrid w:linePitch="312" w:charSpace="0"/>
        </w:sectPr>
      </w:pPr>
    </w:p>
    <w:p>
      <w:pPr>
        <w:pStyle w:val="4"/>
        <w:numPr>
          <w:ilvl w:val="1"/>
          <w:numId w:val="0"/>
        </w:numPr>
        <w:spacing w:line="360" w:lineRule="auto"/>
        <w:jc w:val="center"/>
        <w:rPr>
          <w:rFonts w:ascii="宋体" w:hAnsi="宋体" w:eastAsia="宋体"/>
          <w:color w:val="auto"/>
          <w:sz w:val="21"/>
          <w:szCs w:val="21"/>
          <w:highlight w:val="none"/>
        </w:rPr>
      </w:pPr>
      <w:bookmarkStart w:id="227" w:name="_Toc26471"/>
      <w:bookmarkStart w:id="228" w:name="_Toc26563"/>
      <w:bookmarkStart w:id="229" w:name="_Toc200414514"/>
      <w:r>
        <w:rPr>
          <w:rFonts w:hint="eastAsia" w:ascii="宋体" w:hAnsi="宋体" w:eastAsia="宋体"/>
          <w:color w:val="auto"/>
          <w:sz w:val="21"/>
          <w:szCs w:val="21"/>
          <w:highlight w:val="none"/>
        </w:rPr>
        <w:t>第一章  资格性/符合性自查表</w:t>
      </w:r>
      <w:bookmarkEnd w:id="227"/>
      <w:bookmarkEnd w:id="228"/>
      <w:bookmarkEnd w:id="229"/>
    </w:p>
    <w:tbl>
      <w:tblPr>
        <w:tblStyle w:val="43"/>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217"/>
        <w:gridCol w:w="2964"/>
        <w:gridCol w:w="1786"/>
        <w:gridCol w:w="2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93" w:type="dxa"/>
            <w:gridSpan w:val="2"/>
            <w:vAlign w:val="center"/>
          </w:tcPr>
          <w:p>
            <w:pPr>
              <w:tabs>
                <w:tab w:val="left" w:pos="480"/>
              </w:tabs>
              <w:ind w:left="480" w:hanging="480"/>
              <w:jc w:val="center"/>
              <w:rPr>
                <w:rFonts w:ascii="宋体" w:hAnsi="宋体"/>
                <w:b/>
                <w:bCs/>
                <w:color w:val="auto"/>
                <w:sz w:val="21"/>
                <w:szCs w:val="21"/>
                <w:highlight w:val="none"/>
              </w:rPr>
            </w:pPr>
            <w:r>
              <w:rPr>
                <w:rFonts w:hint="eastAsia" w:ascii="宋体" w:hAnsi="宋体"/>
                <w:b/>
                <w:bCs/>
                <w:color w:val="auto"/>
                <w:sz w:val="21"/>
                <w:szCs w:val="21"/>
                <w:highlight w:val="none"/>
              </w:rPr>
              <w:t>评审内容</w:t>
            </w:r>
          </w:p>
        </w:tc>
        <w:tc>
          <w:tcPr>
            <w:tcW w:w="2964" w:type="dxa"/>
            <w:vAlign w:val="center"/>
          </w:tcPr>
          <w:p>
            <w:pPr>
              <w:tabs>
                <w:tab w:val="left" w:pos="480"/>
              </w:tabs>
              <w:ind w:left="480" w:hanging="480"/>
              <w:jc w:val="center"/>
              <w:rPr>
                <w:rFonts w:ascii="宋体" w:hAnsi="宋体"/>
                <w:b/>
                <w:bCs/>
                <w:color w:val="auto"/>
                <w:sz w:val="21"/>
                <w:szCs w:val="21"/>
                <w:highlight w:val="none"/>
              </w:rPr>
            </w:pPr>
            <w:r>
              <w:rPr>
                <w:rFonts w:hint="eastAsia" w:ascii="宋体" w:hAnsi="宋体"/>
                <w:b/>
                <w:bCs/>
                <w:color w:val="auto"/>
                <w:sz w:val="21"/>
                <w:szCs w:val="21"/>
                <w:highlight w:val="none"/>
              </w:rPr>
              <w:t>谈判文件要求</w:t>
            </w:r>
          </w:p>
        </w:tc>
        <w:tc>
          <w:tcPr>
            <w:tcW w:w="1786" w:type="dxa"/>
            <w:vAlign w:val="center"/>
          </w:tcPr>
          <w:p>
            <w:pPr>
              <w:tabs>
                <w:tab w:val="left" w:pos="480"/>
              </w:tabs>
              <w:ind w:left="480" w:hanging="480"/>
              <w:jc w:val="center"/>
              <w:rPr>
                <w:rFonts w:ascii="宋体" w:hAnsi="宋体"/>
                <w:b/>
                <w:bCs/>
                <w:color w:val="auto"/>
                <w:sz w:val="21"/>
                <w:szCs w:val="21"/>
                <w:highlight w:val="none"/>
              </w:rPr>
            </w:pPr>
            <w:r>
              <w:rPr>
                <w:rFonts w:hint="eastAsia" w:ascii="宋体" w:hAnsi="宋体"/>
                <w:b/>
                <w:bCs/>
                <w:color w:val="auto"/>
                <w:sz w:val="21"/>
                <w:szCs w:val="21"/>
                <w:highlight w:val="none"/>
              </w:rPr>
              <w:t>自查结论</w:t>
            </w:r>
          </w:p>
          <w:p>
            <w:pPr>
              <w:tabs>
                <w:tab w:val="left" w:pos="480"/>
              </w:tabs>
              <w:ind w:left="480" w:hanging="480"/>
              <w:jc w:val="center"/>
              <w:rPr>
                <w:rFonts w:ascii="宋体" w:hAnsi="宋体"/>
                <w:bCs/>
                <w:color w:val="auto"/>
                <w:sz w:val="21"/>
                <w:szCs w:val="21"/>
                <w:highlight w:val="none"/>
              </w:rPr>
            </w:pPr>
            <w:r>
              <w:rPr>
                <w:rFonts w:hint="eastAsia" w:ascii="宋体" w:hAnsi="宋体"/>
                <w:bCs/>
                <w:color w:val="auto"/>
                <w:sz w:val="21"/>
                <w:szCs w:val="21"/>
                <w:highlight w:val="none"/>
              </w:rPr>
              <w:t>（通过/不通过）</w:t>
            </w:r>
          </w:p>
        </w:tc>
        <w:tc>
          <w:tcPr>
            <w:tcW w:w="2917" w:type="dxa"/>
            <w:vAlign w:val="center"/>
          </w:tcPr>
          <w:p>
            <w:pPr>
              <w:tabs>
                <w:tab w:val="left" w:pos="480"/>
              </w:tabs>
              <w:ind w:left="480" w:hanging="480"/>
              <w:jc w:val="center"/>
              <w:rPr>
                <w:rFonts w:ascii="宋体" w:hAnsi="宋体"/>
                <w:b/>
                <w:bCs/>
                <w:color w:val="auto"/>
                <w:sz w:val="21"/>
                <w:szCs w:val="21"/>
                <w:highlight w:val="none"/>
              </w:rPr>
            </w:pPr>
            <w:r>
              <w:rPr>
                <w:rFonts w:hint="eastAsia" w:ascii="宋体" w:hAnsi="宋体"/>
                <w:b/>
                <w:bCs/>
                <w:color w:val="auto"/>
                <w:sz w:val="2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876" w:type="dxa"/>
            <w:vMerge w:val="restart"/>
            <w:vAlign w:val="center"/>
          </w:tcPr>
          <w:p>
            <w:pPr>
              <w:tabs>
                <w:tab w:val="left" w:pos="480"/>
              </w:tabs>
              <w:ind w:left="480" w:hanging="480"/>
              <w:rPr>
                <w:rFonts w:hint="eastAsia"/>
                <w:color w:val="auto"/>
                <w:highlight w:val="none"/>
              </w:rPr>
            </w:pPr>
            <w:r>
              <w:rPr>
                <w:rFonts w:hint="eastAsia" w:ascii="宋体" w:hAnsi="宋体"/>
                <w:color w:val="auto"/>
                <w:sz w:val="21"/>
                <w:szCs w:val="21"/>
                <w:highlight w:val="none"/>
              </w:rPr>
              <w:t>资格性</w:t>
            </w:r>
          </w:p>
          <w:p>
            <w:pPr>
              <w:tabs>
                <w:tab w:val="left" w:pos="480"/>
              </w:tabs>
              <w:rPr>
                <w:rFonts w:ascii="宋体" w:hAnsi="宋体"/>
                <w:b/>
                <w:bCs/>
                <w:color w:val="auto"/>
                <w:sz w:val="21"/>
                <w:szCs w:val="21"/>
                <w:highlight w:val="none"/>
              </w:rPr>
            </w:pPr>
            <w:r>
              <w:rPr>
                <w:rFonts w:hint="eastAsia" w:ascii="宋体" w:hAnsi="宋体"/>
                <w:color w:val="auto"/>
                <w:sz w:val="21"/>
                <w:szCs w:val="21"/>
                <w:highlight w:val="none"/>
              </w:rPr>
              <w:t>检查</w:t>
            </w:r>
          </w:p>
        </w:tc>
        <w:tc>
          <w:tcPr>
            <w:tcW w:w="1217" w:type="dxa"/>
            <w:vMerge w:val="restart"/>
            <w:vAlign w:val="center"/>
          </w:tcPr>
          <w:p>
            <w:pPr>
              <w:tabs>
                <w:tab w:val="left" w:pos="146"/>
              </w:tabs>
              <w:ind w:left="146"/>
              <w:rPr>
                <w:rFonts w:hint="eastAsia" w:ascii="宋体" w:hAnsi="宋体"/>
                <w:color w:val="auto"/>
                <w:sz w:val="21"/>
                <w:szCs w:val="21"/>
                <w:highlight w:val="none"/>
              </w:rPr>
            </w:pPr>
            <w:r>
              <w:rPr>
                <w:rFonts w:hint="eastAsia" w:ascii="宋体" w:hAnsi="宋体"/>
                <w:color w:val="auto"/>
                <w:sz w:val="21"/>
                <w:szCs w:val="21"/>
                <w:highlight w:val="none"/>
              </w:rPr>
              <w:t>投标人</w:t>
            </w:r>
          </w:p>
          <w:p>
            <w:pPr>
              <w:tabs>
                <w:tab w:val="left" w:pos="146"/>
              </w:tabs>
              <w:ind w:left="146"/>
              <w:rPr>
                <w:rFonts w:ascii="宋体" w:hAnsi="宋体"/>
                <w:b/>
                <w:bCs/>
                <w:color w:val="auto"/>
                <w:sz w:val="21"/>
                <w:szCs w:val="21"/>
                <w:highlight w:val="none"/>
              </w:rPr>
            </w:pPr>
            <w:r>
              <w:rPr>
                <w:rFonts w:hint="eastAsia" w:ascii="宋体" w:hAnsi="宋体"/>
                <w:color w:val="auto"/>
                <w:sz w:val="21"/>
                <w:szCs w:val="21"/>
                <w:highlight w:val="none"/>
              </w:rPr>
              <w:t>要求</w:t>
            </w:r>
          </w:p>
        </w:tc>
        <w:tc>
          <w:tcPr>
            <w:tcW w:w="2964" w:type="dxa"/>
            <w:vAlign w:val="center"/>
          </w:tcPr>
          <w:p>
            <w:pPr>
              <w:tabs>
                <w:tab w:val="left" w:pos="0"/>
              </w:tabs>
              <w:rPr>
                <w:rFonts w:ascii="宋体" w:hAnsi="宋体"/>
                <w:color w:val="auto"/>
                <w:sz w:val="21"/>
                <w:szCs w:val="21"/>
                <w:highlight w:val="none"/>
              </w:rPr>
            </w:pPr>
            <w:r>
              <w:rPr>
                <w:rFonts w:hint="eastAsia" w:ascii="宋体" w:hAnsi="宋体"/>
                <w:color w:val="auto"/>
                <w:sz w:val="21"/>
                <w:szCs w:val="21"/>
                <w:highlight w:val="none"/>
              </w:rPr>
              <w:t>投标人应具备《中华人民共和国政府采购法》第二十二条规定的条件</w:t>
            </w:r>
          </w:p>
          <w:p>
            <w:pPr>
              <w:tabs>
                <w:tab w:val="left" w:pos="0"/>
              </w:tabs>
              <w:rPr>
                <w:rFonts w:ascii="宋体" w:hAnsi="宋体"/>
                <w:b/>
                <w:bCs/>
                <w:color w:val="auto"/>
                <w:sz w:val="21"/>
                <w:szCs w:val="21"/>
                <w:highlight w:val="none"/>
              </w:rPr>
            </w:pPr>
          </w:p>
        </w:tc>
        <w:tc>
          <w:tcPr>
            <w:tcW w:w="1786" w:type="dxa"/>
            <w:vAlign w:val="center"/>
          </w:tcPr>
          <w:p>
            <w:pPr>
              <w:tabs>
                <w:tab w:val="left" w:pos="480"/>
              </w:tabs>
              <w:ind w:left="480" w:hanging="480"/>
              <w:rPr>
                <w:rFonts w:ascii="宋体" w:hAnsi="宋体"/>
                <w:b/>
                <w:bCs/>
                <w:color w:val="auto"/>
                <w:sz w:val="21"/>
                <w:szCs w:val="21"/>
                <w:highlight w:val="none"/>
              </w:rPr>
            </w:pPr>
          </w:p>
        </w:tc>
        <w:tc>
          <w:tcPr>
            <w:tcW w:w="2917" w:type="dxa"/>
            <w:vAlign w:val="center"/>
          </w:tcPr>
          <w:p>
            <w:pPr>
              <w:tabs>
                <w:tab w:val="left" w:pos="0"/>
              </w:tabs>
              <w:jc w:val="center"/>
              <w:rPr>
                <w:rFonts w:ascii="宋体" w:hAnsi="宋体"/>
                <w:b/>
                <w:color w:val="auto"/>
                <w:sz w:val="21"/>
                <w:szCs w:val="21"/>
                <w:highlight w:val="none"/>
              </w:rPr>
            </w:pPr>
            <w:r>
              <w:rPr>
                <w:rFonts w:hint="eastAsia" w:ascii="宋体" w:hAnsi="宋体"/>
                <w:b/>
                <w:color w:val="auto"/>
                <w:sz w:val="21"/>
                <w:szCs w:val="21"/>
                <w:highlight w:val="none"/>
              </w:rPr>
              <w:t>见谈判响应文件</w:t>
            </w:r>
          </w:p>
          <w:p>
            <w:pPr>
              <w:tabs>
                <w:tab w:val="left" w:pos="0"/>
              </w:tabs>
              <w:jc w:val="center"/>
              <w:rPr>
                <w:rFonts w:ascii="宋体" w:hAnsi="宋体"/>
                <w:b/>
                <w:color w:val="auto"/>
                <w:sz w:val="21"/>
                <w:szCs w:val="21"/>
                <w:highlight w:val="none"/>
              </w:rPr>
            </w:pPr>
            <w:r>
              <w:rPr>
                <w:rFonts w:hint="eastAsia" w:ascii="宋体" w:hAnsi="宋体"/>
                <w:b/>
                <w:color w:val="auto"/>
                <w:sz w:val="21"/>
                <w:szCs w:val="21"/>
                <w:highlight w:val="none"/>
              </w:rPr>
              <w:t>第（  ）页</w:t>
            </w:r>
          </w:p>
          <w:p>
            <w:pPr>
              <w:tabs>
                <w:tab w:val="left" w:pos="0"/>
              </w:tabs>
              <w:jc w:val="center"/>
              <w:rPr>
                <w:rFonts w:ascii="宋体" w:hAnsi="宋体"/>
                <w:b/>
                <w:bCs/>
                <w:color w:val="auto"/>
                <w:sz w:val="21"/>
                <w:szCs w:val="21"/>
                <w:highlight w:val="none"/>
              </w:rPr>
            </w:pPr>
            <w:r>
              <w:rPr>
                <w:rFonts w:hint="eastAsia" w:ascii="宋体" w:hAnsi="宋体"/>
                <w:color w:val="auto"/>
                <w:sz w:val="21"/>
                <w:szCs w:val="21"/>
                <w:highlight w:val="none"/>
              </w:rPr>
              <w:t>要求：提交合法有效的营业执照复印件加盖公章、</w:t>
            </w:r>
            <w:r>
              <w:rPr>
                <w:rFonts w:hint="eastAsia" w:ascii="宋体" w:hAnsi="宋体"/>
                <w:color w:val="auto"/>
                <w:kern w:val="0"/>
                <w:sz w:val="21"/>
                <w:szCs w:val="21"/>
                <w:highlight w:val="none"/>
              </w:rPr>
              <w:t>财务报表</w:t>
            </w:r>
            <w:r>
              <w:rPr>
                <w:rFonts w:hint="eastAsia" w:ascii="宋体" w:hAnsi="宋体"/>
                <w:color w:val="auto"/>
                <w:sz w:val="2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jc w:val="center"/>
        </w:trPr>
        <w:tc>
          <w:tcPr>
            <w:tcW w:w="876" w:type="dxa"/>
            <w:vMerge w:val="continue"/>
            <w:vAlign w:val="center"/>
          </w:tcPr>
          <w:p>
            <w:pPr>
              <w:tabs>
                <w:tab w:val="left" w:pos="480"/>
              </w:tabs>
              <w:ind w:left="480" w:hanging="480"/>
              <w:jc w:val="center"/>
              <w:rPr>
                <w:rFonts w:ascii="宋体" w:hAnsi="宋体"/>
                <w:color w:val="auto"/>
                <w:sz w:val="21"/>
                <w:szCs w:val="21"/>
                <w:highlight w:val="none"/>
              </w:rPr>
            </w:pPr>
          </w:p>
        </w:tc>
        <w:tc>
          <w:tcPr>
            <w:tcW w:w="1217" w:type="dxa"/>
            <w:vMerge w:val="continue"/>
            <w:vAlign w:val="center"/>
          </w:tcPr>
          <w:p>
            <w:pPr>
              <w:tabs>
                <w:tab w:val="left" w:pos="146"/>
              </w:tabs>
              <w:ind w:left="146"/>
              <w:rPr>
                <w:rFonts w:ascii="宋体" w:hAnsi="宋体"/>
                <w:color w:val="auto"/>
                <w:sz w:val="21"/>
                <w:szCs w:val="21"/>
                <w:highlight w:val="none"/>
              </w:rPr>
            </w:pPr>
          </w:p>
        </w:tc>
        <w:tc>
          <w:tcPr>
            <w:tcW w:w="2964" w:type="dxa"/>
            <w:vAlign w:val="center"/>
          </w:tcPr>
          <w:p>
            <w:pPr>
              <w:tabs>
                <w:tab w:val="left" w:pos="0"/>
              </w:tabs>
              <w:rPr>
                <w:rFonts w:ascii="宋体" w:hAnsi="宋体"/>
                <w:color w:val="auto"/>
                <w:sz w:val="21"/>
                <w:szCs w:val="21"/>
                <w:highlight w:val="none"/>
              </w:rPr>
            </w:pPr>
            <w:r>
              <w:rPr>
                <w:rFonts w:hint="eastAsia" w:ascii="宋体" w:hAnsi="宋体"/>
                <w:color w:val="auto"/>
                <w:sz w:val="21"/>
                <w:szCs w:val="21"/>
                <w:highlight w:val="none"/>
              </w:rPr>
              <w:t>单位负责人为同一人或者存在直接控股、管理关系的不同投标人，不得参加同一合同项下的政府采购活动；（提供《谈判响应函》承诺）</w:t>
            </w:r>
          </w:p>
        </w:tc>
        <w:tc>
          <w:tcPr>
            <w:tcW w:w="1786" w:type="dxa"/>
            <w:vAlign w:val="center"/>
          </w:tcPr>
          <w:p>
            <w:pPr>
              <w:tabs>
                <w:tab w:val="left" w:pos="480"/>
              </w:tabs>
              <w:ind w:left="480" w:hanging="480"/>
              <w:rPr>
                <w:rFonts w:ascii="宋体" w:hAnsi="宋体"/>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hint="eastAsia" w:ascii="宋体" w:hAnsi="宋体"/>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876" w:type="dxa"/>
            <w:vMerge w:val="continue"/>
            <w:vAlign w:val="center"/>
          </w:tcPr>
          <w:p>
            <w:pPr>
              <w:tabs>
                <w:tab w:val="left" w:pos="480"/>
              </w:tabs>
              <w:ind w:left="480" w:hanging="480"/>
              <w:jc w:val="center"/>
              <w:rPr>
                <w:rFonts w:ascii="宋体" w:hAnsi="宋体"/>
                <w:color w:val="auto"/>
                <w:sz w:val="21"/>
                <w:szCs w:val="21"/>
                <w:highlight w:val="none"/>
              </w:rPr>
            </w:pPr>
          </w:p>
        </w:tc>
        <w:tc>
          <w:tcPr>
            <w:tcW w:w="1217" w:type="dxa"/>
            <w:vMerge w:val="continue"/>
            <w:vAlign w:val="center"/>
          </w:tcPr>
          <w:p>
            <w:pPr>
              <w:tabs>
                <w:tab w:val="left" w:pos="146"/>
              </w:tabs>
              <w:ind w:left="146"/>
              <w:rPr>
                <w:rFonts w:ascii="宋体" w:hAnsi="宋体"/>
                <w:color w:val="auto"/>
                <w:sz w:val="21"/>
                <w:szCs w:val="21"/>
                <w:highlight w:val="none"/>
              </w:rPr>
            </w:pPr>
          </w:p>
        </w:tc>
        <w:tc>
          <w:tcPr>
            <w:tcW w:w="2964" w:type="dxa"/>
            <w:vAlign w:val="center"/>
          </w:tcPr>
          <w:p>
            <w:pPr>
              <w:tabs>
                <w:tab w:val="left" w:pos="0"/>
              </w:tabs>
              <w:rPr>
                <w:rFonts w:ascii="宋体" w:hAnsi="宋体"/>
                <w:color w:val="auto"/>
                <w:sz w:val="21"/>
                <w:szCs w:val="21"/>
                <w:highlight w:val="none"/>
              </w:rPr>
            </w:pPr>
            <w:r>
              <w:rPr>
                <w:rFonts w:hint="eastAsia" w:ascii="宋体" w:hAnsi="宋体"/>
                <w:color w:val="auto"/>
                <w:sz w:val="21"/>
                <w:szCs w:val="21"/>
                <w:highlight w:val="none"/>
              </w:rPr>
              <w:t>为采购项目提供整体设计、规范编制或者项目管理、监理、检测等服务的投标人，不得再参加该项目的其他采购活动；（提供《谈判响应函》承诺）</w:t>
            </w:r>
          </w:p>
        </w:tc>
        <w:tc>
          <w:tcPr>
            <w:tcW w:w="1786" w:type="dxa"/>
            <w:vAlign w:val="center"/>
          </w:tcPr>
          <w:p>
            <w:pPr>
              <w:tabs>
                <w:tab w:val="left" w:pos="480"/>
              </w:tabs>
              <w:ind w:left="480" w:leftChars="0" w:hanging="480" w:firstLineChars="0"/>
              <w:rPr>
                <w:rFonts w:ascii="宋体" w:hAnsi="宋体"/>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876" w:type="dxa"/>
            <w:vMerge w:val="restart"/>
            <w:vAlign w:val="center"/>
          </w:tcPr>
          <w:p>
            <w:pPr>
              <w:tabs>
                <w:tab w:val="left" w:pos="480"/>
              </w:tabs>
              <w:ind w:left="480" w:hanging="480"/>
              <w:jc w:val="center"/>
              <w:rPr>
                <w:rFonts w:hint="eastAsia" w:ascii="宋体" w:hAnsi="宋体"/>
                <w:color w:val="auto"/>
                <w:sz w:val="21"/>
                <w:szCs w:val="21"/>
                <w:highlight w:val="none"/>
              </w:rPr>
            </w:pPr>
            <w:r>
              <w:rPr>
                <w:rFonts w:hint="eastAsia" w:ascii="宋体" w:hAnsi="宋体"/>
                <w:color w:val="auto"/>
                <w:sz w:val="21"/>
                <w:szCs w:val="21"/>
                <w:highlight w:val="none"/>
              </w:rPr>
              <w:t>符合性</w:t>
            </w:r>
          </w:p>
          <w:p>
            <w:pPr>
              <w:tabs>
                <w:tab w:val="left" w:pos="480"/>
              </w:tabs>
              <w:ind w:left="480" w:hanging="480"/>
              <w:jc w:val="center"/>
              <w:rPr>
                <w:rFonts w:ascii="宋体" w:hAnsi="宋体"/>
                <w:b/>
                <w:bCs/>
                <w:color w:val="auto"/>
                <w:sz w:val="21"/>
                <w:szCs w:val="21"/>
                <w:highlight w:val="none"/>
              </w:rPr>
            </w:pPr>
            <w:r>
              <w:rPr>
                <w:rFonts w:hint="eastAsia" w:ascii="宋体" w:hAnsi="宋体"/>
                <w:color w:val="auto"/>
                <w:sz w:val="21"/>
                <w:szCs w:val="21"/>
                <w:highlight w:val="none"/>
              </w:rPr>
              <w:t>审查</w:t>
            </w:r>
          </w:p>
        </w:tc>
        <w:tc>
          <w:tcPr>
            <w:tcW w:w="1217" w:type="dxa"/>
            <w:vAlign w:val="center"/>
          </w:tcPr>
          <w:p>
            <w:pPr>
              <w:tabs>
                <w:tab w:val="left" w:pos="146"/>
              </w:tabs>
              <w:jc w:val="left"/>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 w:val="21"/>
                <w:szCs w:val="21"/>
                <w:highlight w:val="none"/>
                <w:lang w:val="en-US" w:eastAsia="zh-CN"/>
              </w:rPr>
              <w:t>服务期</w:t>
            </w:r>
            <w:r>
              <w:rPr>
                <w:rFonts w:hint="eastAsia" w:ascii="宋体" w:hAnsi="宋体"/>
                <w:color w:val="auto"/>
                <w:sz w:val="21"/>
                <w:szCs w:val="21"/>
                <w:highlight w:val="none"/>
              </w:rPr>
              <w:t>须满足要求</w:t>
            </w:r>
          </w:p>
        </w:tc>
        <w:tc>
          <w:tcPr>
            <w:tcW w:w="2964"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 w:val="21"/>
                <w:szCs w:val="21"/>
                <w:highlight w:val="none"/>
              </w:rPr>
              <w:t>按</w:t>
            </w:r>
            <w:r>
              <w:rPr>
                <w:rFonts w:hint="eastAsia" w:ascii="宋体" w:hAnsi="宋体"/>
                <w:bCs/>
                <w:color w:val="auto"/>
                <w:sz w:val="21"/>
                <w:szCs w:val="21"/>
                <w:highlight w:val="none"/>
              </w:rPr>
              <w:t>谈判</w:t>
            </w:r>
            <w:r>
              <w:rPr>
                <w:rFonts w:hint="eastAsia" w:ascii="宋体" w:hAnsi="宋体"/>
                <w:color w:val="auto"/>
                <w:sz w:val="21"/>
                <w:szCs w:val="21"/>
                <w:highlight w:val="none"/>
              </w:rPr>
              <w:t>文件要求</w:t>
            </w:r>
          </w:p>
        </w:tc>
        <w:tc>
          <w:tcPr>
            <w:tcW w:w="1786" w:type="dxa"/>
            <w:vAlign w:val="center"/>
          </w:tcPr>
          <w:p>
            <w:pPr>
              <w:tabs>
                <w:tab w:val="left" w:pos="480"/>
              </w:tabs>
              <w:ind w:left="480" w:hanging="480"/>
              <w:rPr>
                <w:rFonts w:ascii="宋体" w:hAnsi="宋体"/>
                <w:b/>
                <w:bCs/>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6" w:type="dxa"/>
            <w:vMerge w:val="continue"/>
          </w:tcPr>
          <w:p>
            <w:pPr>
              <w:tabs>
                <w:tab w:val="left" w:pos="480"/>
              </w:tabs>
              <w:ind w:left="480" w:hanging="480"/>
              <w:jc w:val="center"/>
              <w:rPr>
                <w:rFonts w:ascii="宋体" w:hAnsi="宋体"/>
                <w:b/>
                <w:bCs/>
                <w:color w:val="auto"/>
                <w:sz w:val="21"/>
                <w:szCs w:val="21"/>
                <w:highlight w:val="none"/>
              </w:rPr>
            </w:pPr>
          </w:p>
        </w:tc>
        <w:tc>
          <w:tcPr>
            <w:tcW w:w="1217" w:type="dxa"/>
            <w:vAlign w:val="center"/>
          </w:tcPr>
          <w:p>
            <w:pPr>
              <w:tabs>
                <w:tab w:val="left" w:pos="146"/>
              </w:tabs>
              <w:rPr>
                <w:rFonts w:ascii="宋体" w:hAnsi="宋体"/>
                <w:b/>
                <w:bCs/>
                <w:color w:val="auto"/>
                <w:sz w:val="21"/>
                <w:szCs w:val="21"/>
                <w:highlight w:val="none"/>
              </w:rPr>
            </w:pPr>
            <w:r>
              <w:rPr>
                <w:rFonts w:hint="eastAsia" w:ascii="宋体" w:hAnsi="宋体"/>
                <w:color w:val="auto"/>
                <w:sz w:val="21"/>
                <w:szCs w:val="21"/>
                <w:highlight w:val="none"/>
              </w:rPr>
              <w:t>投标报价未超出报价上限</w:t>
            </w:r>
          </w:p>
        </w:tc>
        <w:tc>
          <w:tcPr>
            <w:tcW w:w="2964" w:type="dxa"/>
            <w:vAlign w:val="center"/>
          </w:tcPr>
          <w:p>
            <w:pPr>
              <w:tabs>
                <w:tab w:val="left" w:pos="0"/>
              </w:tabs>
              <w:rPr>
                <w:rFonts w:ascii="宋体" w:hAnsi="宋体"/>
                <w:b/>
                <w:bCs/>
                <w:color w:val="auto"/>
                <w:sz w:val="21"/>
                <w:szCs w:val="21"/>
                <w:highlight w:val="none"/>
              </w:rPr>
            </w:pPr>
            <w:r>
              <w:rPr>
                <w:rFonts w:hint="eastAsia" w:ascii="宋体" w:hAnsi="宋体"/>
                <w:color w:val="auto"/>
                <w:sz w:val="21"/>
                <w:szCs w:val="21"/>
                <w:highlight w:val="none"/>
              </w:rPr>
              <w:t>按</w:t>
            </w:r>
            <w:r>
              <w:rPr>
                <w:rFonts w:hint="eastAsia" w:ascii="宋体" w:hAnsi="宋体"/>
                <w:bCs/>
                <w:color w:val="auto"/>
                <w:sz w:val="21"/>
                <w:szCs w:val="21"/>
                <w:highlight w:val="none"/>
              </w:rPr>
              <w:t>谈判</w:t>
            </w:r>
            <w:r>
              <w:rPr>
                <w:rFonts w:hint="eastAsia" w:ascii="宋体" w:hAnsi="宋体"/>
                <w:color w:val="auto"/>
                <w:sz w:val="21"/>
                <w:szCs w:val="21"/>
                <w:highlight w:val="none"/>
              </w:rPr>
              <w:t>文件要求</w:t>
            </w:r>
          </w:p>
        </w:tc>
        <w:tc>
          <w:tcPr>
            <w:tcW w:w="1786" w:type="dxa"/>
            <w:vAlign w:val="center"/>
          </w:tcPr>
          <w:p>
            <w:pPr>
              <w:tabs>
                <w:tab w:val="left" w:pos="480"/>
              </w:tabs>
              <w:ind w:left="480" w:hanging="480"/>
              <w:rPr>
                <w:rFonts w:ascii="宋体" w:hAnsi="宋体"/>
                <w:b/>
                <w:bCs/>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b/>
                <w:bCs/>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6" w:type="dxa"/>
            <w:vMerge w:val="continue"/>
          </w:tcPr>
          <w:p>
            <w:pPr>
              <w:tabs>
                <w:tab w:val="left" w:pos="480"/>
              </w:tabs>
              <w:ind w:left="480" w:hanging="480"/>
              <w:jc w:val="center"/>
              <w:rPr>
                <w:rFonts w:ascii="宋体" w:hAnsi="宋体"/>
                <w:b/>
                <w:bCs/>
                <w:color w:val="auto"/>
                <w:sz w:val="21"/>
                <w:szCs w:val="21"/>
                <w:highlight w:val="none"/>
              </w:rPr>
            </w:pPr>
          </w:p>
        </w:tc>
        <w:tc>
          <w:tcPr>
            <w:tcW w:w="1217" w:type="dxa"/>
            <w:vAlign w:val="center"/>
          </w:tcPr>
          <w:p>
            <w:pPr>
              <w:tabs>
                <w:tab w:val="left" w:pos="146"/>
              </w:tabs>
              <w:rPr>
                <w:rFonts w:ascii="宋体" w:hAnsi="宋体"/>
                <w:color w:val="auto"/>
                <w:sz w:val="21"/>
                <w:szCs w:val="21"/>
                <w:highlight w:val="none"/>
              </w:rPr>
            </w:pPr>
            <w:r>
              <w:rPr>
                <w:rFonts w:hint="eastAsia" w:ascii="宋体" w:hAnsi="宋体"/>
                <w:color w:val="auto"/>
                <w:sz w:val="21"/>
                <w:szCs w:val="21"/>
                <w:highlight w:val="none"/>
              </w:rPr>
              <w:t>保证金须满足要求</w:t>
            </w:r>
          </w:p>
        </w:tc>
        <w:tc>
          <w:tcPr>
            <w:tcW w:w="2964" w:type="dxa"/>
            <w:vAlign w:val="center"/>
          </w:tcPr>
          <w:p>
            <w:pPr>
              <w:tabs>
                <w:tab w:val="left" w:pos="0"/>
              </w:tabs>
              <w:rPr>
                <w:rFonts w:ascii="宋体" w:hAnsi="宋体"/>
                <w:color w:val="auto"/>
                <w:sz w:val="21"/>
                <w:szCs w:val="21"/>
                <w:highlight w:val="none"/>
              </w:rPr>
            </w:pPr>
            <w:r>
              <w:rPr>
                <w:rFonts w:hint="eastAsia" w:ascii="宋体" w:hAnsi="宋体"/>
                <w:color w:val="auto"/>
                <w:sz w:val="21"/>
                <w:szCs w:val="21"/>
                <w:highlight w:val="none"/>
              </w:rPr>
              <w:t>按</w:t>
            </w:r>
            <w:r>
              <w:rPr>
                <w:rFonts w:hint="eastAsia" w:ascii="宋体" w:hAnsi="宋体"/>
                <w:bCs/>
                <w:color w:val="auto"/>
                <w:sz w:val="21"/>
                <w:szCs w:val="21"/>
                <w:highlight w:val="none"/>
              </w:rPr>
              <w:t>谈判</w:t>
            </w:r>
            <w:r>
              <w:rPr>
                <w:rFonts w:hint="eastAsia" w:ascii="宋体" w:hAnsi="宋体"/>
                <w:color w:val="auto"/>
                <w:sz w:val="21"/>
                <w:szCs w:val="21"/>
                <w:highlight w:val="none"/>
              </w:rPr>
              <w:t>文件要求</w:t>
            </w:r>
          </w:p>
        </w:tc>
        <w:tc>
          <w:tcPr>
            <w:tcW w:w="1786" w:type="dxa"/>
            <w:vAlign w:val="center"/>
          </w:tcPr>
          <w:p>
            <w:pPr>
              <w:tabs>
                <w:tab w:val="left" w:pos="480"/>
              </w:tabs>
              <w:ind w:left="480" w:hanging="480"/>
              <w:rPr>
                <w:rFonts w:ascii="宋体" w:hAnsi="宋体"/>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76" w:type="dxa"/>
            <w:vMerge w:val="continue"/>
          </w:tcPr>
          <w:p>
            <w:pPr>
              <w:tabs>
                <w:tab w:val="left" w:pos="480"/>
              </w:tabs>
              <w:ind w:left="480" w:hanging="480"/>
              <w:jc w:val="center"/>
              <w:rPr>
                <w:rFonts w:ascii="宋体" w:hAnsi="宋体"/>
                <w:b/>
                <w:bCs/>
                <w:color w:val="auto"/>
                <w:sz w:val="21"/>
                <w:szCs w:val="21"/>
                <w:highlight w:val="none"/>
              </w:rPr>
            </w:pPr>
          </w:p>
        </w:tc>
        <w:tc>
          <w:tcPr>
            <w:tcW w:w="1217" w:type="dxa"/>
            <w:vAlign w:val="center"/>
          </w:tcPr>
          <w:p>
            <w:pPr>
              <w:tabs>
                <w:tab w:val="left" w:pos="146"/>
              </w:tabs>
              <w:rPr>
                <w:rFonts w:ascii="宋体" w:hAnsi="宋体"/>
                <w:b/>
                <w:bCs/>
                <w:color w:val="auto"/>
                <w:sz w:val="21"/>
                <w:szCs w:val="21"/>
                <w:highlight w:val="none"/>
              </w:rPr>
            </w:pPr>
            <w:r>
              <w:rPr>
                <w:rFonts w:hint="eastAsia" w:ascii="宋体" w:hAnsi="宋体"/>
                <w:color w:val="auto"/>
                <w:sz w:val="21"/>
                <w:szCs w:val="21"/>
                <w:highlight w:val="none"/>
              </w:rPr>
              <w:t>法定代表人/负责人资格证明书及授权委托书</w:t>
            </w:r>
          </w:p>
        </w:tc>
        <w:tc>
          <w:tcPr>
            <w:tcW w:w="2964" w:type="dxa"/>
            <w:vAlign w:val="center"/>
          </w:tcPr>
          <w:p>
            <w:pPr>
              <w:tabs>
                <w:tab w:val="left" w:pos="0"/>
              </w:tabs>
              <w:rPr>
                <w:rFonts w:ascii="宋体" w:hAnsi="宋体"/>
                <w:b/>
                <w:bCs/>
                <w:color w:val="auto"/>
                <w:sz w:val="21"/>
                <w:szCs w:val="21"/>
                <w:highlight w:val="none"/>
              </w:rPr>
            </w:pPr>
            <w:r>
              <w:rPr>
                <w:rFonts w:hint="eastAsia" w:ascii="宋体" w:hAnsi="宋体"/>
                <w:color w:val="auto"/>
                <w:sz w:val="21"/>
                <w:szCs w:val="21"/>
                <w:highlight w:val="none"/>
              </w:rPr>
              <w:t>按对应格式文件签署、盖章(原件)</w:t>
            </w:r>
          </w:p>
        </w:tc>
        <w:tc>
          <w:tcPr>
            <w:tcW w:w="1786" w:type="dxa"/>
            <w:vAlign w:val="center"/>
          </w:tcPr>
          <w:p>
            <w:pPr>
              <w:tabs>
                <w:tab w:val="left" w:pos="480"/>
              </w:tabs>
              <w:ind w:left="-107" w:leftChars="-51" w:firstLine="106"/>
              <w:rPr>
                <w:rFonts w:ascii="宋体" w:hAnsi="宋体"/>
                <w:b/>
                <w:bCs/>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b/>
                <w:bCs/>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76" w:type="dxa"/>
            <w:vMerge w:val="continue"/>
          </w:tcPr>
          <w:p>
            <w:pPr>
              <w:tabs>
                <w:tab w:val="left" w:pos="480"/>
              </w:tabs>
              <w:ind w:left="480" w:hanging="480"/>
              <w:jc w:val="center"/>
              <w:rPr>
                <w:rFonts w:ascii="宋体" w:hAnsi="宋体"/>
                <w:b/>
                <w:bCs/>
                <w:color w:val="auto"/>
                <w:sz w:val="21"/>
                <w:szCs w:val="21"/>
                <w:highlight w:val="none"/>
              </w:rPr>
            </w:pPr>
          </w:p>
        </w:tc>
        <w:tc>
          <w:tcPr>
            <w:tcW w:w="1217" w:type="dxa"/>
            <w:vAlign w:val="center"/>
          </w:tcPr>
          <w:p>
            <w:pPr>
              <w:tabs>
                <w:tab w:val="left" w:pos="146"/>
              </w:tabs>
              <w:rPr>
                <w:rFonts w:ascii="宋体" w:hAnsi="宋体"/>
                <w:color w:val="auto"/>
                <w:sz w:val="21"/>
                <w:szCs w:val="21"/>
                <w:highlight w:val="none"/>
              </w:rPr>
            </w:pPr>
            <w:r>
              <w:rPr>
                <w:rFonts w:hint="eastAsia" w:ascii="宋体" w:hAnsi="宋体"/>
                <w:color w:val="auto"/>
                <w:sz w:val="21"/>
                <w:szCs w:val="21"/>
                <w:highlight w:val="none"/>
              </w:rPr>
              <w:t>不接受联合体投标</w:t>
            </w:r>
          </w:p>
        </w:tc>
        <w:tc>
          <w:tcPr>
            <w:tcW w:w="2964" w:type="dxa"/>
            <w:vAlign w:val="center"/>
          </w:tcPr>
          <w:p>
            <w:pPr>
              <w:tabs>
                <w:tab w:val="left" w:pos="0"/>
              </w:tabs>
              <w:rPr>
                <w:rFonts w:ascii="宋体" w:hAnsi="宋体"/>
                <w:color w:val="auto"/>
                <w:sz w:val="21"/>
                <w:szCs w:val="21"/>
                <w:highlight w:val="none"/>
              </w:rPr>
            </w:pPr>
            <w:r>
              <w:rPr>
                <w:rFonts w:hint="eastAsia" w:ascii="宋体" w:hAnsi="宋体"/>
                <w:color w:val="auto"/>
                <w:sz w:val="21"/>
                <w:szCs w:val="21"/>
                <w:highlight w:val="none"/>
              </w:rPr>
              <w:t>按</w:t>
            </w:r>
            <w:r>
              <w:rPr>
                <w:rFonts w:hint="eastAsia" w:ascii="宋体" w:hAnsi="宋体"/>
                <w:bCs/>
                <w:color w:val="auto"/>
                <w:sz w:val="21"/>
                <w:szCs w:val="21"/>
                <w:highlight w:val="none"/>
              </w:rPr>
              <w:t>谈判</w:t>
            </w:r>
            <w:r>
              <w:rPr>
                <w:rFonts w:hint="eastAsia" w:ascii="宋体" w:hAnsi="宋体"/>
                <w:color w:val="auto"/>
                <w:sz w:val="21"/>
                <w:szCs w:val="21"/>
                <w:highlight w:val="none"/>
              </w:rPr>
              <w:t>文件要求</w:t>
            </w:r>
          </w:p>
        </w:tc>
        <w:tc>
          <w:tcPr>
            <w:tcW w:w="1786" w:type="dxa"/>
            <w:vAlign w:val="center"/>
          </w:tcPr>
          <w:p>
            <w:pPr>
              <w:tabs>
                <w:tab w:val="left" w:pos="480"/>
              </w:tabs>
              <w:ind w:left="-107" w:leftChars="-51" w:firstLine="106"/>
              <w:rPr>
                <w:rFonts w:ascii="宋体" w:hAnsi="宋体"/>
                <w:b/>
                <w:bCs/>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76" w:type="dxa"/>
            <w:vMerge w:val="continue"/>
          </w:tcPr>
          <w:p>
            <w:pPr>
              <w:tabs>
                <w:tab w:val="left" w:pos="480"/>
              </w:tabs>
              <w:ind w:left="480" w:hanging="480"/>
              <w:jc w:val="center"/>
              <w:rPr>
                <w:rFonts w:ascii="宋体" w:hAnsi="宋体"/>
                <w:b/>
                <w:bCs/>
                <w:color w:val="auto"/>
                <w:sz w:val="21"/>
                <w:szCs w:val="21"/>
                <w:highlight w:val="none"/>
              </w:rPr>
            </w:pPr>
          </w:p>
        </w:tc>
        <w:tc>
          <w:tcPr>
            <w:tcW w:w="1217" w:type="dxa"/>
            <w:vAlign w:val="center"/>
          </w:tcPr>
          <w:p>
            <w:pPr>
              <w:tabs>
                <w:tab w:val="left" w:pos="146"/>
              </w:tabs>
              <w:rPr>
                <w:rFonts w:ascii="宋体" w:hAnsi="宋体"/>
                <w:b/>
                <w:bCs/>
                <w:color w:val="auto"/>
                <w:sz w:val="21"/>
                <w:szCs w:val="21"/>
                <w:highlight w:val="none"/>
              </w:rPr>
            </w:pPr>
            <w:r>
              <w:rPr>
                <w:rFonts w:hint="eastAsia" w:ascii="宋体" w:hAnsi="宋体"/>
                <w:color w:val="auto"/>
                <w:sz w:val="21"/>
                <w:szCs w:val="21"/>
                <w:highlight w:val="none"/>
              </w:rPr>
              <w:t>其他要求</w:t>
            </w:r>
          </w:p>
        </w:tc>
        <w:tc>
          <w:tcPr>
            <w:tcW w:w="2964" w:type="dxa"/>
            <w:vAlign w:val="center"/>
          </w:tcPr>
          <w:p>
            <w:pPr>
              <w:tabs>
                <w:tab w:val="left" w:pos="0"/>
              </w:tabs>
              <w:rPr>
                <w:rFonts w:ascii="宋体" w:hAnsi="宋体"/>
                <w:b/>
                <w:bCs/>
                <w:color w:val="auto"/>
                <w:sz w:val="21"/>
                <w:szCs w:val="21"/>
                <w:highlight w:val="none"/>
              </w:rPr>
            </w:pPr>
            <w:r>
              <w:rPr>
                <w:rFonts w:hint="eastAsia" w:ascii="宋体" w:hAnsi="宋体"/>
                <w:color w:val="auto"/>
                <w:sz w:val="21"/>
                <w:szCs w:val="21"/>
                <w:highlight w:val="none"/>
              </w:rPr>
              <w:t>按资料清单中规定提供“必须提交”的文件资料</w:t>
            </w:r>
          </w:p>
        </w:tc>
        <w:tc>
          <w:tcPr>
            <w:tcW w:w="1786" w:type="dxa"/>
            <w:vAlign w:val="center"/>
          </w:tcPr>
          <w:p>
            <w:pPr>
              <w:tabs>
                <w:tab w:val="left" w:pos="480"/>
              </w:tabs>
              <w:ind w:left="480" w:hanging="480"/>
              <w:rPr>
                <w:rFonts w:ascii="宋体" w:hAnsi="宋体"/>
                <w:b/>
                <w:bCs/>
                <w:color w:val="auto"/>
                <w:sz w:val="21"/>
                <w:szCs w:val="21"/>
                <w:highlight w:val="none"/>
              </w:rPr>
            </w:pPr>
          </w:p>
        </w:tc>
        <w:tc>
          <w:tcPr>
            <w:tcW w:w="2917" w:type="dxa"/>
            <w:vAlign w:val="center"/>
          </w:tcPr>
          <w:p>
            <w:pPr>
              <w:tabs>
                <w:tab w:val="left" w:pos="0"/>
              </w:tabs>
              <w:jc w:val="center"/>
              <w:rPr>
                <w:rFonts w:ascii="宋体" w:hAnsi="宋体"/>
                <w:color w:val="auto"/>
                <w:sz w:val="21"/>
                <w:szCs w:val="21"/>
                <w:highlight w:val="none"/>
              </w:rPr>
            </w:pPr>
            <w:r>
              <w:rPr>
                <w:rFonts w:hint="eastAsia" w:ascii="宋体" w:hAnsi="宋体"/>
                <w:color w:val="auto"/>
                <w:sz w:val="21"/>
                <w:szCs w:val="21"/>
                <w:highlight w:val="none"/>
              </w:rPr>
              <w:t>见谈判响应文件</w:t>
            </w:r>
          </w:p>
          <w:p>
            <w:pPr>
              <w:tabs>
                <w:tab w:val="left" w:pos="0"/>
              </w:tabs>
              <w:jc w:val="center"/>
              <w:rPr>
                <w:rFonts w:ascii="宋体" w:hAnsi="宋体"/>
                <w:b/>
                <w:bCs/>
                <w:color w:val="auto"/>
                <w:sz w:val="21"/>
                <w:szCs w:val="21"/>
                <w:highlight w:val="none"/>
              </w:rPr>
            </w:pPr>
            <w:r>
              <w:rPr>
                <w:rFonts w:hint="eastAsia" w:ascii="宋体" w:hAnsi="宋体"/>
                <w:color w:val="auto"/>
                <w:sz w:val="21"/>
                <w:szCs w:val="21"/>
                <w:highlight w:val="none"/>
              </w:rPr>
              <w:t>第（  ）页</w:t>
            </w:r>
          </w:p>
        </w:tc>
      </w:tr>
    </w:tbl>
    <w:p>
      <w:pPr>
        <w:spacing w:line="360" w:lineRule="auto"/>
        <w:rPr>
          <w:rFonts w:ascii="宋体" w:hAnsi="宋体"/>
          <w:b/>
          <w:bCs/>
          <w:color w:val="auto"/>
          <w:szCs w:val="21"/>
          <w:highlight w:val="none"/>
        </w:rPr>
      </w:pPr>
    </w:p>
    <w:p>
      <w:pPr>
        <w:tabs>
          <w:tab w:val="center" w:pos="4483"/>
        </w:tabs>
        <w:ind w:left="315" w:leftChars="50" w:hanging="210" w:hangingChars="100"/>
        <w:rPr>
          <w:rFonts w:ascii="宋体" w:hAnsi="宋体"/>
          <w:color w:val="auto"/>
          <w:szCs w:val="21"/>
          <w:highlight w:val="none"/>
        </w:rPr>
      </w:pPr>
      <w:r>
        <w:rPr>
          <w:rFonts w:hint="eastAsia" w:ascii="宋体" w:hAnsi="宋体"/>
          <w:color w:val="auto"/>
          <w:szCs w:val="21"/>
          <w:highlight w:val="none"/>
        </w:rPr>
        <w:t>注：1、以上材料将作为</w:t>
      </w:r>
      <w:r>
        <w:rPr>
          <w:rFonts w:hint="eastAsia" w:ascii="宋体" w:hAnsi="宋体"/>
          <w:bCs/>
          <w:color w:val="auto"/>
          <w:szCs w:val="21"/>
          <w:highlight w:val="none"/>
        </w:rPr>
        <w:t>投标供应商</w:t>
      </w:r>
      <w:r>
        <w:rPr>
          <w:rFonts w:hint="eastAsia" w:ascii="宋体" w:hAnsi="宋体"/>
          <w:color w:val="auto"/>
          <w:szCs w:val="21"/>
          <w:highlight w:val="none"/>
        </w:rPr>
        <w:t>资格性和符合性审核的重要内容之一，</w:t>
      </w:r>
      <w:r>
        <w:rPr>
          <w:rFonts w:hint="eastAsia" w:ascii="宋体" w:hAnsi="宋体"/>
          <w:bCs/>
          <w:color w:val="auto"/>
          <w:szCs w:val="21"/>
          <w:highlight w:val="none"/>
        </w:rPr>
        <w:t>投标供应商</w:t>
      </w:r>
      <w:r>
        <w:rPr>
          <w:rFonts w:hint="eastAsia" w:ascii="宋体" w:hAnsi="宋体"/>
          <w:color w:val="auto"/>
          <w:szCs w:val="21"/>
          <w:highlight w:val="none"/>
        </w:rPr>
        <w:t>必须严格按照其内容及序列要求在谈判响应文件中对应如实提供，对缺漏和不符合项或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315" w:leftChars="50" w:hanging="210" w:hangingChars="100"/>
        <w:rPr>
          <w:rFonts w:ascii="宋体" w:hAnsi="宋体"/>
          <w:bCs/>
          <w:color w:val="auto"/>
          <w:szCs w:val="21"/>
          <w:highlight w:val="none"/>
        </w:rPr>
      </w:pPr>
      <w:r>
        <w:rPr>
          <w:rFonts w:ascii="宋体" w:hAnsi="宋体"/>
          <w:bCs/>
          <w:color w:val="auto"/>
          <w:szCs w:val="21"/>
          <w:highlight w:val="none"/>
        </w:rPr>
        <w:t xml:space="preserve">   2</w:t>
      </w:r>
      <w:r>
        <w:rPr>
          <w:rFonts w:hint="eastAsia" w:ascii="宋体" w:hAnsi="宋体"/>
          <w:bCs/>
          <w:color w:val="auto"/>
          <w:szCs w:val="21"/>
          <w:highlight w:val="none"/>
        </w:rPr>
        <w:t>、投标供应商的</w:t>
      </w:r>
      <w:r>
        <w:rPr>
          <w:rFonts w:hint="eastAsia" w:ascii="宋体" w:hAnsi="宋体"/>
          <w:color w:val="auto"/>
          <w:szCs w:val="21"/>
          <w:highlight w:val="none"/>
        </w:rPr>
        <w:t>谈判响应</w:t>
      </w:r>
      <w:r>
        <w:rPr>
          <w:rFonts w:hint="eastAsia" w:ascii="宋体" w:hAnsi="宋体"/>
          <w:bCs/>
          <w:color w:val="auto"/>
          <w:szCs w:val="21"/>
          <w:highlight w:val="none"/>
        </w:rPr>
        <w:t>文件为法定代表人（负责人）签署并由法定代表人（负责人）亲自递交</w:t>
      </w:r>
      <w:r>
        <w:rPr>
          <w:rFonts w:hint="eastAsia" w:ascii="宋体" w:hAnsi="宋体"/>
          <w:color w:val="auto"/>
          <w:szCs w:val="21"/>
          <w:highlight w:val="none"/>
        </w:rPr>
        <w:t>谈判响应</w:t>
      </w:r>
      <w:r>
        <w:rPr>
          <w:rFonts w:hint="eastAsia" w:ascii="宋体" w:hAnsi="宋体"/>
          <w:bCs/>
          <w:color w:val="auto"/>
          <w:szCs w:val="21"/>
          <w:highlight w:val="none"/>
        </w:rPr>
        <w:t>文件和参加</w:t>
      </w:r>
      <w:r>
        <w:rPr>
          <w:rFonts w:hint="eastAsia" w:ascii="宋体" w:hAnsi="宋体"/>
          <w:color w:val="auto"/>
          <w:szCs w:val="21"/>
          <w:highlight w:val="none"/>
        </w:rPr>
        <w:t>谈判</w:t>
      </w:r>
      <w:r>
        <w:rPr>
          <w:rFonts w:hint="eastAsia" w:ascii="宋体" w:hAnsi="宋体"/>
          <w:bCs/>
          <w:color w:val="auto"/>
          <w:szCs w:val="21"/>
          <w:highlight w:val="none"/>
        </w:rPr>
        <w:t>的，可不提供“法定代表人（负责人）授权书”及“代理人身份证”。</w:t>
      </w: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tabs>
          <w:tab w:val="center" w:pos="4483"/>
        </w:tabs>
        <w:ind w:left="315" w:leftChars="50" w:hanging="210" w:hangingChars="100"/>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hint="eastAsia" w:ascii="宋体" w:hAnsi="宋体"/>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   月   日</w:t>
      </w:r>
    </w:p>
    <w:p>
      <w:pPr>
        <w:tabs>
          <w:tab w:val="center" w:pos="4483"/>
        </w:tabs>
        <w:ind w:left="315" w:leftChars="50" w:hanging="210" w:hangingChars="100"/>
        <w:rPr>
          <w:rFonts w:ascii="宋体" w:hAnsi="宋体"/>
          <w:bCs/>
          <w:color w:val="auto"/>
          <w:szCs w:val="21"/>
          <w:highlight w:val="none"/>
        </w:rPr>
      </w:pPr>
    </w:p>
    <w:p>
      <w:pPr>
        <w:spacing w:line="360" w:lineRule="auto"/>
        <w:rPr>
          <w:rFonts w:ascii="宋体" w:hAnsi="宋体"/>
          <w:color w:val="auto"/>
          <w:sz w:val="18"/>
          <w:szCs w:val="18"/>
          <w:highlight w:val="none"/>
        </w:rPr>
        <w:sectPr>
          <w:headerReference r:id="rId7" w:type="default"/>
          <w:pgSz w:w="11906" w:h="16838"/>
          <w:pgMar w:top="1134" w:right="1418" w:bottom="1134" w:left="1134" w:header="851" w:footer="992" w:gutter="0"/>
          <w:cols w:space="720" w:num="1"/>
          <w:docGrid w:linePitch="312" w:charSpace="0"/>
        </w:sectPr>
      </w:pPr>
    </w:p>
    <w:p>
      <w:pPr>
        <w:pStyle w:val="4"/>
        <w:numPr>
          <w:ilvl w:val="1"/>
          <w:numId w:val="0"/>
        </w:numPr>
        <w:spacing w:line="360" w:lineRule="auto"/>
        <w:jc w:val="center"/>
        <w:rPr>
          <w:rFonts w:ascii="宋体" w:hAnsi="宋体" w:eastAsia="宋体"/>
          <w:color w:val="auto"/>
          <w:sz w:val="28"/>
          <w:szCs w:val="28"/>
          <w:highlight w:val="none"/>
        </w:rPr>
      </w:pPr>
      <w:bookmarkStart w:id="230" w:name="_Toc834"/>
      <w:bookmarkStart w:id="231" w:name="_Toc200414515"/>
      <w:bookmarkStart w:id="232" w:name="_Toc21228"/>
      <w:r>
        <w:rPr>
          <w:rFonts w:hint="eastAsia" w:ascii="宋体" w:hAnsi="宋体" w:eastAsia="宋体"/>
          <w:color w:val="auto"/>
          <w:sz w:val="28"/>
          <w:szCs w:val="28"/>
          <w:highlight w:val="none"/>
        </w:rPr>
        <w:t>（一）无重大违法记录声明函</w:t>
      </w:r>
      <w:bookmarkEnd w:id="230"/>
      <w:bookmarkEnd w:id="231"/>
      <w:bookmarkEnd w:id="232"/>
    </w:p>
    <w:p>
      <w:pPr>
        <w:pStyle w:val="5"/>
        <w:spacing w:line="360" w:lineRule="auto"/>
        <w:ind w:left="420" w:firstLine="0"/>
        <w:rPr>
          <w:rFonts w:ascii="宋体" w:hAnsi="宋体"/>
          <w:color w:val="auto"/>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r>
        <w:rPr>
          <w:rFonts w:hint="eastAsia" w:ascii="宋体" w:hAnsi="宋体"/>
          <w:color w:val="auto"/>
          <w:szCs w:val="21"/>
          <w:highlight w:val="none"/>
        </w:rPr>
        <w:t xml:space="preserve">    针对贵方组织的（项目名称：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，我方郑重承诺：</w:t>
      </w:r>
    </w:p>
    <w:p>
      <w:pPr>
        <w:spacing w:line="360" w:lineRule="auto"/>
        <w:rPr>
          <w:rFonts w:ascii="宋体" w:hAnsi="宋体"/>
          <w:color w:val="auto"/>
          <w:szCs w:val="21"/>
          <w:highlight w:val="none"/>
        </w:rPr>
      </w:pPr>
      <w:r>
        <w:rPr>
          <w:rFonts w:hint="eastAsia" w:ascii="宋体" w:hAnsi="宋体"/>
          <w:color w:val="auto"/>
          <w:szCs w:val="21"/>
          <w:highlight w:val="none"/>
        </w:rPr>
        <w:t xml:space="preserve">   参加本次政府采购活动前三年内，在经营活动中没有重大违法记录。</w:t>
      </w:r>
    </w:p>
    <w:p>
      <w:pPr>
        <w:spacing w:line="360" w:lineRule="auto"/>
        <w:rPr>
          <w:rFonts w:ascii="宋体" w:hAnsi="宋体"/>
          <w:color w:val="auto"/>
          <w:szCs w:val="21"/>
          <w:highlight w:val="none"/>
        </w:rPr>
      </w:pPr>
      <w:r>
        <w:rPr>
          <w:rFonts w:hint="eastAsia" w:ascii="宋体" w:hAnsi="宋体"/>
          <w:color w:val="auto"/>
          <w:szCs w:val="21"/>
          <w:highlight w:val="none"/>
        </w:rPr>
        <w:t xml:space="preserve">   本公司对上述声明的真实性负责。如有虚假，将依法承担相关责任。</w:t>
      </w:r>
    </w:p>
    <w:p>
      <w:pPr>
        <w:spacing w:line="360" w:lineRule="auto"/>
        <w:rPr>
          <w:rFonts w:ascii="宋体" w:hAnsi="宋体"/>
          <w:color w:val="auto"/>
          <w:szCs w:val="21"/>
          <w:highlight w:val="none"/>
        </w:rPr>
      </w:pPr>
      <w:r>
        <w:rPr>
          <w:rFonts w:hint="eastAsia" w:ascii="宋体" w:hAnsi="宋体"/>
          <w:color w:val="auto"/>
          <w:szCs w:val="21"/>
          <w:highlight w:val="none"/>
        </w:rPr>
        <w:t xml:space="preserve">    特此声明。</w:t>
      </w: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供应商法定代表人（负责人）或授权代理人（签字）：</w:t>
      </w:r>
    </w:p>
    <w:p>
      <w:pPr>
        <w:spacing w:line="360" w:lineRule="auto"/>
        <w:rPr>
          <w:rFonts w:ascii="宋体" w:hAnsi="宋体"/>
          <w:color w:val="auto"/>
          <w:szCs w:val="21"/>
          <w:highlight w:val="none"/>
        </w:rPr>
      </w:pPr>
      <w:r>
        <w:rPr>
          <w:rFonts w:hint="eastAsia" w:ascii="宋体" w:hAnsi="宋体"/>
          <w:color w:val="auto"/>
          <w:szCs w:val="21"/>
          <w:highlight w:val="none"/>
        </w:rPr>
        <w:t>供应商名称（加盖公章）：</w:t>
      </w:r>
    </w:p>
    <w:p>
      <w:pPr>
        <w:spacing w:line="360" w:lineRule="auto"/>
        <w:rPr>
          <w:rFonts w:ascii="宋体" w:hAnsi="宋体"/>
          <w:color w:val="auto"/>
          <w:szCs w:val="21"/>
          <w:highlight w:val="none"/>
        </w:rPr>
      </w:pPr>
      <w:r>
        <w:rPr>
          <w:rFonts w:hint="eastAsia" w:ascii="宋体" w:hAnsi="宋体"/>
          <w:bCs/>
          <w:color w:val="auto"/>
          <w:szCs w:val="21"/>
          <w:highlight w:val="none"/>
        </w:rPr>
        <w:t>日期： 年月 日</w:t>
      </w: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5"/>
        <w:spacing w:line="360" w:lineRule="auto"/>
        <w:ind w:left="420" w:firstLine="0"/>
        <w:rPr>
          <w:rFonts w:ascii="宋体" w:hAnsi="宋体"/>
          <w:color w:val="auto"/>
          <w:highlight w:val="none"/>
        </w:rPr>
      </w:pPr>
    </w:p>
    <w:p>
      <w:pPr>
        <w:pStyle w:val="4"/>
        <w:numPr>
          <w:ilvl w:val="1"/>
          <w:numId w:val="0"/>
        </w:numPr>
        <w:spacing w:line="360" w:lineRule="auto"/>
        <w:jc w:val="center"/>
        <w:rPr>
          <w:rFonts w:ascii="宋体" w:hAnsi="宋体" w:eastAsia="宋体"/>
          <w:color w:val="auto"/>
          <w:kern w:val="0"/>
          <w:sz w:val="28"/>
          <w:szCs w:val="28"/>
          <w:highlight w:val="none"/>
        </w:rPr>
      </w:pPr>
      <w:bookmarkStart w:id="233" w:name="_Toc18527"/>
      <w:bookmarkStart w:id="234" w:name="_Toc293"/>
      <w:bookmarkStart w:id="235" w:name="_Toc200414516"/>
      <w:r>
        <w:rPr>
          <w:rFonts w:hint="eastAsia" w:ascii="宋体" w:hAnsi="宋体" w:eastAsia="宋体"/>
          <w:color w:val="auto"/>
          <w:kern w:val="0"/>
          <w:sz w:val="28"/>
          <w:szCs w:val="28"/>
          <w:highlight w:val="none"/>
        </w:rPr>
        <w:t>（二）法定代表人（负责人）证明书</w:t>
      </w:r>
      <w:bookmarkEnd w:id="233"/>
      <w:bookmarkEnd w:id="234"/>
      <w:bookmarkEnd w:id="235"/>
    </w:p>
    <w:p>
      <w:pPr>
        <w:pStyle w:val="5"/>
        <w:spacing w:line="360" w:lineRule="auto"/>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供应商名称                  </w:t>
      </w:r>
      <w:r>
        <w:rPr>
          <w:rFonts w:hint="eastAsia" w:ascii="宋体" w:hAnsi="宋体"/>
          <w:color w:val="auto"/>
          <w:highlight w:val="none"/>
        </w:rPr>
        <w:t xml:space="preserve">的   </w:t>
      </w:r>
      <w:r>
        <w:rPr>
          <w:rFonts w:hint="eastAsia" w:ascii="宋体" w:hAnsi="宋体"/>
          <w:color w:val="auto"/>
          <w:highlight w:val="none"/>
          <w:u w:val="single"/>
        </w:rPr>
        <w:t xml:space="preserve">职务    </w:t>
      </w:r>
      <w:r>
        <w:rPr>
          <w:rFonts w:hint="eastAsia" w:ascii="宋体" w:hAnsi="宋体"/>
          <w:color w:val="auto"/>
          <w:highlight w:val="none"/>
        </w:rPr>
        <w:t>，为法定代表人（负责人），特此证明。</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360" w:lineRule="auto"/>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 xml:space="preserve">附：代表人性别： 年龄：岁    </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ind w:firstLine="0"/>
        <w:rPr>
          <w:rFonts w:ascii="宋体" w:hAnsi="宋体"/>
          <w:color w:val="auto"/>
          <w:highlight w:val="none"/>
        </w:rPr>
      </w:pPr>
      <w:r>
        <w:rPr>
          <w:rFonts w:ascii="宋体" w:hAnsi="宋体"/>
          <w:color w:val="auto"/>
          <w:highlight w:val="none"/>
        </w:rPr>
        <w:pict>
          <v:shape id="自选图形 193" o:spid="_x0000_s1026" o:spt="176" type="#_x0000_t176" style="position:absolute;left:0pt;margin-left:62.75pt;margin-top:6.95pt;height:140.3pt;width:275.8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&#1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p>
    <w:p>
      <w:pPr>
        <w:pStyle w:val="5"/>
        <w:spacing w:line="360" w:lineRule="auto"/>
        <w:ind w:firstLine="0"/>
        <w:rPr>
          <w:rFonts w:ascii="宋体" w:hAnsi="宋体"/>
          <w:color w:val="auto"/>
          <w:highlight w:val="none"/>
        </w:rPr>
      </w:pPr>
    </w:p>
    <w:p>
      <w:pPr>
        <w:pStyle w:val="5"/>
        <w:spacing w:line="360" w:lineRule="auto"/>
        <w:ind w:firstLine="0"/>
        <w:rPr>
          <w:rFonts w:ascii="宋体" w:hAnsi="宋体"/>
          <w:color w:val="auto"/>
          <w:highlight w:val="none"/>
        </w:rPr>
      </w:pPr>
    </w:p>
    <w:p>
      <w:pPr>
        <w:pStyle w:val="5"/>
        <w:spacing w:line="360" w:lineRule="auto"/>
        <w:ind w:firstLine="0"/>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ind w:firstLine="0"/>
        <w:rPr>
          <w:rFonts w:ascii="宋体" w:hAnsi="宋体"/>
          <w:color w:val="auto"/>
          <w:highlight w:val="none"/>
        </w:rPr>
      </w:pPr>
    </w:p>
    <w:p>
      <w:pPr>
        <w:pStyle w:val="4"/>
        <w:numPr>
          <w:ilvl w:val="1"/>
          <w:numId w:val="0"/>
        </w:numPr>
        <w:spacing w:line="360" w:lineRule="auto"/>
        <w:jc w:val="center"/>
        <w:rPr>
          <w:rFonts w:ascii="宋体" w:hAnsi="宋体" w:eastAsia="宋体"/>
          <w:color w:val="auto"/>
          <w:sz w:val="28"/>
          <w:szCs w:val="28"/>
          <w:highlight w:val="none"/>
        </w:rPr>
      </w:pPr>
      <w:bookmarkStart w:id="236" w:name="_Toc200414517"/>
      <w:bookmarkStart w:id="237" w:name="_Toc6960"/>
      <w:bookmarkStart w:id="238" w:name="_Toc11153"/>
      <w:r>
        <w:rPr>
          <w:rFonts w:hint="eastAsia" w:ascii="宋体" w:hAnsi="宋体" w:eastAsia="宋体"/>
          <w:color w:val="auto"/>
          <w:sz w:val="28"/>
          <w:szCs w:val="28"/>
          <w:highlight w:val="none"/>
        </w:rPr>
        <w:t>（三）法定代表人（负责人）授权书</w:t>
      </w:r>
      <w:bookmarkEnd w:id="236"/>
      <w:bookmarkEnd w:id="237"/>
      <w:bookmarkEnd w:id="238"/>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本授权委托书声明：我</w:t>
      </w:r>
      <w:r>
        <w:rPr>
          <w:rFonts w:hint="eastAsia" w:ascii="宋体" w:hAnsi="宋体"/>
          <w:bCs/>
          <w:color w:val="auto"/>
          <w:kern w:val="0"/>
          <w:szCs w:val="21"/>
          <w:highlight w:val="none"/>
          <w:u w:val="single"/>
        </w:rPr>
        <w:t xml:space="preserve">        （单位</w:t>
      </w:r>
      <w:r>
        <w:rPr>
          <w:rFonts w:hint="eastAsia" w:ascii="宋体" w:hAnsi="宋体" w:cs="宋体"/>
          <w:bCs/>
          <w:color w:val="auto"/>
          <w:kern w:val="0"/>
          <w:szCs w:val="21"/>
          <w:highlight w:val="none"/>
          <w:u w:val="single"/>
        </w:rPr>
        <w:t>法定代表人（负责人）</w:t>
      </w:r>
      <w:r>
        <w:rPr>
          <w:rFonts w:hint="eastAsia" w:ascii="宋体" w:hAnsi="宋体"/>
          <w:bCs/>
          <w:color w:val="auto"/>
          <w:kern w:val="0"/>
          <w:szCs w:val="21"/>
          <w:highlight w:val="none"/>
          <w:u w:val="single"/>
        </w:rPr>
        <w:t>姓名）</w:t>
      </w:r>
      <w:r>
        <w:rPr>
          <w:rFonts w:hint="eastAsia" w:ascii="宋体" w:hAnsi="宋体"/>
          <w:bCs/>
          <w:color w:val="auto"/>
          <w:kern w:val="0"/>
          <w:szCs w:val="21"/>
          <w:highlight w:val="none"/>
        </w:rPr>
        <w:t xml:space="preserve"> 系</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的法定代表人（负责人），现授权委托</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w:t>
      </w:r>
      <w:r>
        <w:rPr>
          <w:rFonts w:hint="eastAsia" w:ascii="宋体" w:hAnsi="宋体"/>
          <w:bCs/>
          <w:color w:val="auto"/>
          <w:kern w:val="0"/>
          <w:szCs w:val="21"/>
          <w:highlight w:val="none"/>
          <w:u w:val="single"/>
        </w:rPr>
        <w:t xml:space="preserve">            （代理人姓名）</w:t>
      </w:r>
      <w:r>
        <w:rPr>
          <w:rFonts w:hint="eastAsia" w:ascii="宋体" w:hAnsi="宋体"/>
          <w:bCs/>
          <w:color w:val="auto"/>
          <w:kern w:val="0"/>
          <w:szCs w:val="21"/>
          <w:highlight w:val="none"/>
        </w:rPr>
        <w:t>为我公司代理人，以本公司的名义参加</w:t>
      </w:r>
      <w:r>
        <w:rPr>
          <w:rFonts w:hint="eastAsia" w:ascii="宋体" w:hAnsi="宋体"/>
          <w:bCs/>
          <w:color w:val="auto"/>
          <w:kern w:val="0"/>
          <w:szCs w:val="21"/>
          <w:highlight w:val="none"/>
          <w:lang w:eastAsia="zh-CN"/>
        </w:rPr>
        <w:t>广东业信招标有限公司</w:t>
      </w:r>
      <w:r>
        <w:rPr>
          <w:rFonts w:hint="eastAsia" w:ascii="宋体" w:hAnsi="宋体"/>
          <w:bCs/>
          <w:color w:val="auto"/>
          <w:kern w:val="0"/>
          <w:szCs w:val="21"/>
          <w:highlight w:val="none"/>
        </w:rPr>
        <w:t>组织的</w:t>
      </w:r>
      <w:r>
        <w:rPr>
          <w:rFonts w:hint="eastAsia" w:ascii="宋体" w:hAnsi="宋体" w:cs="宋体"/>
          <w:b/>
          <w:color w:val="auto"/>
          <w:szCs w:val="21"/>
          <w:highlight w:val="none"/>
          <w:u w:val="single"/>
        </w:rPr>
        <w:t>项目名称，由供应商填写</w:t>
      </w:r>
      <w:r>
        <w:rPr>
          <w:rFonts w:hint="eastAsia" w:ascii="宋体" w:hAnsi="宋体"/>
          <w:bCs/>
          <w:color w:val="auto"/>
          <w:szCs w:val="21"/>
          <w:highlight w:val="none"/>
        </w:rPr>
        <w:t>谈判项目（项目编号:）</w:t>
      </w:r>
      <w:r>
        <w:rPr>
          <w:rFonts w:hint="eastAsia" w:ascii="宋体" w:hAnsi="宋体"/>
          <w:bCs/>
          <w:color w:val="auto"/>
          <w:kern w:val="0"/>
          <w:szCs w:val="21"/>
          <w:highlight w:val="none"/>
        </w:rPr>
        <w:t>的活动。代理人在开标、评标、合同谈判过程中所签署的一切文件和处理与之有关的一切事务，我均予以承认。本授权委托书自签署之日起生效，特此声明。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代理人无转移委托权。</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特此委托。</w:t>
      </w:r>
    </w:p>
    <w:p>
      <w:pPr>
        <w:autoSpaceDE w:val="0"/>
        <w:autoSpaceDN w:val="0"/>
        <w:adjustRightInd w:val="0"/>
        <w:snapToGrid w:val="0"/>
        <w:spacing w:line="360" w:lineRule="auto"/>
        <w:ind w:firstLine="600"/>
        <w:jc w:val="left"/>
        <w:rPr>
          <w:rFonts w:ascii="宋体" w:hAnsi="宋体"/>
          <w:bCs/>
          <w:color w:val="auto"/>
          <w:kern w:val="0"/>
          <w:szCs w:val="21"/>
          <w:highlight w:val="none"/>
        </w:rPr>
      </w:pP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代理人：    性别：   年龄：   职务：</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供应商：</w:t>
      </w:r>
      <w:r>
        <w:rPr>
          <w:rFonts w:hint="eastAsia" w:ascii="宋体" w:hAnsi="宋体"/>
          <w:bCs/>
          <w:color w:val="auto"/>
          <w:kern w:val="0"/>
          <w:szCs w:val="21"/>
          <w:highlight w:val="none"/>
          <w:u w:val="single"/>
        </w:rPr>
        <w:t xml:space="preserve">          （名称并加盖公章）                                         </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法定代表人（负责人）：</w:t>
      </w:r>
      <w:r>
        <w:rPr>
          <w:rFonts w:hint="eastAsia" w:ascii="宋体" w:hAnsi="宋体"/>
          <w:bCs/>
          <w:color w:val="auto"/>
          <w:kern w:val="0"/>
          <w:szCs w:val="21"/>
          <w:highlight w:val="none"/>
          <w:u w:val="single"/>
        </w:rPr>
        <w:t xml:space="preserve">    （签字或盖章）         </w:t>
      </w:r>
    </w:p>
    <w:p>
      <w:pPr>
        <w:spacing w:line="360" w:lineRule="auto"/>
        <w:ind w:firstLine="420" w:firstLineChars="200"/>
        <w:rPr>
          <w:rFonts w:ascii="宋体" w:hAnsi="宋体"/>
          <w:color w:val="auto"/>
          <w:szCs w:val="21"/>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（注：供应商的谈判响应文件为</w:t>
      </w:r>
      <w:r>
        <w:rPr>
          <w:rFonts w:hint="eastAsia" w:ascii="宋体" w:hAnsi="宋体" w:cs="宋体"/>
          <w:b/>
          <w:color w:val="auto"/>
          <w:szCs w:val="21"/>
          <w:highlight w:val="none"/>
        </w:rPr>
        <w:t>法定代表人（负责人）</w:t>
      </w:r>
      <w:r>
        <w:rPr>
          <w:rFonts w:hint="eastAsia" w:ascii="宋体" w:hAnsi="宋体"/>
          <w:b/>
          <w:color w:val="auto"/>
          <w:szCs w:val="21"/>
          <w:highlight w:val="none"/>
        </w:rPr>
        <w:t>签署并且由</w:t>
      </w:r>
      <w:r>
        <w:rPr>
          <w:rFonts w:hint="eastAsia" w:ascii="宋体" w:hAnsi="宋体" w:cs="宋体"/>
          <w:b/>
          <w:color w:val="auto"/>
          <w:szCs w:val="21"/>
          <w:highlight w:val="none"/>
        </w:rPr>
        <w:t>法定代表人（负责人）</w:t>
      </w:r>
      <w:r>
        <w:rPr>
          <w:rFonts w:hint="eastAsia" w:ascii="宋体" w:hAnsi="宋体"/>
          <w:b/>
          <w:color w:val="auto"/>
          <w:szCs w:val="21"/>
          <w:highlight w:val="none"/>
        </w:rPr>
        <w:t>亲自递交谈判响应文件和参加谈判的，不须提供该委托书，但需提供法定代表人（负责人）证明书及法定代表人（负责人）的身份证复印件。）</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ascii="宋体" w:hAnsi="宋体"/>
          <w:color w:val="auto"/>
          <w:szCs w:val="21"/>
          <w:highlight w:val="none"/>
        </w:rPr>
        <w:pict>
          <v:shape id="自选图形 192" o:spid="_x0000_s1027" o:spt="176" type="#_x0000_t176" style="position:absolute;left:0pt;margin-left:99.75pt;margin-top:10.95pt;height:140.3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&#1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4"/>
        <w:numPr>
          <w:ilvl w:val="1"/>
          <w:numId w:val="0"/>
        </w:numPr>
        <w:spacing w:line="360" w:lineRule="auto"/>
        <w:jc w:val="center"/>
        <w:rPr>
          <w:rFonts w:ascii="宋体" w:hAnsi="宋体" w:eastAsia="宋体"/>
          <w:color w:val="auto"/>
          <w:sz w:val="28"/>
          <w:szCs w:val="28"/>
          <w:highlight w:val="none"/>
        </w:rPr>
      </w:pPr>
      <w:bookmarkStart w:id="239" w:name="_Toc200414522"/>
      <w:bookmarkStart w:id="240" w:name="_Toc14259"/>
      <w:bookmarkStart w:id="241" w:name="_Toc16506"/>
      <w:r>
        <w:rPr>
          <w:rFonts w:hint="eastAsia" w:ascii="宋体" w:hAnsi="宋体" w:eastAsia="宋体"/>
          <w:color w:val="auto"/>
          <w:sz w:val="28"/>
          <w:szCs w:val="28"/>
          <w:highlight w:val="none"/>
        </w:rPr>
        <w:t>（四）</w:t>
      </w:r>
      <w:bookmarkEnd w:id="239"/>
      <w:r>
        <w:rPr>
          <w:rFonts w:hint="eastAsia" w:ascii="宋体" w:hAnsi="宋体" w:eastAsia="宋体"/>
          <w:color w:val="auto"/>
          <w:sz w:val="28"/>
          <w:szCs w:val="28"/>
          <w:highlight w:val="none"/>
        </w:rPr>
        <w:t>资格审查文件要求提交的其它有效证明文件</w:t>
      </w:r>
      <w:bookmarkEnd w:id="240"/>
      <w:bookmarkEnd w:id="241"/>
    </w:p>
    <w:p>
      <w:pPr>
        <w:tabs>
          <w:tab w:val="center" w:pos="4483"/>
        </w:tabs>
        <w:spacing w:line="360" w:lineRule="auto"/>
        <w:rPr>
          <w:rFonts w:ascii="宋体" w:hAnsi="宋体"/>
          <w:color w:val="auto"/>
          <w:kern w:val="0"/>
          <w:szCs w:val="21"/>
          <w:highlight w:val="none"/>
        </w:rPr>
      </w:pPr>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kern w:val="0"/>
          <w:szCs w:val="21"/>
          <w:highlight w:val="none"/>
        </w:rPr>
        <w:sectPr>
          <w:headerReference r:id="rId8" w:type="default"/>
          <w:pgSz w:w="11906" w:h="16838"/>
          <w:pgMar w:top="1418" w:right="1474" w:bottom="1418" w:left="1474" w:header="851" w:footer="851" w:gutter="0"/>
          <w:cols w:space="720" w:num="1"/>
          <w:titlePg/>
          <w:docGrid w:linePitch="312" w:charSpace="0"/>
        </w:sectPr>
      </w:pPr>
      <w:r>
        <w:rPr>
          <w:rFonts w:hint="eastAsia" w:ascii="宋体" w:hAnsi="宋体"/>
          <w:color w:val="auto"/>
          <w:szCs w:val="21"/>
          <w:highlight w:val="none"/>
        </w:rPr>
        <w:t>项目名称：</w:t>
      </w:r>
    </w:p>
    <w:p>
      <w:pPr>
        <w:pStyle w:val="4"/>
        <w:numPr>
          <w:ilvl w:val="1"/>
          <w:numId w:val="0"/>
        </w:numPr>
        <w:spacing w:line="360" w:lineRule="auto"/>
        <w:jc w:val="center"/>
        <w:rPr>
          <w:rFonts w:ascii="宋体" w:hAnsi="宋体" w:eastAsia="宋体"/>
          <w:color w:val="auto"/>
          <w:sz w:val="28"/>
          <w:szCs w:val="28"/>
          <w:highlight w:val="none"/>
        </w:rPr>
      </w:pPr>
      <w:bookmarkStart w:id="242" w:name="_Toc27364"/>
      <w:bookmarkStart w:id="243" w:name="_Toc200414524"/>
      <w:bookmarkStart w:id="244" w:name="_Toc28916"/>
      <w:r>
        <w:rPr>
          <w:rFonts w:hint="eastAsia" w:ascii="宋体" w:hAnsi="宋体" w:eastAsia="宋体"/>
          <w:color w:val="auto"/>
          <w:sz w:val="28"/>
          <w:szCs w:val="28"/>
          <w:highlight w:val="none"/>
        </w:rPr>
        <w:t>第二章  谈判响应文件商务及技术部分</w:t>
      </w:r>
      <w:bookmarkEnd w:id="242"/>
      <w:bookmarkEnd w:id="243"/>
      <w:bookmarkEnd w:id="244"/>
    </w:p>
    <w:p>
      <w:pPr>
        <w:pStyle w:val="4"/>
        <w:numPr>
          <w:ilvl w:val="1"/>
          <w:numId w:val="0"/>
        </w:numPr>
        <w:spacing w:line="360" w:lineRule="auto"/>
        <w:ind w:firstLine="3373" w:firstLineChars="1200"/>
        <w:rPr>
          <w:rFonts w:ascii="宋体" w:hAnsi="宋体" w:eastAsia="宋体"/>
          <w:color w:val="auto"/>
          <w:sz w:val="28"/>
          <w:szCs w:val="28"/>
          <w:highlight w:val="none"/>
        </w:rPr>
      </w:pPr>
      <w:bookmarkStart w:id="245" w:name="_Toc200414525"/>
      <w:bookmarkStart w:id="246" w:name="_Toc32546"/>
      <w:bookmarkStart w:id="247" w:name="_Toc28615"/>
      <w:r>
        <w:rPr>
          <w:rFonts w:hint="eastAsia" w:ascii="宋体" w:hAnsi="宋体" w:eastAsia="宋体"/>
          <w:color w:val="auto"/>
          <w:sz w:val="28"/>
          <w:szCs w:val="28"/>
          <w:highlight w:val="none"/>
        </w:rPr>
        <w:t>附件一：谈判响应函</w:t>
      </w:r>
      <w:bookmarkEnd w:id="245"/>
      <w:bookmarkEnd w:id="246"/>
      <w:bookmarkEnd w:id="247"/>
    </w:p>
    <w:p>
      <w:pPr>
        <w:widowControl/>
        <w:spacing w:line="360" w:lineRule="auto"/>
        <w:jc w:val="left"/>
        <w:rPr>
          <w:rFonts w:ascii="宋体" w:hAnsi="宋体" w:cs="宋体"/>
          <w:color w:val="auto"/>
          <w:kern w:val="0"/>
          <w:sz w:val="24"/>
          <w:highlight w:val="none"/>
          <w:u w:val="single"/>
        </w:rPr>
      </w:pPr>
      <w:r>
        <w:rPr>
          <w:rFonts w:ascii="宋体" w:hAnsi="宋体" w:cs="宋体"/>
          <w:color w:val="auto"/>
          <w:kern w:val="0"/>
          <w:sz w:val="24"/>
          <w:highlight w:val="none"/>
          <w:u w:val="single"/>
        </w:rPr>
        <w:t>致（采购人</w:t>
      </w:r>
      <w:r>
        <w:rPr>
          <w:rFonts w:hint="eastAsia" w:ascii="宋体" w:hAnsi="宋体" w:cs="宋体"/>
          <w:color w:val="auto"/>
          <w:kern w:val="0"/>
          <w:sz w:val="24"/>
          <w:highlight w:val="none"/>
          <w:u w:val="single"/>
        </w:rPr>
        <w:t>名称</w:t>
      </w:r>
      <w:r>
        <w:rPr>
          <w:rFonts w:ascii="宋体" w:hAnsi="宋体" w:cs="宋体"/>
          <w:color w:val="auto"/>
          <w:kern w:val="0"/>
          <w:sz w:val="24"/>
          <w:highlight w:val="none"/>
          <w:u w:val="single"/>
        </w:rPr>
        <w:t>）         </w:t>
      </w:r>
      <w:r>
        <w:rPr>
          <w:rFonts w:ascii="宋体" w:hAnsi="宋体" w:cs="宋体"/>
          <w:color w:val="auto"/>
          <w:kern w:val="0"/>
          <w:sz w:val="24"/>
          <w:highlight w:val="none"/>
        </w:rPr>
        <w:t xml:space="preserve">： </w:t>
      </w:r>
    </w:p>
    <w:p>
      <w:pPr>
        <w:adjustRightInd w:val="0"/>
        <w:snapToGrid w:val="0"/>
        <w:spacing w:beforeLines="50" w:line="480" w:lineRule="auto"/>
        <w:ind w:firstLine="420"/>
        <w:rPr>
          <w:rFonts w:ascii="宋体" w:hAnsi="宋体"/>
          <w:b/>
          <w:bCs/>
          <w:color w:val="auto"/>
          <w:szCs w:val="21"/>
          <w:highlight w:val="none"/>
        </w:rPr>
      </w:pPr>
      <w:r>
        <w:rPr>
          <w:rFonts w:hint="eastAsia" w:ascii="宋体" w:hAnsi="宋体"/>
          <w:b/>
          <w:bCs/>
          <w:color w:val="auto"/>
          <w:szCs w:val="21"/>
          <w:highlight w:val="none"/>
        </w:rPr>
        <w:t>根据贵方就</w:t>
      </w:r>
      <w:r>
        <w:rPr>
          <w:rFonts w:hint="eastAsia" w:ascii="宋体" w:hAnsi="宋体" w:cs="宋体"/>
          <w:b/>
          <w:color w:val="auto"/>
          <w:szCs w:val="21"/>
          <w:highlight w:val="none"/>
          <w:u w:val="single"/>
        </w:rPr>
        <w:t xml:space="preserve">项目名称，由供应商填写      </w:t>
      </w:r>
      <w:r>
        <w:rPr>
          <w:rFonts w:hint="eastAsia" w:ascii="宋体" w:hAnsi="宋体"/>
          <w:b/>
          <w:bCs/>
          <w:color w:val="auto"/>
          <w:szCs w:val="21"/>
          <w:highlight w:val="none"/>
        </w:rPr>
        <w:t>的投标邀请（项目编号:</w:t>
      </w:r>
      <w:r>
        <w:rPr>
          <w:rFonts w:hint="eastAsia" w:ascii="宋体" w:hAnsi="宋体"/>
          <w:b/>
          <w:color w:val="auto"/>
          <w:szCs w:val="21"/>
          <w:highlight w:val="none"/>
          <w:u w:val="single"/>
        </w:rPr>
        <w:t xml:space="preserve">        </w:t>
      </w:r>
      <w:r>
        <w:rPr>
          <w:rFonts w:hint="eastAsia" w:ascii="宋体" w:hAnsi="宋体"/>
          <w:b/>
          <w:bCs/>
          <w:color w:val="auto"/>
          <w:szCs w:val="21"/>
          <w:highlight w:val="none"/>
        </w:rPr>
        <w:t>，我方正式响应谈判文件内容并提交谈判文件</w:t>
      </w:r>
      <w:r>
        <w:rPr>
          <w:rFonts w:hint="eastAsia" w:ascii="宋体" w:hAnsi="宋体"/>
          <w:b/>
          <w:bCs/>
          <w:color w:val="auto"/>
          <w:szCs w:val="21"/>
          <w:highlight w:val="none"/>
          <w:u w:val="single"/>
        </w:rPr>
        <w:t>1份正本</w:t>
      </w:r>
      <w:r>
        <w:rPr>
          <w:rFonts w:hint="eastAsia" w:ascii="宋体" w:hAnsi="宋体"/>
          <w:b/>
          <w:bCs/>
          <w:color w:val="auto"/>
          <w:szCs w:val="21"/>
          <w:highlight w:val="none"/>
        </w:rPr>
        <w:t>和</w:t>
      </w:r>
      <w:r>
        <w:rPr>
          <w:rFonts w:hint="eastAsia" w:ascii="宋体" w:hAnsi="宋体"/>
          <w:b/>
          <w:bCs/>
          <w:color w:val="auto"/>
          <w:szCs w:val="21"/>
          <w:highlight w:val="none"/>
          <w:u w:val="single"/>
        </w:rPr>
        <w:t>2份副本</w:t>
      </w:r>
      <w:r>
        <w:rPr>
          <w:rFonts w:hint="eastAsia" w:ascii="宋体" w:hAnsi="宋体"/>
          <w:b/>
          <w:bCs/>
          <w:color w:val="auto"/>
          <w:szCs w:val="21"/>
          <w:highlight w:val="none"/>
        </w:rPr>
        <w:t>及</w:t>
      </w:r>
      <w:r>
        <w:rPr>
          <w:rFonts w:hint="eastAsia" w:ascii="宋体" w:hAnsi="宋体"/>
          <w:b/>
          <w:bCs/>
          <w:color w:val="auto"/>
          <w:szCs w:val="21"/>
          <w:highlight w:val="none"/>
          <w:u w:val="single"/>
        </w:rPr>
        <w:t>电子文件1份</w:t>
      </w:r>
      <w:r>
        <w:rPr>
          <w:rFonts w:hint="eastAsia" w:ascii="宋体" w:hAnsi="宋体"/>
          <w:b/>
          <w:bCs/>
          <w:color w:val="auto"/>
          <w:szCs w:val="21"/>
          <w:highlight w:val="none"/>
        </w:rPr>
        <w:t>：</w:t>
      </w:r>
    </w:p>
    <w:p>
      <w:pPr>
        <w:widowControl/>
        <w:tabs>
          <w:tab w:val="left" w:pos="502"/>
        </w:tabs>
        <w:adjustRightInd w:val="0"/>
        <w:snapToGrid w:val="0"/>
        <w:spacing w:line="480" w:lineRule="auto"/>
        <w:ind w:left="374" w:leftChars="178" w:firstLine="316" w:firstLineChars="150"/>
        <w:rPr>
          <w:rFonts w:ascii="宋体" w:hAnsi="宋体"/>
          <w:b/>
          <w:color w:val="auto"/>
          <w:szCs w:val="21"/>
          <w:highlight w:val="none"/>
        </w:rPr>
      </w:pPr>
      <w:r>
        <w:rPr>
          <w:rFonts w:hint="eastAsia" w:ascii="宋体" w:hAnsi="宋体"/>
          <w:b/>
          <w:bCs/>
          <w:color w:val="auto"/>
          <w:szCs w:val="21"/>
          <w:highlight w:val="none"/>
        </w:rPr>
        <w:t>以</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形式提交的谈判保证金，金额为大写</w:t>
      </w:r>
      <w:r>
        <w:rPr>
          <w:rFonts w:hint="eastAsia" w:ascii="宋体" w:hAnsi="宋体"/>
          <w:b/>
          <w:color w:val="auto"/>
          <w:szCs w:val="21"/>
          <w:highlight w:val="none"/>
        </w:rPr>
        <w:t>人民币</w:t>
      </w:r>
      <w:r>
        <w:rPr>
          <w:rFonts w:hint="eastAsia" w:ascii="宋体" w:hAnsi="宋体"/>
          <w:b/>
          <w:color w:val="auto"/>
          <w:szCs w:val="21"/>
          <w:highlight w:val="none"/>
          <w:u w:val="single"/>
        </w:rPr>
        <w:t xml:space="preserve">                  </w:t>
      </w:r>
      <w:r>
        <w:rPr>
          <w:rFonts w:hint="eastAsia" w:ascii="宋体" w:hAnsi="宋体"/>
          <w:b/>
          <w:color w:val="auto"/>
          <w:szCs w:val="21"/>
          <w:highlight w:val="none"/>
        </w:rPr>
        <w:t>（</w:t>
      </w:r>
      <w:r>
        <w:rPr>
          <w:rFonts w:hint="eastAsia" w:ascii="宋体" w:hAnsi="宋体"/>
          <w:b/>
          <w:bCs/>
          <w:color w:val="auto"/>
          <w:szCs w:val="21"/>
          <w:highlight w:val="none"/>
        </w:rPr>
        <w:t xml:space="preserve">¥ </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 xml:space="preserve"> ）。</w:t>
      </w:r>
    </w:p>
    <w:p>
      <w:pPr>
        <w:widowControl/>
        <w:tabs>
          <w:tab w:val="left" w:pos="502"/>
        </w:tabs>
        <w:adjustRightInd w:val="0"/>
        <w:snapToGrid w:val="0"/>
        <w:spacing w:line="480" w:lineRule="auto"/>
        <w:ind w:left="374" w:leftChars="177" w:hanging="2" w:hangingChars="1"/>
        <w:rPr>
          <w:rFonts w:ascii="宋体" w:hAnsi="宋体"/>
          <w:bCs/>
          <w:color w:val="auto"/>
          <w:szCs w:val="21"/>
          <w:highlight w:val="none"/>
        </w:rPr>
      </w:pPr>
      <w:r>
        <w:rPr>
          <w:rFonts w:hint="eastAsia" w:ascii="宋体" w:hAnsi="宋体"/>
          <w:b/>
          <w:bCs/>
          <w:color w:val="auto"/>
          <w:szCs w:val="21"/>
          <w:highlight w:val="none"/>
        </w:rPr>
        <w:t xml:space="preserve">据此函，签字代表宣布同意如下：   </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color w:val="auto"/>
          <w:szCs w:val="21"/>
          <w:highlight w:val="none"/>
        </w:rPr>
        <w:t>所附投标价格表中规定的应提交和交付的货物投标总价为人民币：</w:t>
      </w:r>
      <w:r>
        <w:rPr>
          <w:rFonts w:hint="eastAsia" w:ascii="宋体" w:hAnsi="宋体"/>
          <w:color w:val="auto"/>
          <w:szCs w:val="21"/>
          <w:highlight w:val="none"/>
          <w:u w:val="single"/>
        </w:rPr>
        <w:t xml:space="preserve"> （用文字和数字表示的谈判总价）  </w:t>
      </w:r>
      <w:r>
        <w:rPr>
          <w:rFonts w:hint="eastAsia" w:ascii="宋体" w:hAnsi="宋体"/>
          <w:color w:val="auto"/>
          <w:szCs w:val="21"/>
          <w:highlight w:val="none"/>
        </w:rPr>
        <w:t>。</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hint="eastAsia" w:ascii="宋体" w:hAnsi="宋体"/>
          <w:color w:val="auto"/>
          <w:szCs w:val="21"/>
          <w:highlight w:val="none"/>
          <w:lang w:val="en-US" w:eastAsia="zh-CN"/>
        </w:rPr>
      </w:pPr>
      <w:r>
        <w:rPr>
          <w:rFonts w:hint="default" w:eastAsia="宋体"/>
          <w:color w:val="auto"/>
          <w:highlight w:val="none"/>
          <w:lang w:val="en-US" w:eastAsia="zh-CN"/>
        </w:rPr>
        <w:t>单位负责人为同一人或者存在直接控股、管理关系的不同供应商，不得参加同一合同项下的政府采购活动。</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为采购项目提供整体设计、规范编制或者项目管理、监理、检测等服务的供应商，不得再参加该采购项目的其他采购活动。</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本次投标所报内容完全按照谈判文件要求填报，所有内容都是真实、准确的。</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供应商将按谈判文件的规定履行全部合同责任和义务。</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供应商已详细审查全部谈判文件，包括修改文件（如有的话）以及全部参考资料和有关附件。我们完全理解并同意放弃对这方面有不明及误解的权利。</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本次投标自递交谈判响应文件截止之日起有效期为90天。</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如果在规定的递交谈判响应文件截止之日后，供应商在投标有效期内撤回投标，投标保证金将被贵方没收。</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供应商同意提供按照贵方可能要求与其投标有关的一切数据或资料，完全理解贵方不一定接受最低价的投标或收到的任何投标。</w:t>
      </w:r>
    </w:p>
    <w:p>
      <w:pPr>
        <w:keepNext w:val="0"/>
        <w:keepLines w:val="0"/>
        <w:pageBreakBefore w:val="0"/>
        <w:widowControl/>
        <w:numPr>
          <w:ilvl w:val="0"/>
          <w:numId w:val="16"/>
        </w:numPr>
        <w:tabs>
          <w:tab w:val="left" w:pos="840"/>
        </w:tabs>
        <w:kinsoku/>
        <w:wordWrap/>
        <w:overflowPunct/>
        <w:topLinePunct w:val="0"/>
        <w:autoSpaceDE/>
        <w:autoSpaceDN/>
        <w:bidi w:val="0"/>
        <w:adjustRightInd w:val="0"/>
        <w:snapToGrid w:val="0"/>
        <w:spacing w:line="440" w:lineRule="exact"/>
        <w:ind w:left="436" w:leftChars="200" w:hanging="16" w:hangingChars="8"/>
        <w:textAlignment w:val="auto"/>
        <w:rPr>
          <w:rFonts w:ascii="宋体" w:hAnsi="宋体"/>
          <w:bCs/>
          <w:color w:val="auto"/>
          <w:szCs w:val="21"/>
          <w:highlight w:val="none"/>
        </w:rPr>
      </w:pPr>
      <w:r>
        <w:rPr>
          <w:rFonts w:hint="eastAsia" w:ascii="宋体" w:hAnsi="宋体"/>
          <w:bCs/>
          <w:color w:val="auto"/>
          <w:szCs w:val="21"/>
          <w:highlight w:val="none"/>
        </w:rPr>
        <w:t>与本投标有关的一切正式往来通讯请寄至谈判响应文件封面指定地址、联系方式。</w:t>
      </w:r>
    </w:p>
    <w:p>
      <w:pPr>
        <w:pStyle w:val="50"/>
        <w:ind w:left="440" w:leftChars="200" w:hanging="20" w:hangingChars="8"/>
        <w:rPr>
          <w:rFonts w:hint="eastAsia" w:ascii="宋体" w:hAnsi="宋体"/>
          <w:bCs/>
          <w:color w:val="auto"/>
          <w:szCs w:val="21"/>
          <w:highlight w:val="none"/>
        </w:rPr>
      </w:pPr>
    </w:p>
    <w:p>
      <w:pPr>
        <w:adjustRightInd w:val="0"/>
        <w:snapToGrid w:val="0"/>
        <w:spacing w:line="480" w:lineRule="auto"/>
        <w:ind w:firstLine="210" w:firstLineChars="100"/>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480" w:lineRule="auto"/>
        <w:ind w:firstLine="210" w:firstLineChars="100"/>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480" w:lineRule="auto"/>
        <w:ind w:firstLine="210" w:firstLineChars="100"/>
        <w:rPr>
          <w:rFonts w:ascii="宋体" w:hAnsi="宋体"/>
          <w:bCs/>
          <w:color w:val="auto"/>
          <w:szCs w:val="21"/>
          <w:highlight w:val="none"/>
        </w:rPr>
      </w:pPr>
      <w:r>
        <w:rPr>
          <w:rFonts w:hint="eastAsia" w:ascii="宋体" w:hAnsi="宋体"/>
          <w:bCs/>
          <w:color w:val="auto"/>
          <w:szCs w:val="21"/>
          <w:highlight w:val="none"/>
        </w:rPr>
        <w:t>日期：年月日</w:t>
      </w:r>
    </w:p>
    <w:p>
      <w:pPr>
        <w:pStyle w:val="23"/>
        <w:spacing w:line="480" w:lineRule="auto"/>
        <w:rPr>
          <w:rFonts w:hAnsi="宋体"/>
          <w:color w:val="auto"/>
          <w:highlight w:val="none"/>
        </w:rPr>
      </w:pPr>
      <w:r>
        <w:rPr>
          <w:rFonts w:hint="eastAsia" w:hAnsi="宋体"/>
          <w:color w:val="auto"/>
          <w:highlight w:val="none"/>
        </w:rPr>
        <w:t>注：本投标函为供应商响应本次谈判项目的郑重承诺，供应商不得改动且必须满足。</w:t>
      </w:r>
    </w:p>
    <w:p>
      <w:pPr>
        <w:pStyle w:val="4"/>
        <w:numPr>
          <w:ilvl w:val="1"/>
          <w:numId w:val="0"/>
        </w:numPr>
        <w:spacing w:line="360" w:lineRule="auto"/>
        <w:jc w:val="center"/>
        <w:rPr>
          <w:rFonts w:ascii="宋体" w:hAnsi="宋体" w:eastAsia="宋体"/>
          <w:color w:val="auto"/>
          <w:sz w:val="28"/>
          <w:szCs w:val="28"/>
          <w:highlight w:val="none"/>
        </w:rPr>
      </w:pPr>
      <w:bookmarkStart w:id="248" w:name="_Toc23335"/>
      <w:bookmarkStart w:id="249" w:name="_Toc200414526"/>
      <w:bookmarkStart w:id="250" w:name="_Toc11966"/>
      <w:r>
        <w:rPr>
          <w:rFonts w:hint="eastAsia" w:ascii="宋体" w:hAnsi="宋体" w:eastAsia="宋体"/>
          <w:color w:val="auto"/>
          <w:sz w:val="28"/>
          <w:szCs w:val="28"/>
          <w:highlight w:val="none"/>
        </w:rPr>
        <w:t>附件二：第一次报价一览表</w:t>
      </w:r>
      <w:bookmarkEnd w:id="248"/>
      <w:bookmarkEnd w:id="249"/>
      <w:bookmarkEnd w:id="250"/>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p>
      <w:pPr>
        <w:tabs>
          <w:tab w:val="center" w:pos="4483"/>
        </w:tabs>
        <w:spacing w:line="360" w:lineRule="auto"/>
        <w:rPr>
          <w:rFonts w:ascii="宋体" w:hAnsi="宋体"/>
          <w:bCs/>
          <w:color w:val="auto"/>
          <w:szCs w:val="21"/>
          <w:highlight w:val="none"/>
          <w:u w:val="single"/>
        </w:rPr>
      </w:pPr>
    </w:p>
    <w:tbl>
      <w:tblPr>
        <w:tblStyle w:val="43"/>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942"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项目名称</w:t>
            </w:r>
          </w:p>
        </w:tc>
        <w:tc>
          <w:tcPr>
            <w:tcW w:w="3713"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报价（元）</w:t>
            </w:r>
          </w:p>
        </w:tc>
        <w:tc>
          <w:tcPr>
            <w:tcW w:w="1501"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lang w:val="en-US" w:eastAsia="zh-CN"/>
              </w:rPr>
              <w:t>完工期</w:t>
            </w:r>
          </w:p>
        </w:tc>
        <w:tc>
          <w:tcPr>
            <w:tcW w:w="1476"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1942" w:type="dxa"/>
            <w:vAlign w:val="center"/>
          </w:tcPr>
          <w:p>
            <w:pPr>
              <w:spacing w:line="360" w:lineRule="auto"/>
              <w:jc w:val="center"/>
              <w:rPr>
                <w:rFonts w:ascii="宋体" w:hAnsi="宋体"/>
                <w:bCs/>
                <w:color w:val="auto"/>
                <w:highlight w:val="none"/>
              </w:rPr>
            </w:pPr>
          </w:p>
        </w:tc>
        <w:tc>
          <w:tcPr>
            <w:tcW w:w="3713" w:type="dxa"/>
            <w:vAlign w:val="center"/>
          </w:tcPr>
          <w:p>
            <w:pPr>
              <w:spacing w:line="360" w:lineRule="auto"/>
              <w:rPr>
                <w:rFonts w:ascii="宋体" w:hAnsi="宋体"/>
                <w:bCs/>
                <w:color w:val="auto"/>
                <w:highlight w:val="none"/>
              </w:rPr>
            </w:pPr>
            <w:r>
              <w:rPr>
                <w:rFonts w:hint="eastAsia" w:ascii="宋体" w:hAnsi="宋体"/>
                <w:bCs/>
                <w:color w:val="auto"/>
                <w:highlight w:val="none"/>
              </w:rPr>
              <w:t>大写：人民币</w:t>
            </w:r>
          </w:p>
          <w:p>
            <w:pPr>
              <w:spacing w:line="360" w:lineRule="auto"/>
              <w:rPr>
                <w:rFonts w:ascii="宋体" w:hAnsi="宋体"/>
                <w:bCs/>
                <w:color w:val="auto"/>
                <w:highlight w:val="none"/>
              </w:rPr>
            </w:pPr>
          </w:p>
          <w:p>
            <w:pPr>
              <w:spacing w:line="360" w:lineRule="auto"/>
              <w:rPr>
                <w:rFonts w:ascii="宋体" w:hAnsi="宋体"/>
                <w:bCs/>
                <w:color w:val="auto"/>
                <w:highlight w:val="none"/>
              </w:rPr>
            </w:pPr>
            <w:r>
              <w:rPr>
                <w:rFonts w:hint="eastAsia" w:ascii="宋体" w:hAnsi="宋体"/>
                <w:bCs/>
                <w:color w:val="auto"/>
                <w:highlight w:val="none"/>
              </w:rPr>
              <w:t xml:space="preserve">小写：¥ </w:t>
            </w:r>
          </w:p>
          <w:p>
            <w:pPr>
              <w:spacing w:line="360" w:lineRule="auto"/>
              <w:rPr>
                <w:rFonts w:ascii="宋体" w:hAnsi="宋体"/>
                <w:bCs/>
                <w:color w:val="auto"/>
                <w:highlight w:val="none"/>
              </w:rPr>
            </w:pPr>
          </w:p>
        </w:tc>
        <w:tc>
          <w:tcPr>
            <w:tcW w:w="1501" w:type="dxa"/>
            <w:vAlign w:val="center"/>
          </w:tcPr>
          <w:p>
            <w:pPr>
              <w:spacing w:line="360" w:lineRule="auto"/>
              <w:jc w:val="center"/>
              <w:rPr>
                <w:rFonts w:ascii="宋体" w:hAnsi="宋体"/>
                <w:bCs/>
                <w:color w:val="auto"/>
                <w:highlight w:val="none"/>
                <w:u w:val="single"/>
              </w:rPr>
            </w:pPr>
          </w:p>
        </w:tc>
        <w:tc>
          <w:tcPr>
            <w:tcW w:w="1476" w:type="dxa"/>
            <w:vAlign w:val="center"/>
          </w:tcPr>
          <w:p>
            <w:pPr>
              <w:spacing w:line="360" w:lineRule="auto"/>
              <w:rPr>
                <w:rFonts w:ascii="宋体" w:hAnsi="宋体"/>
                <w:bCs/>
                <w:color w:val="auto"/>
                <w:szCs w:val="21"/>
                <w:highlight w:val="none"/>
              </w:rPr>
            </w:pPr>
          </w:p>
        </w:tc>
      </w:tr>
    </w:tbl>
    <w:p>
      <w:pPr>
        <w:spacing w:line="360" w:lineRule="auto"/>
        <w:rPr>
          <w:rFonts w:ascii="宋体" w:hAnsi="宋体"/>
          <w:bCs/>
          <w:color w:val="auto"/>
          <w:highlight w:val="none"/>
          <w:u w:val="single"/>
        </w:rPr>
      </w:pPr>
    </w:p>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17"/>
        </w:numPr>
        <w:tabs>
          <w:tab w:val="left" w:pos="845"/>
        </w:tabs>
        <w:spacing w:line="360" w:lineRule="auto"/>
        <w:rPr>
          <w:rFonts w:ascii="宋体" w:hAnsi="宋体"/>
          <w:bCs/>
          <w:color w:val="auto"/>
          <w:highlight w:val="none"/>
        </w:rPr>
      </w:pPr>
      <w:r>
        <w:rPr>
          <w:rFonts w:hint="eastAsia" w:ascii="宋体" w:hAnsi="宋体"/>
          <w:color w:val="auto"/>
          <w:highlight w:val="none"/>
        </w:rPr>
        <w:t>填写此表时不得改变表格的形式。</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本报价表为供应商的第一次报价，谈判后，代理采购机构将向合格的供应商发最终报价表。</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所投项目的内容必须填写完整。</w:t>
      </w:r>
    </w:p>
    <w:p>
      <w:pPr>
        <w:numPr>
          <w:ilvl w:val="0"/>
          <w:numId w:val="17"/>
        </w:numPr>
        <w:tabs>
          <w:tab w:val="left" w:pos="845"/>
        </w:tabs>
        <w:spacing w:line="360" w:lineRule="auto"/>
        <w:rPr>
          <w:rFonts w:ascii="宋体" w:hAnsi="宋体"/>
          <w:bCs/>
          <w:color w:val="auto"/>
          <w:highlight w:val="none"/>
        </w:rPr>
      </w:pPr>
      <w:r>
        <w:rPr>
          <w:rFonts w:hint="eastAsia" w:ascii="宋体" w:hAnsi="宋体"/>
          <w:bCs/>
          <w:color w:val="auto"/>
          <w:highlight w:val="none"/>
        </w:rPr>
        <w:t>如果供应商认为有应当说明而本表中无相应栏目的内容，请在“备注”栏中说明添加说明。</w:t>
      </w: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tabs>
          <w:tab w:val="left" w:pos="845"/>
        </w:tabs>
        <w:spacing w:line="360" w:lineRule="auto"/>
        <w:rPr>
          <w:rFonts w:ascii="宋体" w:hAnsi="宋体"/>
          <w:bCs/>
          <w:color w:val="auto"/>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日期：年月日</w:t>
      </w:r>
    </w:p>
    <w:p>
      <w:pPr>
        <w:pStyle w:val="23"/>
        <w:spacing w:line="360" w:lineRule="auto"/>
        <w:rPr>
          <w:rFonts w:hAnsi="宋体"/>
          <w:color w:val="auto"/>
          <w:highlight w:val="none"/>
        </w:rPr>
      </w:pPr>
    </w:p>
    <w:p>
      <w:pPr>
        <w:pStyle w:val="23"/>
        <w:spacing w:line="360" w:lineRule="auto"/>
        <w:rPr>
          <w:rFonts w:hAnsi="宋体"/>
          <w:color w:val="auto"/>
          <w:highlight w:val="none"/>
        </w:rPr>
        <w:sectPr>
          <w:pgSz w:w="11906" w:h="16838"/>
          <w:pgMar w:top="1418" w:right="1474" w:bottom="1418" w:left="1474" w:header="851" w:footer="851" w:gutter="0"/>
          <w:cols w:space="720" w:num="1"/>
          <w:titlePg/>
          <w:docGrid w:linePitch="462" w:charSpace="0"/>
        </w:sectPr>
      </w:pPr>
    </w:p>
    <w:p>
      <w:pPr>
        <w:pStyle w:val="4"/>
        <w:numPr>
          <w:ilvl w:val="1"/>
          <w:numId w:val="0"/>
        </w:numPr>
        <w:spacing w:line="360" w:lineRule="auto"/>
        <w:jc w:val="center"/>
        <w:rPr>
          <w:rFonts w:ascii="宋体" w:hAnsi="宋体" w:eastAsia="宋体"/>
          <w:color w:val="auto"/>
          <w:sz w:val="28"/>
          <w:szCs w:val="28"/>
          <w:highlight w:val="none"/>
        </w:rPr>
      </w:pPr>
      <w:bookmarkStart w:id="251" w:name="_Toc200414527"/>
      <w:bookmarkStart w:id="252" w:name="_Toc17228"/>
      <w:bookmarkStart w:id="253" w:name="_Toc19957"/>
      <w:r>
        <w:rPr>
          <w:rFonts w:hint="eastAsia" w:ascii="宋体" w:hAnsi="宋体" w:eastAsia="宋体"/>
          <w:color w:val="auto"/>
          <w:highlight w:val="none"/>
        </w:rPr>
        <w:t>附件三：谈判分项报价</w:t>
      </w:r>
      <w:r>
        <w:rPr>
          <w:rFonts w:ascii="宋体" w:hAnsi="宋体" w:eastAsia="宋体"/>
          <w:color w:val="auto"/>
          <w:highlight w:val="none"/>
        </w:rPr>
        <w:t>表</w:t>
      </w:r>
      <w:bookmarkEnd w:id="251"/>
      <w:bookmarkEnd w:id="252"/>
      <w:bookmarkEnd w:id="253"/>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color w:val="auto"/>
          <w:spacing w:val="10"/>
          <w:szCs w:val="21"/>
          <w:highlight w:val="none"/>
        </w:rPr>
      </w:pPr>
      <w:r>
        <w:rPr>
          <w:rFonts w:hint="eastAsia" w:ascii="宋体" w:hAnsi="宋体"/>
          <w:color w:val="auto"/>
          <w:szCs w:val="21"/>
          <w:highlight w:val="none"/>
        </w:rPr>
        <w:t>项目名称：</w:t>
      </w:r>
    </w:p>
    <w:p>
      <w:pPr>
        <w:adjustRightInd w:val="0"/>
        <w:snapToGrid w:val="0"/>
        <w:spacing w:line="360" w:lineRule="auto"/>
        <w:ind w:firstLine="6615" w:firstLineChars="3150"/>
        <w:jc w:val="left"/>
        <w:rPr>
          <w:rFonts w:ascii="宋体" w:hAnsi="宋体"/>
          <w:bCs/>
          <w:color w:val="auto"/>
          <w:szCs w:val="21"/>
          <w:highlight w:val="none"/>
        </w:rPr>
      </w:pPr>
      <w:r>
        <w:rPr>
          <w:rFonts w:hint="eastAsia" w:ascii="宋体" w:hAnsi="宋体"/>
          <w:bCs/>
          <w:color w:val="auto"/>
          <w:szCs w:val="21"/>
          <w:highlight w:val="none"/>
        </w:rPr>
        <w:t>（单位：元）</w:t>
      </w:r>
    </w:p>
    <w:tbl>
      <w:tblPr>
        <w:tblStyle w:val="43"/>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sz w:val="18"/>
                <w:highlight w:val="none"/>
              </w:rPr>
            </w:pPr>
            <w:r>
              <w:rPr>
                <w:rFonts w:hint="eastAsia"/>
                <w:color w:val="auto"/>
                <w:sz w:val="18"/>
                <w:highlight w:val="none"/>
              </w:rPr>
              <w:t>序号</w:t>
            </w:r>
          </w:p>
        </w:tc>
        <w:tc>
          <w:tcPr>
            <w:tcW w:w="1842" w:type="dxa"/>
            <w:vAlign w:val="center"/>
          </w:tcPr>
          <w:p>
            <w:pPr>
              <w:pStyle w:val="5"/>
              <w:snapToGrid w:val="0"/>
              <w:ind w:firstLine="0"/>
              <w:jc w:val="center"/>
              <w:rPr>
                <w:color w:val="auto"/>
                <w:highlight w:val="none"/>
              </w:rPr>
            </w:pPr>
            <w:r>
              <w:rPr>
                <w:rFonts w:hint="eastAsia"/>
                <w:color w:val="auto"/>
                <w:highlight w:val="none"/>
              </w:rPr>
              <w:t>内容</w:t>
            </w:r>
          </w:p>
        </w:tc>
        <w:tc>
          <w:tcPr>
            <w:tcW w:w="1281" w:type="dxa"/>
            <w:vAlign w:val="center"/>
          </w:tcPr>
          <w:p>
            <w:pPr>
              <w:pStyle w:val="5"/>
              <w:snapToGrid w:val="0"/>
              <w:ind w:firstLine="0"/>
              <w:jc w:val="center"/>
              <w:rPr>
                <w:color w:val="auto"/>
                <w:highlight w:val="none"/>
              </w:rPr>
            </w:pPr>
            <w:r>
              <w:rPr>
                <w:rFonts w:hint="eastAsia"/>
                <w:color w:val="auto"/>
                <w:highlight w:val="none"/>
              </w:rPr>
              <w:t>1</w:t>
            </w:r>
          </w:p>
        </w:tc>
        <w:tc>
          <w:tcPr>
            <w:tcW w:w="1281" w:type="dxa"/>
            <w:vAlign w:val="center"/>
          </w:tcPr>
          <w:p>
            <w:pPr>
              <w:pStyle w:val="5"/>
              <w:snapToGrid w:val="0"/>
              <w:ind w:firstLine="0"/>
              <w:jc w:val="center"/>
              <w:rPr>
                <w:color w:val="auto"/>
                <w:highlight w:val="none"/>
              </w:rPr>
            </w:pPr>
            <w:r>
              <w:rPr>
                <w:rFonts w:hint="eastAsia"/>
                <w:color w:val="auto"/>
                <w:highlight w:val="none"/>
              </w:rPr>
              <w:t>2</w:t>
            </w:r>
          </w:p>
        </w:tc>
        <w:tc>
          <w:tcPr>
            <w:tcW w:w="1282" w:type="dxa"/>
            <w:gridSpan w:val="2"/>
            <w:vAlign w:val="center"/>
          </w:tcPr>
          <w:p>
            <w:pPr>
              <w:pStyle w:val="5"/>
              <w:snapToGrid w:val="0"/>
              <w:ind w:firstLine="0"/>
              <w:jc w:val="center"/>
              <w:rPr>
                <w:color w:val="auto"/>
                <w:highlight w:val="none"/>
              </w:rPr>
            </w:pPr>
            <w:r>
              <w:rPr>
                <w:rFonts w:hint="eastAsia"/>
                <w:color w:val="auto"/>
                <w:highlight w:val="none"/>
              </w:rPr>
              <w:t>3</w:t>
            </w:r>
          </w:p>
        </w:tc>
        <w:tc>
          <w:tcPr>
            <w:tcW w:w="1281" w:type="dxa"/>
            <w:vAlign w:val="center"/>
          </w:tcPr>
          <w:p>
            <w:pPr>
              <w:pStyle w:val="5"/>
              <w:snapToGrid w:val="0"/>
              <w:ind w:firstLine="0"/>
              <w:jc w:val="center"/>
              <w:rPr>
                <w:color w:val="auto"/>
                <w:highlight w:val="none"/>
              </w:rPr>
            </w:pPr>
            <w:r>
              <w:rPr>
                <w:rFonts w:hint="eastAsia"/>
                <w:color w:val="auto"/>
                <w:highlight w:val="none"/>
              </w:rPr>
              <w:t>4</w:t>
            </w:r>
          </w:p>
        </w:tc>
        <w:tc>
          <w:tcPr>
            <w:tcW w:w="1287" w:type="dxa"/>
            <w:vAlign w:val="center"/>
          </w:tcPr>
          <w:p>
            <w:pPr>
              <w:pStyle w:val="5"/>
              <w:snapToGrid w:val="0"/>
              <w:ind w:firstLine="0"/>
              <w:jc w:val="center"/>
              <w:rPr>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1</w:t>
            </w:r>
          </w:p>
        </w:tc>
        <w:tc>
          <w:tcPr>
            <w:tcW w:w="1842" w:type="dxa"/>
            <w:vAlign w:val="center"/>
          </w:tcPr>
          <w:p>
            <w:pPr>
              <w:pStyle w:val="5"/>
              <w:snapToGrid w:val="0"/>
              <w:ind w:firstLine="0"/>
              <w:jc w:val="center"/>
              <w:rPr>
                <w:color w:val="auto"/>
                <w:highlight w:val="none"/>
              </w:rPr>
            </w:pPr>
            <w:r>
              <w:rPr>
                <w:rFonts w:hint="eastAsia"/>
                <w:color w:val="auto"/>
                <w:highlight w:val="none"/>
              </w:rPr>
              <w:t>服务内容</w:t>
            </w:r>
          </w:p>
        </w:tc>
        <w:tc>
          <w:tcPr>
            <w:tcW w:w="1281" w:type="dxa"/>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2" w:type="dxa"/>
            <w:gridSpan w:val="2"/>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7" w:type="dxa"/>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2</w:t>
            </w:r>
          </w:p>
        </w:tc>
        <w:tc>
          <w:tcPr>
            <w:tcW w:w="1842" w:type="dxa"/>
            <w:vAlign w:val="center"/>
          </w:tcPr>
          <w:p>
            <w:pPr>
              <w:pStyle w:val="5"/>
              <w:snapToGrid w:val="0"/>
              <w:ind w:firstLine="0"/>
              <w:jc w:val="center"/>
              <w:rPr>
                <w:color w:val="auto"/>
                <w:highlight w:val="none"/>
              </w:rPr>
            </w:pPr>
            <w:r>
              <w:rPr>
                <w:rFonts w:hint="eastAsia"/>
                <w:color w:val="auto"/>
                <w:highlight w:val="none"/>
              </w:rPr>
              <w:t>服务时间</w:t>
            </w:r>
          </w:p>
        </w:tc>
        <w:tc>
          <w:tcPr>
            <w:tcW w:w="1281" w:type="dxa"/>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2" w:type="dxa"/>
            <w:gridSpan w:val="2"/>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7" w:type="dxa"/>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color w:val="auto"/>
                <w:highlight w:val="none"/>
              </w:rPr>
              <w:t>3</w:t>
            </w:r>
          </w:p>
        </w:tc>
        <w:tc>
          <w:tcPr>
            <w:tcW w:w="1842" w:type="dxa"/>
            <w:vAlign w:val="center"/>
          </w:tcPr>
          <w:p>
            <w:pPr>
              <w:pStyle w:val="5"/>
              <w:snapToGrid w:val="0"/>
              <w:ind w:firstLine="0"/>
              <w:jc w:val="center"/>
              <w:rPr>
                <w:color w:val="auto"/>
                <w:highlight w:val="none"/>
              </w:rPr>
            </w:pPr>
            <w:r>
              <w:rPr>
                <w:rFonts w:hint="eastAsia"/>
                <w:color w:val="auto"/>
                <w:highlight w:val="none"/>
              </w:rPr>
              <w:t>单价</w:t>
            </w:r>
          </w:p>
        </w:tc>
        <w:tc>
          <w:tcPr>
            <w:tcW w:w="1281" w:type="dxa"/>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2" w:type="dxa"/>
            <w:gridSpan w:val="2"/>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7" w:type="dxa"/>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color w:val="auto"/>
                <w:highlight w:val="none"/>
              </w:rPr>
              <w:t>4</w:t>
            </w:r>
          </w:p>
        </w:tc>
        <w:tc>
          <w:tcPr>
            <w:tcW w:w="1842" w:type="dxa"/>
            <w:vAlign w:val="center"/>
          </w:tcPr>
          <w:p>
            <w:pPr>
              <w:pStyle w:val="5"/>
              <w:snapToGrid w:val="0"/>
              <w:ind w:firstLine="0"/>
              <w:jc w:val="center"/>
              <w:rPr>
                <w:color w:val="auto"/>
                <w:highlight w:val="none"/>
              </w:rPr>
            </w:pPr>
            <w:r>
              <w:rPr>
                <w:rFonts w:hint="eastAsia"/>
                <w:color w:val="auto"/>
                <w:highlight w:val="none"/>
              </w:rPr>
              <w:t>总价</w:t>
            </w:r>
          </w:p>
        </w:tc>
        <w:tc>
          <w:tcPr>
            <w:tcW w:w="1281" w:type="dxa"/>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2" w:type="dxa"/>
            <w:gridSpan w:val="2"/>
            <w:vAlign w:val="center"/>
          </w:tcPr>
          <w:p>
            <w:pPr>
              <w:pStyle w:val="5"/>
              <w:snapToGrid w:val="0"/>
              <w:ind w:firstLine="0"/>
              <w:jc w:val="center"/>
              <w:rPr>
                <w:color w:val="auto"/>
                <w:highlight w:val="none"/>
              </w:rPr>
            </w:pPr>
          </w:p>
        </w:tc>
        <w:tc>
          <w:tcPr>
            <w:tcW w:w="1281" w:type="dxa"/>
            <w:vAlign w:val="center"/>
          </w:tcPr>
          <w:p>
            <w:pPr>
              <w:pStyle w:val="5"/>
              <w:snapToGrid w:val="0"/>
              <w:ind w:firstLine="0"/>
              <w:jc w:val="center"/>
              <w:rPr>
                <w:color w:val="auto"/>
                <w:highlight w:val="none"/>
              </w:rPr>
            </w:pPr>
          </w:p>
        </w:tc>
        <w:tc>
          <w:tcPr>
            <w:tcW w:w="1287" w:type="dxa"/>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color w:val="auto"/>
                <w:highlight w:val="none"/>
              </w:rPr>
              <w:t>5</w:t>
            </w:r>
          </w:p>
        </w:tc>
        <w:tc>
          <w:tcPr>
            <w:tcW w:w="1842" w:type="dxa"/>
            <w:vAlign w:val="center"/>
          </w:tcPr>
          <w:p>
            <w:pPr>
              <w:pStyle w:val="5"/>
              <w:snapToGrid w:val="0"/>
              <w:ind w:firstLine="0"/>
              <w:jc w:val="center"/>
              <w:rPr>
                <w:color w:val="auto"/>
                <w:highlight w:val="none"/>
              </w:rPr>
            </w:pPr>
            <w:r>
              <w:rPr>
                <w:rFonts w:hint="eastAsia"/>
                <w:color w:val="auto"/>
                <w:highlight w:val="none"/>
              </w:rPr>
              <w:t>保险费</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color w:val="auto"/>
                <w:highlight w:val="none"/>
              </w:rPr>
              <w:t>6</w:t>
            </w:r>
          </w:p>
        </w:tc>
        <w:tc>
          <w:tcPr>
            <w:tcW w:w="1842" w:type="dxa"/>
            <w:vAlign w:val="center"/>
          </w:tcPr>
          <w:p>
            <w:pPr>
              <w:pStyle w:val="5"/>
              <w:snapToGrid w:val="0"/>
              <w:ind w:firstLine="0"/>
              <w:jc w:val="center"/>
              <w:rPr>
                <w:color w:val="auto"/>
                <w:highlight w:val="none"/>
              </w:rPr>
            </w:pPr>
            <w:r>
              <w:rPr>
                <w:rFonts w:hint="eastAsia"/>
                <w:color w:val="auto"/>
                <w:highlight w:val="none"/>
              </w:rPr>
              <w:t>税金</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7</w:t>
            </w:r>
          </w:p>
        </w:tc>
        <w:tc>
          <w:tcPr>
            <w:tcW w:w="1842" w:type="dxa"/>
            <w:vAlign w:val="center"/>
          </w:tcPr>
          <w:p>
            <w:pPr>
              <w:pStyle w:val="5"/>
              <w:snapToGrid w:val="0"/>
              <w:ind w:firstLine="0"/>
              <w:jc w:val="center"/>
              <w:rPr>
                <w:color w:val="auto"/>
                <w:highlight w:val="none"/>
              </w:rPr>
            </w:pPr>
            <w:r>
              <w:rPr>
                <w:rFonts w:hint="eastAsia"/>
                <w:color w:val="auto"/>
                <w:highlight w:val="none"/>
              </w:rPr>
              <w:t>技术服务费</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8</w:t>
            </w:r>
          </w:p>
        </w:tc>
        <w:tc>
          <w:tcPr>
            <w:tcW w:w="1842" w:type="dxa"/>
            <w:vAlign w:val="center"/>
          </w:tcPr>
          <w:p>
            <w:pPr>
              <w:pStyle w:val="5"/>
              <w:snapToGrid w:val="0"/>
              <w:ind w:firstLine="0"/>
              <w:jc w:val="center"/>
              <w:rPr>
                <w:color w:val="auto"/>
                <w:highlight w:val="none"/>
              </w:rPr>
            </w:pPr>
            <w:r>
              <w:rPr>
                <w:rFonts w:hint="eastAsia"/>
                <w:color w:val="auto"/>
                <w:highlight w:val="none"/>
              </w:rPr>
              <w:t>培训费</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9</w:t>
            </w:r>
          </w:p>
        </w:tc>
        <w:tc>
          <w:tcPr>
            <w:tcW w:w="1842" w:type="dxa"/>
            <w:vAlign w:val="center"/>
          </w:tcPr>
          <w:p>
            <w:pPr>
              <w:pStyle w:val="5"/>
              <w:snapToGrid w:val="0"/>
              <w:ind w:firstLine="0"/>
              <w:jc w:val="center"/>
              <w:rPr>
                <w:color w:val="auto"/>
                <w:highlight w:val="none"/>
              </w:rPr>
            </w:pPr>
            <w:r>
              <w:rPr>
                <w:rFonts w:hint="eastAsia"/>
                <w:color w:val="auto"/>
                <w:highlight w:val="none"/>
              </w:rPr>
              <w:t>质量保证期内的服务费用</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10</w:t>
            </w:r>
          </w:p>
        </w:tc>
        <w:tc>
          <w:tcPr>
            <w:tcW w:w="1842" w:type="dxa"/>
            <w:vAlign w:val="center"/>
          </w:tcPr>
          <w:p>
            <w:pPr>
              <w:pStyle w:val="5"/>
              <w:snapToGrid w:val="0"/>
              <w:ind w:firstLine="0"/>
              <w:jc w:val="center"/>
              <w:rPr>
                <w:color w:val="auto"/>
                <w:highlight w:val="none"/>
              </w:rPr>
            </w:pPr>
            <w:r>
              <w:rPr>
                <w:rFonts w:hint="eastAsia"/>
                <w:color w:val="auto"/>
                <w:highlight w:val="none"/>
              </w:rPr>
              <w:t>其他费用</w:t>
            </w:r>
          </w:p>
          <w:p>
            <w:pPr>
              <w:pStyle w:val="5"/>
              <w:snapToGrid w:val="0"/>
              <w:ind w:firstLine="0"/>
              <w:jc w:val="center"/>
              <w:rPr>
                <w:color w:val="auto"/>
                <w:highlight w:val="none"/>
              </w:rPr>
            </w:pPr>
            <w:r>
              <w:rPr>
                <w:rFonts w:hint="eastAsia"/>
                <w:color w:val="auto"/>
                <w:highlight w:val="none"/>
              </w:rPr>
              <w:t>（该表中无体现的费用但本项目有产生的其他费用）</w:t>
            </w:r>
          </w:p>
        </w:tc>
        <w:tc>
          <w:tcPr>
            <w:tcW w:w="6412" w:type="dxa"/>
            <w:gridSpan w:val="6"/>
            <w:vAlign w:val="center"/>
          </w:tcPr>
          <w:p>
            <w:pPr>
              <w:pStyle w:val="5"/>
              <w:snapToGrid w:val="0"/>
              <w:ind w:firstLine="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11</w:t>
            </w:r>
          </w:p>
        </w:tc>
        <w:tc>
          <w:tcPr>
            <w:tcW w:w="1842" w:type="dxa"/>
            <w:vAlign w:val="center"/>
          </w:tcPr>
          <w:p>
            <w:pPr>
              <w:pStyle w:val="5"/>
              <w:snapToGrid w:val="0"/>
              <w:ind w:firstLine="0"/>
              <w:jc w:val="center"/>
              <w:rPr>
                <w:bCs/>
                <w:color w:val="auto"/>
                <w:highlight w:val="none"/>
              </w:rPr>
            </w:pPr>
            <w:r>
              <w:rPr>
                <w:rFonts w:hint="eastAsia"/>
                <w:bCs/>
                <w:color w:val="auto"/>
                <w:highlight w:val="none"/>
              </w:rPr>
              <w:t>报价总价</w:t>
            </w:r>
          </w:p>
        </w:tc>
        <w:tc>
          <w:tcPr>
            <w:tcW w:w="3208" w:type="dxa"/>
            <w:gridSpan w:val="3"/>
            <w:vAlign w:val="center"/>
          </w:tcPr>
          <w:p>
            <w:pPr>
              <w:pStyle w:val="5"/>
              <w:snapToGrid w:val="0"/>
              <w:ind w:firstLine="0"/>
              <w:rPr>
                <w:bCs/>
                <w:color w:val="auto"/>
                <w:highlight w:val="none"/>
              </w:rPr>
            </w:pPr>
            <w:r>
              <w:rPr>
                <w:rFonts w:hint="eastAsia"/>
                <w:bCs/>
                <w:color w:val="auto"/>
                <w:highlight w:val="none"/>
              </w:rPr>
              <w:t>（大写）人民币</w:t>
            </w:r>
          </w:p>
        </w:tc>
        <w:tc>
          <w:tcPr>
            <w:tcW w:w="3204" w:type="dxa"/>
            <w:gridSpan w:val="3"/>
            <w:vAlign w:val="center"/>
          </w:tcPr>
          <w:p>
            <w:pPr>
              <w:pStyle w:val="5"/>
              <w:snapToGrid w:val="0"/>
              <w:ind w:firstLine="0"/>
              <w:rPr>
                <w:bCs/>
                <w:color w:val="auto"/>
                <w:highlight w:val="none"/>
              </w:rPr>
            </w:pPr>
            <w:r>
              <w:rPr>
                <w:rFonts w:hint="eastAsia"/>
                <w:bCs/>
                <w:color w:val="auto"/>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5"/>
              <w:snapToGrid w:val="0"/>
              <w:ind w:firstLine="0"/>
              <w:jc w:val="center"/>
              <w:rPr>
                <w:color w:val="auto"/>
                <w:highlight w:val="none"/>
              </w:rPr>
            </w:pPr>
            <w:r>
              <w:rPr>
                <w:rFonts w:hint="eastAsia"/>
                <w:color w:val="auto"/>
                <w:highlight w:val="none"/>
              </w:rPr>
              <w:t>12</w:t>
            </w:r>
          </w:p>
        </w:tc>
        <w:tc>
          <w:tcPr>
            <w:tcW w:w="1842" w:type="dxa"/>
            <w:vAlign w:val="center"/>
          </w:tcPr>
          <w:p>
            <w:pPr>
              <w:pStyle w:val="5"/>
              <w:snapToGrid w:val="0"/>
              <w:ind w:firstLine="0"/>
              <w:jc w:val="center"/>
              <w:rPr>
                <w:bCs/>
                <w:color w:val="auto"/>
                <w:highlight w:val="none"/>
              </w:rPr>
            </w:pPr>
            <w:r>
              <w:rPr>
                <w:rFonts w:hint="eastAsia"/>
                <w:bCs/>
                <w:color w:val="auto"/>
                <w:highlight w:val="none"/>
              </w:rPr>
              <w:t>备注</w:t>
            </w:r>
          </w:p>
        </w:tc>
        <w:tc>
          <w:tcPr>
            <w:tcW w:w="6412" w:type="dxa"/>
            <w:gridSpan w:val="6"/>
            <w:vAlign w:val="center"/>
          </w:tcPr>
          <w:p>
            <w:pPr>
              <w:pStyle w:val="5"/>
              <w:snapToGrid w:val="0"/>
              <w:ind w:firstLine="0"/>
              <w:jc w:val="center"/>
              <w:rPr>
                <w:bCs/>
                <w:color w:val="auto"/>
                <w:highlight w:val="none"/>
              </w:rPr>
            </w:pPr>
          </w:p>
        </w:tc>
      </w:tr>
    </w:tbl>
    <w:p>
      <w:pPr>
        <w:adjustRightInd w:val="0"/>
        <w:snapToGrid w:val="0"/>
        <w:spacing w:line="360" w:lineRule="auto"/>
        <w:rPr>
          <w:rFonts w:ascii="宋体" w:hAnsi="宋体"/>
          <w:bCs/>
          <w:color w:val="auto"/>
          <w:szCs w:val="21"/>
          <w:highlight w:val="none"/>
        </w:rPr>
      </w:pPr>
    </w:p>
    <w:p>
      <w:pPr>
        <w:adjustRightInd w:val="0"/>
        <w:snapToGrid w:val="0"/>
        <w:spacing w:line="360" w:lineRule="auto"/>
        <w:ind w:firstLine="6615" w:firstLineChars="3150"/>
        <w:jc w:val="left"/>
        <w:rPr>
          <w:rFonts w:ascii="宋体" w:hAnsi="宋体"/>
          <w:bCs/>
          <w:color w:val="auto"/>
          <w:szCs w:val="21"/>
          <w:highlight w:val="none"/>
        </w:rPr>
      </w:pPr>
    </w:p>
    <w:p>
      <w:pPr>
        <w:spacing w:line="460" w:lineRule="exact"/>
        <w:rPr>
          <w:rFonts w:ascii="宋体" w:hAnsi="宋体"/>
          <w:color w:val="auto"/>
          <w:highlight w:val="none"/>
        </w:rPr>
      </w:pPr>
      <w:r>
        <w:rPr>
          <w:rFonts w:hint="eastAsia" w:ascii="宋体" w:hAnsi="宋体"/>
          <w:color w:val="auto"/>
          <w:highlight w:val="none"/>
        </w:rPr>
        <w:t>注：1、若最终报价在第一次报价的基础上有浮动，则最终报价中的各分项报价须按比例统一浮动。</w:t>
      </w:r>
    </w:p>
    <w:p>
      <w:pPr>
        <w:spacing w:line="460" w:lineRule="exact"/>
        <w:ind w:firstLine="420" w:firstLineChars="200"/>
        <w:rPr>
          <w:rFonts w:ascii="宋体" w:hAnsi="宋体"/>
          <w:color w:val="auto"/>
          <w:highlight w:val="none"/>
        </w:rPr>
      </w:pPr>
      <w:r>
        <w:rPr>
          <w:rFonts w:hint="eastAsia" w:ascii="宋体" w:hAnsi="宋体"/>
          <w:color w:val="auto"/>
          <w:highlight w:val="none"/>
        </w:rPr>
        <w:t>2、如本表格式内容不能满足需要，供应商可自行划表填写。</w:t>
      </w:r>
    </w:p>
    <w:p>
      <w:pPr>
        <w:adjustRightInd w:val="0"/>
        <w:snapToGrid w:val="0"/>
        <w:spacing w:line="400" w:lineRule="exact"/>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400" w:lineRule="exact"/>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rPr>
          <w:rFonts w:ascii="宋体" w:hAnsi="宋体"/>
          <w:color w:val="auto"/>
          <w:highlight w:val="none"/>
        </w:rPr>
      </w:pPr>
      <w:r>
        <w:rPr>
          <w:rFonts w:hint="eastAsia" w:ascii="宋体" w:hAnsi="宋体"/>
          <w:bCs/>
          <w:color w:val="auto"/>
          <w:szCs w:val="21"/>
          <w:highlight w:val="none"/>
        </w:rPr>
        <w:t>日期：年月日</w:t>
      </w:r>
      <w:bookmarkStart w:id="254" w:name="_Toc200414528"/>
    </w:p>
    <w:p>
      <w:pPr>
        <w:pStyle w:val="4"/>
        <w:numPr>
          <w:ilvl w:val="1"/>
          <w:numId w:val="0"/>
        </w:numPr>
        <w:spacing w:line="360" w:lineRule="auto"/>
        <w:jc w:val="center"/>
        <w:rPr>
          <w:rFonts w:ascii="宋体" w:hAnsi="宋体" w:eastAsia="宋体"/>
          <w:color w:val="auto"/>
          <w:sz w:val="28"/>
          <w:szCs w:val="28"/>
          <w:highlight w:val="none"/>
        </w:rPr>
      </w:pPr>
      <w:bookmarkStart w:id="255" w:name="_Toc28841"/>
      <w:bookmarkStart w:id="256" w:name="_Toc754"/>
      <w:r>
        <w:rPr>
          <w:rFonts w:hint="eastAsia" w:ascii="宋体" w:hAnsi="宋体" w:eastAsia="宋体"/>
          <w:color w:val="auto"/>
          <w:sz w:val="28"/>
          <w:szCs w:val="28"/>
          <w:highlight w:val="none"/>
        </w:rPr>
        <w:t>附件四：商务条款偏离一览表</w:t>
      </w:r>
      <w:bookmarkEnd w:id="254"/>
      <w:bookmarkEnd w:id="255"/>
      <w:bookmarkEnd w:id="256"/>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color w:val="auto"/>
          <w:spacing w:val="10"/>
          <w:szCs w:val="21"/>
          <w:highlight w:val="none"/>
          <w:u w:val="single"/>
        </w:rPr>
      </w:pPr>
      <w:r>
        <w:rPr>
          <w:rFonts w:hint="eastAsia" w:ascii="宋体" w:hAnsi="宋体"/>
          <w:color w:val="auto"/>
          <w:szCs w:val="21"/>
          <w:highlight w:val="none"/>
        </w:rPr>
        <w:t>项目名称：</w:t>
      </w:r>
    </w:p>
    <w:tbl>
      <w:tblPr>
        <w:tblStyle w:val="43"/>
        <w:tblW w:w="9271" w:type="dxa"/>
        <w:jc w:val="center"/>
        <w:tblLayout w:type="fixed"/>
        <w:tblCellMar>
          <w:top w:w="0" w:type="dxa"/>
          <w:left w:w="54" w:type="dxa"/>
          <w:bottom w:w="0" w:type="dxa"/>
          <w:right w:w="54" w:type="dxa"/>
        </w:tblCellMar>
      </w:tblPr>
      <w:tblGrid>
        <w:gridCol w:w="583"/>
        <w:gridCol w:w="850"/>
        <w:gridCol w:w="3189"/>
        <w:gridCol w:w="2906"/>
        <w:gridCol w:w="993"/>
        <w:gridCol w:w="750"/>
      </w:tblGrid>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谈判文件规格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highlight w:val="none"/>
        </w:rPr>
        <w:t>1）对“偏离”一栏，填写“无偏离、正偏离、负偏离”；</w:t>
      </w:r>
    </w:p>
    <w:p>
      <w:pPr>
        <w:adjustRightInd w:val="0"/>
        <w:snapToGrid w:val="0"/>
        <w:spacing w:line="360" w:lineRule="auto"/>
        <w:ind w:firstLine="630" w:firstLineChars="300"/>
        <w:rPr>
          <w:rFonts w:ascii="宋体" w:hAnsi="宋体"/>
          <w:b/>
          <w:bCs/>
          <w:color w:val="auto"/>
          <w:szCs w:val="21"/>
          <w:highlight w:val="none"/>
        </w:rPr>
      </w:pPr>
      <w:r>
        <w:rPr>
          <w:rFonts w:hint="eastAsia" w:ascii="宋体" w:hAnsi="宋体"/>
          <w:bCs/>
          <w:color w:val="auto"/>
          <w:szCs w:val="21"/>
          <w:highlight w:val="none"/>
        </w:rPr>
        <w:t>2）对谈判文件中商务条款按上列格式逐条说明。</w:t>
      </w:r>
    </w:p>
    <w:p>
      <w:pPr>
        <w:adjustRightInd w:val="0"/>
        <w:snapToGrid w:val="0"/>
        <w:spacing w:line="360" w:lineRule="auto"/>
        <w:rPr>
          <w:rFonts w:ascii="宋体" w:hAnsi="宋体"/>
          <w:bCs/>
          <w:color w:val="auto"/>
          <w:szCs w:val="21"/>
          <w:highlight w:val="none"/>
        </w:rPr>
      </w:pPr>
      <w:r>
        <w:rPr>
          <w:rFonts w:hint="eastAsia" w:ascii="宋体" w:hAnsi="宋体"/>
          <w:b/>
          <w:bCs/>
          <w:color w:val="auto"/>
          <w:szCs w:val="21"/>
          <w:highlight w:val="none"/>
        </w:rPr>
        <w:t>供应商声明：表中未列全的商务条款，我方均表示完全响应谈判文件商务条款的所有要求。</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日期： 年月 日</w:t>
      </w:r>
    </w:p>
    <w:p>
      <w:pPr>
        <w:adjustRightInd w:val="0"/>
        <w:snapToGrid w:val="0"/>
        <w:spacing w:line="360" w:lineRule="auto"/>
        <w:rPr>
          <w:rFonts w:ascii="宋体" w:hAnsi="宋体"/>
          <w:bCs/>
          <w:color w:val="auto"/>
          <w:szCs w:val="21"/>
          <w:highlight w:val="none"/>
          <w:u w:val="single"/>
        </w:rPr>
        <w:sectPr>
          <w:pgSz w:w="11906" w:h="16838"/>
          <w:pgMar w:top="1418" w:right="1474" w:bottom="1418" w:left="1474" w:header="851" w:footer="851" w:gutter="0"/>
          <w:cols w:space="720" w:num="1"/>
          <w:titlePg/>
          <w:docGrid w:linePitch="462" w:charSpace="0"/>
        </w:sectPr>
      </w:pPr>
    </w:p>
    <w:p>
      <w:pPr>
        <w:pStyle w:val="4"/>
        <w:numPr>
          <w:ilvl w:val="1"/>
          <w:numId w:val="0"/>
        </w:numPr>
        <w:spacing w:line="360" w:lineRule="auto"/>
        <w:jc w:val="center"/>
        <w:rPr>
          <w:rFonts w:ascii="宋体" w:hAnsi="宋体" w:eastAsia="宋体"/>
          <w:color w:val="auto"/>
          <w:sz w:val="28"/>
          <w:szCs w:val="28"/>
          <w:highlight w:val="none"/>
        </w:rPr>
      </w:pPr>
      <w:bookmarkStart w:id="257" w:name="_Toc2420"/>
      <w:bookmarkStart w:id="258" w:name="_Toc21934"/>
      <w:bookmarkStart w:id="259" w:name="_Toc200414529"/>
      <w:r>
        <w:rPr>
          <w:rFonts w:hint="eastAsia" w:ascii="宋体" w:hAnsi="宋体" w:eastAsia="宋体"/>
          <w:color w:val="auto"/>
          <w:sz w:val="28"/>
          <w:szCs w:val="28"/>
          <w:highlight w:val="none"/>
        </w:rPr>
        <w:t>附件五：技术条款偏离一览表</w:t>
      </w:r>
      <w:bookmarkEnd w:id="257"/>
      <w:bookmarkEnd w:id="258"/>
      <w:bookmarkEnd w:id="259"/>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tbl>
      <w:tblPr>
        <w:tblStyle w:val="43"/>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谈判文件条目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ind w:left="-271" w:leftChars="-129" w:right="-384" w:rightChars="-183"/>
        <w:rPr>
          <w:rFonts w:ascii="宋体" w:hAnsi="宋体"/>
          <w:bCs/>
          <w:color w:val="auto"/>
          <w:szCs w:val="21"/>
          <w:highlight w:val="none"/>
        </w:rPr>
      </w:pP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highlight w:val="none"/>
        </w:rPr>
        <w:t>1）对“偏离”一栏，填写“无偏离、正偏离、负偏离”；</w:t>
      </w:r>
    </w:p>
    <w:p>
      <w:pPr>
        <w:adjustRightInd w:val="0"/>
        <w:snapToGrid w:val="0"/>
        <w:spacing w:line="360" w:lineRule="auto"/>
        <w:ind w:left="-271" w:leftChars="-129" w:right="-384" w:rightChars="-183" w:firstLine="630" w:firstLineChars="300"/>
        <w:rPr>
          <w:rFonts w:ascii="宋体" w:hAnsi="宋体"/>
          <w:b/>
          <w:bCs/>
          <w:color w:val="auto"/>
          <w:szCs w:val="21"/>
          <w:highlight w:val="none"/>
        </w:rPr>
      </w:pPr>
      <w:r>
        <w:rPr>
          <w:rFonts w:hint="eastAsia" w:ascii="宋体" w:hAnsi="宋体"/>
          <w:bCs/>
          <w:color w:val="auto"/>
          <w:szCs w:val="21"/>
          <w:highlight w:val="none"/>
        </w:rPr>
        <w:t>2）对谈判文件中技术条款按上列格式逐条说明</w:t>
      </w:r>
      <w:r>
        <w:rPr>
          <w:rFonts w:hint="eastAsia" w:ascii="宋体" w:hAnsi="宋体"/>
          <w:b/>
          <w:bCs/>
          <w:color w:val="auto"/>
          <w:szCs w:val="21"/>
          <w:highlight w:val="none"/>
        </w:rPr>
        <w:t xml:space="preserve">。 </w:t>
      </w:r>
    </w:p>
    <w:p>
      <w:pPr>
        <w:adjustRightInd w:val="0"/>
        <w:snapToGrid w:val="0"/>
        <w:spacing w:line="360" w:lineRule="auto"/>
        <w:rPr>
          <w:rFonts w:ascii="宋体" w:hAnsi="宋体"/>
          <w:b/>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
          <w:bCs/>
          <w:color w:val="auto"/>
          <w:szCs w:val="21"/>
          <w:highlight w:val="none"/>
        </w:rPr>
        <w:t>供应商声明：表中未列全的技术条款，我方均表示完全响应谈判文件技术条款的所有要求。</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ind w:left="-271" w:leftChars="-129" w:right="-384" w:rightChars="-183"/>
        <w:rPr>
          <w:rFonts w:ascii="宋体" w:hAnsi="宋体"/>
          <w:bCs/>
          <w:color w:val="auto"/>
          <w:highlight w:val="none"/>
          <w:u w:val="single"/>
        </w:rPr>
      </w:pPr>
      <w:r>
        <w:rPr>
          <w:rFonts w:hint="eastAsia" w:ascii="宋体" w:hAnsi="宋体"/>
          <w:bCs/>
          <w:color w:val="auto"/>
          <w:szCs w:val="21"/>
          <w:highlight w:val="none"/>
        </w:rPr>
        <w:t>供应商名称（加盖公章）：</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日期： 年月 日</w:t>
      </w:r>
    </w:p>
    <w:p>
      <w:pPr>
        <w:adjustRightInd w:val="0"/>
        <w:snapToGrid w:val="0"/>
        <w:spacing w:line="360" w:lineRule="auto"/>
        <w:ind w:left="-271" w:leftChars="-129" w:right="-384" w:rightChars="-183"/>
        <w:rPr>
          <w:rFonts w:ascii="宋体" w:hAnsi="宋体"/>
          <w:bCs/>
          <w:color w:val="auto"/>
          <w:szCs w:val="21"/>
          <w:highlight w:val="none"/>
        </w:rPr>
      </w:pPr>
    </w:p>
    <w:p>
      <w:pPr>
        <w:pStyle w:val="4"/>
        <w:numPr>
          <w:ilvl w:val="1"/>
          <w:numId w:val="0"/>
        </w:numPr>
        <w:spacing w:line="360" w:lineRule="auto"/>
        <w:jc w:val="center"/>
        <w:rPr>
          <w:rFonts w:ascii="宋体" w:hAnsi="宋体" w:eastAsia="宋体"/>
          <w:color w:val="auto"/>
          <w:sz w:val="28"/>
          <w:szCs w:val="28"/>
          <w:highlight w:val="none"/>
        </w:rPr>
      </w:pPr>
      <w:bookmarkStart w:id="260" w:name="_Toc31389"/>
      <w:bookmarkStart w:id="261" w:name="_Toc30345"/>
      <w:r>
        <w:rPr>
          <w:rFonts w:hint="eastAsia" w:ascii="宋体" w:hAnsi="宋体" w:eastAsia="宋体"/>
          <w:color w:val="auto"/>
          <w:sz w:val="28"/>
          <w:szCs w:val="28"/>
          <w:highlight w:val="none"/>
        </w:rPr>
        <w:t>附件六：同类业绩一览表</w:t>
      </w:r>
      <w:bookmarkEnd w:id="260"/>
      <w:bookmarkEnd w:id="261"/>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p>
    <w:tbl>
      <w:tblPr>
        <w:tblStyle w:val="43"/>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234"/>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97"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序号</w:t>
            </w:r>
          </w:p>
        </w:tc>
        <w:tc>
          <w:tcPr>
            <w:tcW w:w="1234"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项目名称</w:t>
            </w:r>
          </w:p>
        </w:tc>
        <w:tc>
          <w:tcPr>
            <w:tcW w:w="1267"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内容</w:t>
            </w:r>
          </w:p>
        </w:tc>
        <w:tc>
          <w:tcPr>
            <w:tcW w:w="1117"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数量</w:t>
            </w:r>
          </w:p>
        </w:tc>
        <w:tc>
          <w:tcPr>
            <w:tcW w:w="1400"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成交额（元）</w:t>
            </w:r>
          </w:p>
        </w:tc>
        <w:tc>
          <w:tcPr>
            <w:tcW w:w="1233"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完成日期</w:t>
            </w:r>
          </w:p>
        </w:tc>
        <w:tc>
          <w:tcPr>
            <w:tcW w:w="1183"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用户单位</w:t>
            </w:r>
          </w:p>
        </w:tc>
        <w:tc>
          <w:tcPr>
            <w:tcW w:w="1220"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联系电话</w:t>
            </w:r>
          </w:p>
        </w:tc>
        <w:tc>
          <w:tcPr>
            <w:tcW w:w="817" w:type="dxa"/>
            <w:vAlign w:val="center"/>
          </w:tcPr>
          <w:p>
            <w:pPr>
              <w:pStyle w:val="5"/>
              <w:snapToGrid w:val="0"/>
              <w:ind w:firstLine="0"/>
              <w:jc w:val="center"/>
              <w:rPr>
                <w:rFonts w:hAnsi="宋体"/>
                <w:bCs/>
                <w:color w:val="auto"/>
                <w:szCs w:val="24"/>
                <w:highlight w:val="none"/>
              </w:rPr>
            </w:pPr>
            <w:r>
              <w:rPr>
                <w:rFonts w:hint="eastAsia" w:hAnsi="宋体"/>
                <w:bCs/>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ind w:firstLine="0"/>
              <w:jc w:val="center"/>
              <w:rPr>
                <w:rFonts w:hAnsi="宋体"/>
                <w:bCs/>
                <w:color w:val="auto"/>
                <w:szCs w:val="24"/>
                <w:highlight w:val="none"/>
              </w:rPr>
            </w:pPr>
          </w:p>
        </w:tc>
        <w:tc>
          <w:tcPr>
            <w:tcW w:w="1234" w:type="dxa"/>
            <w:vAlign w:val="center"/>
          </w:tcPr>
          <w:p>
            <w:pPr>
              <w:pStyle w:val="5"/>
              <w:snapToGrid w:val="0"/>
              <w:ind w:firstLine="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ind w:firstLine="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5"/>
              <w:snapToGrid w:val="0"/>
              <w:jc w:val="center"/>
              <w:rPr>
                <w:rFonts w:hAnsi="宋体"/>
                <w:bCs/>
                <w:color w:val="auto"/>
                <w:szCs w:val="24"/>
                <w:highlight w:val="none"/>
              </w:rPr>
            </w:pPr>
          </w:p>
        </w:tc>
        <w:tc>
          <w:tcPr>
            <w:tcW w:w="1234" w:type="dxa"/>
            <w:vAlign w:val="center"/>
          </w:tcPr>
          <w:p>
            <w:pPr>
              <w:pStyle w:val="5"/>
              <w:snapToGrid w:val="0"/>
              <w:jc w:val="center"/>
              <w:rPr>
                <w:rFonts w:hAnsi="宋体"/>
                <w:bCs/>
                <w:color w:val="auto"/>
                <w:szCs w:val="24"/>
                <w:highlight w:val="none"/>
              </w:rPr>
            </w:pPr>
          </w:p>
        </w:tc>
        <w:tc>
          <w:tcPr>
            <w:tcW w:w="1267" w:type="dxa"/>
            <w:vAlign w:val="center"/>
          </w:tcPr>
          <w:p>
            <w:pPr>
              <w:pStyle w:val="5"/>
              <w:snapToGrid w:val="0"/>
              <w:jc w:val="center"/>
              <w:rPr>
                <w:rFonts w:hAnsi="宋体"/>
                <w:bCs/>
                <w:color w:val="auto"/>
                <w:szCs w:val="24"/>
                <w:highlight w:val="none"/>
              </w:rPr>
            </w:pPr>
          </w:p>
        </w:tc>
        <w:tc>
          <w:tcPr>
            <w:tcW w:w="1117" w:type="dxa"/>
            <w:vAlign w:val="center"/>
          </w:tcPr>
          <w:p>
            <w:pPr>
              <w:pStyle w:val="5"/>
              <w:snapToGrid w:val="0"/>
              <w:jc w:val="center"/>
              <w:rPr>
                <w:rFonts w:hAnsi="宋体"/>
                <w:bCs/>
                <w:color w:val="auto"/>
                <w:szCs w:val="24"/>
                <w:highlight w:val="none"/>
              </w:rPr>
            </w:pPr>
          </w:p>
        </w:tc>
        <w:tc>
          <w:tcPr>
            <w:tcW w:w="1400" w:type="dxa"/>
            <w:vAlign w:val="center"/>
          </w:tcPr>
          <w:p>
            <w:pPr>
              <w:pStyle w:val="5"/>
              <w:snapToGrid w:val="0"/>
              <w:jc w:val="center"/>
              <w:rPr>
                <w:rFonts w:hAnsi="宋体"/>
                <w:bCs/>
                <w:color w:val="auto"/>
                <w:szCs w:val="24"/>
                <w:highlight w:val="none"/>
              </w:rPr>
            </w:pPr>
          </w:p>
        </w:tc>
        <w:tc>
          <w:tcPr>
            <w:tcW w:w="1233" w:type="dxa"/>
            <w:vAlign w:val="center"/>
          </w:tcPr>
          <w:p>
            <w:pPr>
              <w:pStyle w:val="5"/>
              <w:snapToGrid w:val="0"/>
              <w:jc w:val="center"/>
              <w:rPr>
                <w:rFonts w:hAnsi="宋体"/>
                <w:bCs/>
                <w:color w:val="auto"/>
                <w:szCs w:val="24"/>
                <w:highlight w:val="none"/>
              </w:rPr>
            </w:pPr>
          </w:p>
        </w:tc>
        <w:tc>
          <w:tcPr>
            <w:tcW w:w="1183" w:type="dxa"/>
            <w:vAlign w:val="center"/>
          </w:tcPr>
          <w:p>
            <w:pPr>
              <w:pStyle w:val="5"/>
              <w:snapToGrid w:val="0"/>
              <w:jc w:val="center"/>
              <w:rPr>
                <w:rFonts w:hAnsi="宋体"/>
                <w:bCs/>
                <w:color w:val="auto"/>
                <w:szCs w:val="24"/>
                <w:highlight w:val="none"/>
              </w:rPr>
            </w:pPr>
          </w:p>
        </w:tc>
        <w:tc>
          <w:tcPr>
            <w:tcW w:w="1220" w:type="dxa"/>
            <w:vAlign w:val="center"/>
          </w:tcPr>
          <w:p>
            <w:pPr>
              <w:pStyle w:val="5"/>
              <w:snapToGrid w:val="0"/>
              <w:jc w:val="center"/>
              <w:rPr>
                <w:rFonts w:hAnsi="宋体"/>
                <w:bCs/>
                <w:color w:val="auto"/>
                <w:szCs w:val="24"/>
                <w:highlight w:val="none"/>
              </w:rPr>
            </w:pPr>
          </w:p>
        </w:tc>
        <w:tc>
          <w:tcPr>
            <w:tcW w:w="817" w:type="dxa"/>
            <w:vAlign w:val="center"/>
          </w:tcPr>
          <w:p>
            <w:pPr>
              <w:pStyle w:val="5"/>
              <w:snapToGrid w:val="0"/>
              <w:jc w:val="center"/>
              <w:rPr>
                <w:rFonts w:hAnsi="宋体"/>
                <w:bCs/>
                <w:color w:val="auto"/>
                <w:szCs w:val="24"/>
                <w:highlight w:val="none"/>
              </w:rPr>
            </w:pPr>
          </w:p>
        </w:tc>
      </w:tr>
    </w:tbl>
    <w:p>
      <w:pPr>
        <w:pStyle w:val="5"/>
        <w:snapToGrid w:val="0"/>
        <w:spacing w:line="360" w:lineRule="auto"/>
        <w:ind w:firstLine="0"/>
        <w:rPr>
          <w:rFonts w:hAnsi="宋体"/>
          <w:bCs/>
          <w:color w:val="auto"/>
          <w:highlight w:val="none"/>
        </w:rPr>
      </w:pPr>
    </w:p>
    <w:p>
      <w:pPr>
        <w:pStyle w:val="5"/>
        <w:snapToGrid w:val="0"/>
        <w:spacing w:line="360" w:lineRule="auto"/>
        <w:ind w:firstLine="0"/>
        <w:rPr>
          <w:rFonts w:hAnsi="宋体"/>
          <w:bCs/>
          <w:color w:val="auto"/>
          <w:highlight w:val="none"/>
        </w:rPr>
      </w:pPr>
      <w:r>
        <w:rPr>
          <w:rFonts w:hint="eastAsia" w:hAnsi="宋体"/>
          <w:bCs/>
          <w:color w:val="auto"/>
          <w:highlight w:val="none"/>
        </w:rPr>
        <w:t>注：如本表格式内容不能满足需要，</w:t>
      </w:r>
      <w:r>
        <w:rPr>
          <w:rFonts w:hint="eastAsia" w:ascii="宋体" w:hAnsi="宋体"/>
          <w:bCs/>
          <w:color w:val="auto"/>
          <w:highlight w:val="none"/>
        </w:rPr>
        <w:t>供应商</w:t>
      </w:r>
      <w:r>
        <w:rPr>
          <w:rFonts w:hint="eastAsia" w:hAnsi="宋体"/>
          <w:bCs/>
          <w:color w:val="auto"/>
          <w:highlight w:val="none"/>
        </w:rPr>
        <w:t>可自行划表填写，但必须体现以上内容。</w:t>
      </w:r>
    </w:p>
    <w:p>
      <w:pPr>
        <w:pStyle w:val="5"/>
        <w:snapToGrid w:val="0"/>
        <w:spacing w:line="360" w:lineRule="auto"/>
        <w:ind w:firstLine="0"/>
        <w:rPr>
          <w:rFonts w:hAnsi="宋体"/>
          <w:bCs/>
          <w:color w:val="auto"/>
          <w:highlight w:val="none"/>
        </w:rPr>
      </w:pPr>
    </w:p>
    <w:p>
      <w:pPr>
        <w:pStyle w:val="5"/>
        <w:snapToGrid w:val="0"/>
        <w:spacing w:line="360" w:lineRule="auto"/>
        <w:ind w:firstLine="0"/>
        <w:rPr>
          <w:rFonts w:hAnsi="宋体"/>
          <w:bCs/>
          <w:color w:val="auto"/>
          <w:highlight w:val="none"/>
        </w:rPr>
      </w:pPr>
    </w:p>
    <w:p>
      <w:pPr>
        <w:pStyle w:val="5"/>
        <w:snapToGrid w:val="0"/>
        <w:spacing w:line="360" w:lineRule="auto"/>
        <w:ind w:firstLine="0"/>
        <w:rPr>
          <w:rFonts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供应商名称（加盖公章）：</w:t>
      </w:r>
    </w:p>
    <w:p>
      <w:pPr>
        <w:pStyle w:val="5"/>
        <w:snapToGrid w:val="0"/>
        <w:spacing w:line="360" w:lineRule="auto"/>
        <w:ind w:firstLine="0"/>
        <w:rPr>
          <w:rFonts w:ascii="宋体" w:hAnsi="宋体"/>
          <w:color w:val="auto"/>
          <w:highlight w:val="none"/>
        </w:rPr>
        <w:sectPr>
          <w:pgSz w:w="11906" w:h="16838"/>
          <w:pgMar w:top="1418" w:right="1474" w:bottom="1418" w:left="1474" w:header="851" w:footer="992" w:gutter="0"/>
          <w:cols w:space="720" w:num="1"/>
          <w:docGrid w:linePitch="312" w:charSpace="0"/>
        </w:sectPr>
      </w:pPr>
      <w:r>
        <w:rPr>
          <w:rFonts w:hint="eastAsia" w:ascii="宋体" w:hAnsi="宋体"/>
          <w:bCs/>
          <w:color w:val="auto"/>
          <w:szCs w:val="21"/>
          <w:highlight w:val="none"/>
        </w:rPr>
        <w:t>日期： 年月 日</w:t>
      </w:r>
    </w:p>
    <w:p>
      <w:pPr>
        <w:pStyle w:val="4"/>
        <w:numPr>
          <w:ilvl w:val="0"/>
          <w:numId w:val="0"/>
        </w:numPr>
        <w:spacing w:line="400" w:lineRule="exact"/>
        <w:jc w:val="center"/>
        <w:rPr>
          <w:rFonts w:ascii="宋体" w:hAnsi="宋体" w:eastAsia="宋体" w:cs="宋体"/>
          <w:color w:val="auto"/>
          <w:sz w:val="28"/>
          <w:szCs w:val="28"/>
          <w:highlight w:val="none"/>
        </w:rPr>
      </w:pPr>
      <w:bookmarkStart w:id="262" w:name="_Toc430771089"/>
      <w:bookmarkStart w:id="263" w:name="_Toc32215"/>
      <w:bookmarkStart w:id="264" w:name="_Toc432682754"/>
      <w:bookmarkStart w:id="265" w:name="_Toc7149"/>
      <w:bookmarkStart w:id="266" w:name="_Toc432695229"/>
      <w:bookmarkStart w:id="267" w:name="_Toc6745"/>
      <w:bookmarkStart w:id="268" w:name="_Toc339020125"/>
      <w:bookmarkStart w:id="269" w:name="_Toc342398160"/>
      <w:bookmarkStart w:id="270" w:name="_Toc336681965"/>
      <w:bookmarkStart w:id="271" w:name="_Toc332206739"/>
      <w:bookmarkStart w:id="272" w:name="_Toc333935717"/>
      <w:bookmarkStart w:id="273" w:name="_Toc340507472"/>
      <w:bookmarkStart w:id="274" w:name="_Toc339441117"/>
      <w:bookmarkStart w:id="275" w:name="_Toc340672899"/>
      <w:bookmarkStart w:id="276" w:name="_Toc365967105"/>
      <w:bookmarkStart w:id="277" w:name="_Toc332270377"/>
      <w:bookmarkStart w:id="278" w:name="_Toc337632388"/>
      <w:bookmarkStart w:id="279" w:name="_Toc343247130"/>
      <w:bookmarkStart w:id="280" w:name="_Toc339020045"/>
      <w:bookmarkStart w:id="281" w:name="_Toc350438779"/>
      <w:bookmarkStart w:id="282" w:name="_Toc343612950"/>
      <w:bookmarkStart w:id="283" w:name="_Toc333935376"/>
      <w:bookmarkStart w:id="284" w:name="_Toc339019919"/>
      <w:bookmarkStart w:id="285" w:name="_Toc336681610"/>
      <w:bookmarkStart w:id="286" w:name="_Toc345312627"/>
      <w:bookmarkStart w:id="287" w:name="_Toc331684072"/>
      <w:bookmarkStart w:id="288" w:name="_Toc342312473"/>
      <w:bookmarkStart w:id="289" w:name="_Toc333237819"/>
      <w:bookmarkStart w:id="290" w:name="_Toc102451601"/>
      <w:bookmarkStart w:id="291" w:name="_Toc366072562"/>
      <w:bookmarkStart w:id="292" w:name="_Toc343248448"/>
      <w:bookmarkStart w:id="293" w:name="_Toc330460016"/>
      <w:bookmarkStart w:id="294" w:name="_Toc339362330"/>
      <w:bookmarkStart w:id="295" w:name="_Toc333238664"/>
      <w:bookmarkStart w:id="296" w:name="_Toc350756480"/>
      <w:bookmarkStart w:id="297" w:name="_Toc365985211"/>
      <w:bookmarkStart w:id="298" w:name="_Toc331512931"/>
      <w:bookmarkStart w:id="299" w:name="_Toc341348370"/>
      <w:bookmarkStart w:id="300" w:name="_Toc342296791"/>
      <w:bookmarkStart w:id="301" w:name="_Toc333237708"/>
      <w:bookmarkStart w:id="302" w:name="_Toc340677100"/>
      <w:bookmarkStart w:id="303" w:name="_Toc339020263"/>
      <w:bookmarkStart w:id="304" w:name="_Toc342060405"/>
      <w:bookmarkStart w:id="305" w:name="_Toc200414534"/>
      <w:r>
        <w:rPr>
          <w:rFonts w:hint="eastAsia" w:ascii="宋体" w:hAnsi="宋体" w:eastAsia="宋体" w:cs="宋体"/>
          <w:color w:val="auto"/>
          <w:sz w:val="28"/>
          <w:szCs w:val="28"/>
          <w:highlight w:val="none"/>
        </w:rPr>
        <w:t>附件七：中小微企业声明函</w:t>
      </w:r>
      <w:bookmarkEnd w:id="262"/>
      <w:bookmarkEnd w:id="263"/>
      <w:bookmarkEnd w:id="264"/>
      <w:bookmarkEnd w:id="265"/>
      <w:bookmarkEnd w:id="266"/>
      <w:bookmarkEnd w:id="267"/>
    </w:p>
    <w:p>
      <w:pPr>
        <w:spacing w:line="440" w:lineRule="exact"/>
        <w:ind w:firstLine="420"/>
        <w:rPr>
          <w:rFonts w:ascii="宋体"/>
          <w:color w:val="auto"/>
          <w:highlight w:val="none"/>
        </w:rPr>
      </w:pPr>
      <w:r>
        <w:rPr>
          <w:rFonts w:hint="eastAsia" w:ascii="宋体" w:hAnsi="宋体" w:cs="宋体"/>
          <w:color w:val="auto"/>
          <w:highlight w:val="none"/>
        </w:rPr>
        <w:t>本公司郑重声明，根据《政府采购促进中小企业发展管理办法》（财库﹝2020﹞46 号）的规定，本公司为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供应商法定代表人（负责人）或授权代理人（签字）：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供应商名称（加盖公章）：</w:t>
      </w:r>
    </w:p>
    <w:p>
      <w:pPr>
        <w:spacing w:line="360" w:lineRule="auto"/>
        <w:rPr>
          <w:rFonts w:ascii="宋体"/>
          <w:color w:val="auto"/>
          <w:highlight w:val="none"/>
        </w:rPr>
      </w:pPr>
      <w:r>
        <w:rPr>
          <w:rFonts w:hint="eastAsia" w:ascii="宋体" w:hAnsi="宋体"/>
          <w:bCs/>
          <w:color w:val="auto"/>
          <w:szCs w:val="21"/>
          <w:highlight w:val="none"/>
        </w:rPr>
        <w:t>日期： 年月 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ind w:firstLine="0"/>
        <w:rPr>
          <w:color w:val="auto"/>
          <w:highlight w:val="none"/>
        </w:rPr>
      </w:pPr>
    </w:p>
    <w:p>
      <w:pPr>
        <w:pStyle w:val="5"/>
        <w:rPr>
          <w:color w:val="auto"/>
          <w:highlight w:val="none"/>
        </w:rPr>
      </w:pPr>
    </w:p>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Pr>
        <w:pStyle w:val="4"/>
        <w:keepLines w:val="0"/>
        <w:numPr>
          <w:ilvl w:val="0"/>
          <w:numId w:val="0"/>
        </w:numPr>
        <w:tabs>
          <w:tab w:val="left" w:pos="851"/>
        </w:tabs>
        <w:spacing w:before="0" w:after="0" w:line="360" w:lineRule="auto"/>
        <w:jc w:val="center"/>
        <w:rPr>
          <w:rFonts w:ascii="宋体" w:hAnsi="宋体" w:eastAsia="宋体" w:cs="宋体"/>
          <w:color w:val="auto"/>
          <w:sz w:val="28"/>
          <w:szCs w:val="28"/>
          <w:highlight w:val="none"/>
        </w:rPr>
      </w:pPr>
      <w:bookmarkStart w:id="306" w:name="_Toc458"/>
      <w:bookmarkStart w:id="307" w:name="_Toc20242"/>
      <w:bookmarkStart w:id="308" w:name="_Toc32373"/>
      <w:bookmarkStart w:id="309" w:name="_Toc31085"/>
      <w:r>
        <w:rPr>
          <w:rFonts w:hint="eastAsia" w:ascii="宋体" w:hAnsi="宋体" w:eastAsia="宋体" w:cs="宋体"/>
          <w:color w:val="auto"/>
          <w:sz w:val="28"/>
          <w:szCs w:val="28"/>
          <w:highlight w:val="none"/>
        </w:rPr>
        <w:t>附件八：残疾人福利性单位声明函</w:t>
      </w:r>
      <w:bookmarkEnd w:id="306"/>
      <w:bookmarkEnd w:id="307"/>
      <w:bookmarkEnd w:id="308"/>
      <w:bookmarkEnd w:id="309"/>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pStyle w:val="5"/>
        <w:spacing w:line="360" w:lineRule="auto"/>
        <w:ind w:firstLine="0"/>
        <w:rPr>
          <w:rFonts w:hAnsi="宋体" w:cs="宋体"/>
          <w:color w:val="auto"/>
          <w:szCs w:val="24"/>
          <w:highlight w:val="none"/>
        </w:rPr>
      </w:pPr>
      <w:r>
        <w:rPr>
          <w:rFonts w:hint="eastAsia" w:hAnsi="宋体" w:cs="宋体"/>
          <w:color w:val="auto"/>
          <w:szCs w:val="24"/>
          <w:highlight w:val="none"/>
        </w:rPr>
        <w:t xml:space="preserve">供应商法定代表人（负责人）或授权代理人（签字）： </w:t>
      </w:r>
    </w:p>
    <w:p>
      <w:pPr>
        <w:pStyle w:val="5"/>
        <w:spacing w:line="360" w:lineRule="auto"/>
        <w:ind w:firstLine="0"/>
        <w:rPr>
          <w:rFonts w:hAnsi="宋体" w:cs="宋体"/>
          <w:color w:val="auto"/>
          <w:szCs w:val="24"/>
          <w:highlight w:val="none"/>
        </w:rPr>
      </w:pPr>
      <w:r>
        <w:rPr>
          <w:rFonts w:hint="eastAsia" w:hAnsi="宋体" w:cs="宋体"/>
          <w:color w:val="auto"/>
          <w:szCs w:val="24"/>
          <w:highlight w:val="none"/>
        </w:rPr>
        <w:t>供应商名称（加盖公章）：</w:t>
      </w:r>
    </w:p>
    <w:p>
      <w:pPr>
        <w:pStyle w:val="5"/>
        <w:spacing w:line="360" w:lineRule="auto"/>
        <w:ind w:firstLine="0"/>
        <w:rPr>
          <w:rFonts w:hAnsi="宋体" w:cs="宋体"/>
          <w:color w:val="auto"/>
          <w:szCs w:val="24"/>
          <w:highlight w:val="none"/>
        </w:rPr>
      </w:pPr>
      <w:r>
        <w:rPr>
          <w:rFonts w:hint="eastAsia" w:hAnsi="宋体" w:cs="宋体"/>
          <w:color w:val="auto"/>
          <w:szCs w:val="24"/>
          <w:highlight w:val="none"/>
        </w:rPr>
        <w:t>日期： 年月 日</w:t>
      </w:r>
    </w:p>
    <w:p>
      <w:pPr>
        <w:pStyle w:val="4"/>
        <w:numPr>
          <w:ilvl w:val="1"/>
          <w:numId w:val="0"/>
        </w:numPr>
        <w:spacing w:line="360" w:lineRule="auto"/>
        <w:jc w:val="center"/>
        <w:rPr>
          <w:rFonts w:ascii="宋体" w:hAnsi="宋体" w:eastAsia="宋体"/>
          <w:color w:val="auto"/>
          <w:sz w:val="28"/>
          <w:szCs w:val="28"/>
          <w:highlight w:val="none"/>
        </w:rPr>
      </w:pPr>
    </w:p>
    <w:p>
      <w:pPr>
        <w:pStyle w:val="4"/>
        <w:numPr>
          <w:ilvl w:val="1"/>
          <w:numId w:val="0"/>
        </w:numPr>
        <w:spacing w:line="360" w:lineRule="auto"/>
        <w:jc w:val="center"/>
        <w:rPr>
          <w:rFonts w:ascii="宋体" w:hAnsi="宋体" w:eastAsia="宋体"/>
          <w:color w:val="auto"/>
          <w:sz w:val="28"/>
          <w:szCs w:val="28"/>
          <w:highlight w:val="none"/>
        </w:rPr>
      </w:pPr>
    </w:p>
    <w:p>
      <w:pPr>
        <w:pStyle w:val="4"/>
        <w:numPr>
          <w:ilvl w:val="1"/>
          <w:numId w:val="0"/>
        </w:numPr>
        <w:spacing w:line="360" w:lineRule="auto"/>
        <w:jc w:val="center"/>
        <w:rPr>
          <w:rFonts w:ascii="宋体" w:hAnsi="宋体" w:eastAsia="宋体"/>
          <w:color w:val="auto"/>
          <w:sz w:val="28"/>
          <w:szCs w:val="28"/>
          <w:highlight w:val="none"/>
        </w:rPr>
      </w:pPr>
    </w:p>
    <w:p>
      <w:pPr>
        <w:pStyle w:val="5"/>
        <w:rPr>
          <w:color w:val="auto"/>
          <w:highlight w:val="none"/>
        </w:rPr>
      </w:pPr>
    </w:p>
    <w:p>
      <w:pPr>
        <w:pStyle w:val="4"/>
        <w:numPr>
          <w:ilvl w:val="1"/>
          <w:numId w:val="0"/>
        </w:numPr>
        <w:spacing w:line="360" w:lineRule="auto"/>
        <w:jc w:val="center"/>
        <w:rPr>
          <w:rFonts w:ascii="宋体" w:hAnsi="宋体" w:eastAsia="宋体"/>
          <w:color w:val="auto"/>
          <w:sz w:val="28"/>
          <w:szCs w:val="28"/>
          <w:highlight w:val="none"/>
        </w:rPr>
      </w:pPr>
      <w:bookmarkStart w:id="310" w:name="_Toc6553"/>
      <w:bookmarkStart w:id="311" w:name="_Toc25086"/>
      <w:r>
        <w:rPr>
          <w:rFonts w:hint="eastAsia" w:ascii="宋体" w:hAnsi="宋体" w:eastAsia="宋体"/>
          <w:color w:val="auto"/>
          <w:sz w:val="28"/>
          <w:szCs w:val="28"/>
          <w:highlight w:val="none"/>
        </w:rPr>
        <w:t>附件九：成交服务费承诺</w:t>
      </w:r>
      <w:bookmarkEnd w:id="305"/>
      <w:bookmarkEnd w:id="310"/>
      <w:bookmarkEnd w:id="311"/>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针对贵方组织的（项目名称：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）谈判项目（</w:t>
      </w:r>
      <w:r>
        <w:rPr>
          <w:rFonts w:hint="eastAsia" w:ascii="宋体" w:hAnsi="宋体"/>
          <w:bCs/>
          <w:color w:val="auto"/>
          <w:szCs w:val="21"/>
          <w:highlight w:val="none"/>
        </w:rPr>
        <w:t xml:space="preserve">项目编号: </w:t>
      </w:r>
      <w:r>
        <w:rPr>
          <w:rFonts w:hint="eastAsia" w:ascii="宋体" w:hAnsi="宋体"/>
          <w:bCs/>
          <w:color w:val="auto"/>
          <w:szCs w:val="21"/>
          <w:highlight w:val="none"/>
          <w:u w:val="single"/>
        </w:rPr>
        <w:t xml:space="preserve">             </w:t>
      </w:r>
      <w:r>
        <w:rPr>
          <w:rFonts w:hint="eastAsia" w:ascii="宋体" w:hAnsi="宋体"/>
          <w:color w:val="auto"/>
          <w:szCs w:val="21"/>
          <w:highlight w:val="none"/>
        </w:rPr>
        <w:t>），我方承诺：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1.若我方成交，将严格遵照本项目谈判文件的规定向代理采购机构缴纳成交服务费。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2.若我方成交后拒绝如数缴纳或未按本项目谈判文件规定的期限缴纳成交服务费，则视为我方自动放弃该成交结果，贵方有权没收我方的保证金并重新确定成交结果，我方对此无任何异议。</w:t>
      </w:r>
    </w:p>
    <w:p>
      <w:pPr>
        <w:spacing w:line="360" w:lineRule="auto"/>
        <w:rPr>
          <w:rFonts w:ascii="宋体" w:hAnsi="宋体"/>
          <w:color w:val="auto"/>
          <w:szCs w:val="21"/>
          <w:highlight w:val="none"/>
        </w:rPr>
      </w:pPr>
    </w:p>
    <w:p>
      <w:pPr>
        <w:spacing w:line="360" w:lineRule="auto"/>
        <w:ind w:firstLine="420" w:firstLineChars="200"/>
        <w:rPr>
          <w:rFonts w:ascii="宋体" w:hAnsi="宋体"/>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日期：年月日</w:t>
      </w: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pStyle w:val="4"/>
        <w:numPr>
          <w:ilvl w:val="1"/>
          <w:numId w:val="0"/>
        </w:numPr>
        <w:spacing w:line="360" w:lineRule="auto"/>
        <w:jc w:val="center"/>
        <w:rPr>
          <w:rFonts w:ascii="宋体" w:hAnsi="宋体" w:eastAsia="宋体"/>
          <w:color w:val="auto"/>
          <w:sz w:val="28"/>
          <w:szCs w:val="28"/>
          <w:highlight w:val="none"/>
        </w:rPr>
      </w:pPr>
      <w:bookmarkStart w:id="312" w:name="_Toc200414535"/>
      <w:bookmarkStart w:id="313" w:name="_Toc32360"/>
      <w:bookmarkStart w:id="314" w:name="_Toc27148"/>
      <w:r>
        <w:rPr>
          <w:rFonts w:hint="eastAsia" w:ascii="宋体" w:hAnsi="宋体" w:eastAsia="宋体"/>
          <w:color w:val="auto"/>
          <w:sz w:val="28"/>
          <w:szCs w:val="28"/>
          <w:highlight w:val="none"/>
        </w:rPr>
        <w:t>附件十：谈判供应商提交的其他资料</w:t>
      </w:r>
      <w:bookmarkEnd w:id="312"/>
      <w:bookmarkEnd w:id="313"/>
      <w:bookmarkEnd w:id="314"/>
    </w:p>
    <w:p>
      <w:pPr>
        <w:adjustRightInd w:val="0"/>
        <w:snapToGrid w:val="0"/>
        <w:spacing w:line="360" w:lineRule="auto"/>
        <w:jc w:val="left"/>
        <w:rPr>
          <w:rFonts w:ascii="宋体" w:hAnsi="宋体"/>
          <w:bCs/>
          <w:color w:val="auto"/>
          <w:szCs w:val="21"/>
          <w:highlight w:val="none"/>
        </w:rPr>
      </w:pPr>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p>
    <w:p>
      <w:pPr>
        <w:adjustRightInd w:val="0"/>
        <w:snapToGrid w:val="0"/>
        <w:spacing w:line="360" w:lineRule="auto"/>
        <w:jc w:val="left"/>
        <w:rPr>
          <w:rFonts w:ascii="宋体" w:hAnsi="宋体"/>
          <w:bCs/>
          <w:color w:val="auto"/>
          <w:szCs w:val="21"/>
          <w:highlight w:val="none"/>
          <w:u w:val="single"/>
        </w:rPr>
      </w:pPr>
    </w:p>
    <w:p>
      <w:pPr>
        <w:pStyle w:val="5"/>
        <w:spacing w:line="360" w:lineRule="auto"/>
        <w:rPr>
          <w:rFonts w:ascii="宋体" w:hAnsi="宋体"/>
          <w:color w:val="auto"/>
          <w:szCs w:val="21"/>
          <w:highlight w:val="none"/>
        </w:rPr>
      </w:pPr>
    </w:p>
    <w:p>
      <w:pPr>
        <w:pStyle w:val="5"/>
        <w:spacing w:line="360" w:lineRule="auto"/>
        <w:rPr>
          <w:rFonts w:ascii="宋体" w:hAnsi="宋体"/>
          <w:bCs/>
          <w:color w:val="auto"/>
          <w:szCs w:val="21"/>
          <w:highlight w:val="none"/>
        </w:rPr>
      </w:pPr>
      <w:r>
        <w:rPr>
          <w:rFonts w:hint="eastAsia" w:ascii="宋体" w:hAnsi="宋体"/>
          <w:bCs/>
          <w:color w:val="auto"/>
          <w:szCs w:val="21"/>
          <w:highlight w:val="none"/>
        </w:rPr>
        <w:t>本节无格式要求，供应商可根据自身实际情况以及谈判文件规定的“谈判采购项目要求”等进行编制。</w:t>
      </w:r>
    </w:p>
    <w:p>
      <w:pPr>
        <w:pStyle w:val="5"/>
        <w:spacing w:line="360" w:lineRule="auto"/>
        <w:rPr>
          <w:rFonts w:ascii="宋体" w:hAnsi="宋体"/>
          <w:bCs/>
          <w:color w:val="auto"/>
          <w:szCs w:val="21"/>
          <w:highlight w:val="none"/>
        </w:rPr>
      </w:pPr>
      <w:r>
        <w:rPr>
          <w:rFonts w:hint="eastAsia" w:ascii="宋体" w:hAnsi="宋体"/>
          <w:bCs/>
          <w:color w:val="auto"/>
          <w:szCs w:val="21"/>
          <w:highlight w:val="none"/>
        </w:rPr>
        <w:t>一、</w:t>
      </w:r>
    </w:p>
    <w:p>
      <w:pPr>
        <w:pStyle w:val="5"/>
        <w:spacing w:line="360" w:lineRule="auto"/>
        <w:rPr>
          <w:rFonts w:ascii="宋体" w:hAnsi="宋体"/>
          <w:bCs/>
          <w:color w:val="auto"/>
          <w:szCs w:val="21"/>
          <w:highlight w:val="none"/>
        </w:rPr>
      </w:pPr>
      <w:r>
        <w:rPr>
          <w:rFonts w:hint="eastAsia" w:ascii="宋体" w:hAnsi="宋体"/>
          <w:bCs/>
          <w:color w:val="auto"/>
          <w:szCs w:val="21"/>
          <w:highlight w:val="none"/>
        </w:rPr>
        <w:t>二、</w:t>
      </w:r>
    </w:p>
    <w:p>
      <w:pPr>
        <w:pStyle w:val="5"/>
        <w:spacing w:line="360" w:lineRule="auto"/>
        <w:rPr>
          <w:rFonts w:ascii="宋体" w:hAnsi="宋体"/>
          <w:bCs/>
          <w:color w:val="auto"/>
          <w:szCs w:val="21"/>
          <w:highlight w:val="none"/>
        </w:rPr>
      </w:pPr>
      <w:r>
        <w:rPr>
          <w:rFonts w:hint="eastAsia" w:ascii="宋体" w:hAnsi="宋体"/>
          <w:bCs/>
          <w:color w:val="auto"/>
          <w:szCs w:val="21"/>
          <w:highlight w:val="none"/>
        </w:rPr>
        <w:t>三、</w:t>
      </w:r>
      <w:r>
        <w:rPr>
          <w:rFonts w:ascii="宋体" w:hAnsi="宋体"/>
          <w:bCs/>
          <w:color w:val="auto"/>
          <w:szCs w:val="21"/>
          <w:highlight w:val="none"/>
        </w:rPr>
        <w:t>...</w:t>
      </w:r>
    </w:p>
    <w:p>
      <w:pPr>
        <w:pStyle w:val="5"/>
        <w:spacing w:line="360" w:lineRule="auto"/>
        <w:rPr>
          <w:rFonts w:ascii="宋体" w:hAnsi="宋体"/>
          <w:bCs/>
          <w:color w:val="auto"/>
          <w:szCs w:val="21"/>
          <w:highlight w:val="none"/>
        </w:rPr>
      </w:pPr>
      <w:r>
        <w:rPr>
          <w:rFonts w:hint="eastAsia" w:ascii="宋体" w:hAnsi="宋体"/>
          <w:bCs/>
          <w:color w:val="auto"/>
          <w:szCs w:val="21"/>
          <w:highlight w:val="none"/>
        </w:rPr>
        <w:t>四、</w:t>
      </w:r>
      <w:r>
        <w:rPr>
          <w:rFonts w:ascii="宋体" w:hAnsi="宋体"/>
          <w:bCs/>
          <w:color w:val="auto"/>
          <w:szCs w:val="21"/>
          <w:highlight w:val="none"/>
        </w:rPr>
        <w:t>...</w:t>
      </w: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 年月 日</w:t>
      </w:r>
    </w:p>
    <w:p>
      <w:pPr>
        <w:pStyle w:val="5"/>
        <w:spacing w:line="360" w:lineRule="auto"/>
        <w:rPr>
          <w:rFonts w:ascii="宋体" w:hAnsi="宋体"/>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（供应商认为本节无须提交的，应当注明“本节空白”字样）。</w:t>
      </w: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5"/>
        <w:spacing w:line="360" w:lineRule="auto"/>
        <w:rPr>
          <w:rFonts w:ascii="宋体" w:hAnsi="宋体"/>
          <w:color w:val="auto"/>
          <w:highlight w:val="none"/>
        </w:rPr>
      </w:pPr>
    </w:p>
    <w:p>
      <w:pPr>
        <w:pStyle w:val="4"/>
        <w:numPr>
          <w:ilvl w:val="1"/>
          <w:numId w:val="0"/>
        </w:numPr>
        <w:spacing w:line="360" w:lineRule="auto"/>
        <w:jc w:val="center"/>
        <w:rPr>
          <w:rFonts w:ascii="宋体" w:hAnsi="宋体" w:eastAsia="宋体"/>
          <w:color w:val="auto"/>
          <w:sz w:val="52"/>
          <w:highlight w:val="none"/>
        </w:rPr>
      </w:pPr>
      <w:bookmarkStart w:id="315" w:name="_Toc27199"/>
      <w:bookmarkStart w:id="316" w:name="_Toc11916"/>
      <w:bookmarkStart w:id="317" w:name="_Toc434832511"/>
      <w:r>
        <w:rPr>
          <w:rFonts w:hint="eastAsia" w:ascii="宋体" w:hAnsi="宋体" w:eastAsia="宋体"/>
          <w:color w:val="auto"/>
          <w:sz w:val="52"/>
          <w:highlight w:val="none"/>
        </w:rPr>
        <w:t>其 他 格 式</w:t>
      </w:r>
      <w:bookmarkEnd w:id="315"/>
      <w:bookmarkEnd w:id="316"/>
      <w:bookmarkEnd w:id="317"/>
    </w:p>
    <w:p>
      <w:pPr>
        <w:spacing w:line="360" w:lineRule="auto"/>
        <w:jc w:val="center"/>
        <w:rPr>
          <w:rFonts w:ascii="宋体" w:hAnsi="宋体"/>
          <w:b/>
          <w:color w:val="auto"/>
          <w:sz w:val="28"/>
          <w:highlight w:val="none"/>
        </w:rPr>
      </w:pPr>
      <w:r>
        <w:rPr>
          <w:rFonts w:hint="eastAsia" w:ascii="宋体" w:hAnsi="宋体"/>
          <w:b/>
          <w:color w:val="auto"/>
          <w:sz w:val="36"/>
          <w:highlight w:val="none"/>
        </w:rPr>
        <w:t>（以下文件勿装订在谈判文件内</w:t>
      </w:r>
      <w:r>
        <w:rPr>
          <w:rFonts w:ascii="宋体" w:hAnsi="宋体"/>
          <w:b/>
          <w:color w:val="auto"/>
          <w:sz w:val="36"/>
          <w:highlight w:val="none"/>
        </w:rPr>
        <w:t>）</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6"/>
        <w:spacing w:afterLines="50" w:line="360" w:lineRule="auto"/>
        <w:jc w:val="center"/>
        <w:rPr>
          <w:rFonts w:ascii="宋体" w:hAnsi="宋体"/>
          <w:color w:val="auto"/>
          <w:sz w:val="28"/>
          <w:highlight w:val="none"/>
        </w:rPr>
      </w:pPr>
      <w:bookmarkStart w:id="318" w:name="_Toc6311"/>
      <w:bookmarkStart w:id="319" w:name="_Toc18351"/>
      <w:r>
        <w:rPr>
          <w:rFonts w:hint="eastAsia" w:ascii="宋体" w:hAnsi="宋体"/>
          <w:color w:val="auto"/>
          <w:sz w:val="28"/>
          <w:highlight w:val="none"/>
        </w:rPr>
        <w:t>投标保证金退付书</w:t>
      </w:r>
      <w:bookmarkEnd w:id="318"/>
      <w:bookmarkEnd w:id="319"/>
    </w:p>
    <w:p>
      <w:pPr>
        <w:spacing w:line="360" w:lineRule="auto"/>
        <w:rPr>
          <w:rFonts w:hint="eastAsia" w:ascii="宋体" w:hAnsi="宋体" w:eastAsia="宋体"/>
          <w:b/>
          <w:color w:val="auto"/>
          <w:highlight w:val="none"/>
          <w:lang w:eastAsia="zh-CN"/>
        </w:rPr>
      </w:pPr>
      <w:r>
        <w:rPr>
          <w:rFonts w:hint="eastAsia" w:ascii="宋体" w:hAnsi="宋体"/>
          <w:b/>
          <w:color w:val="auto"/>
          <w:highlight w:val="none"/>
        </w:rPr>
        <w:t>致：</w:t>
      </w:r>
      <w:r>
        <w:rPr>
          <w:rFonts w:hint="eastAsia" w:ascii="宋体" w:hAnsi="宋体"/>
          <w:b/>
          <w:color w:val="auto"/>
          <w:highlight w:val="none"/>
          <w:lang w:eastAsia="zh-CN"/>
        </w:rPr>
        <w:t>广东业信招标有限公司</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本公司为本项目的投标已提交了足额投标保证金，请贵</w:t>
      </w:r>
      <w:r>
        <w:rPr>
          <w:rFonts w:hint="eastAsia" w:ascii="宋体" w:hAnsi="宋体"/>
          <w:color w:val="auto"/>
          <w:szCs w:val="21"/>
          <w:highlight w:val="none"/>
        </w:rPr>
        <w:t>方</w:t>
      </w:r>
      <w:r>
        <w:rPr>
          <w:rFonts w:hint="eastAsia" w:ascii="宋体" w:hAnsi="宋体"/>
          <w:color w:val="auto"/>
          <w:highlight w:val="none"/>
        </w:rPr>
        <w:t>在符合退还条件时请代划入下列账户：</w:t>
      </w:r>
    </w:p>
    <w:tbl>
      <w:tblPr>
        <w:tblStyle w:val="43"/>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项目名称</w:t>
            </w:r>
          </w:p>
        </w:tc>
        <w:tc>
          <w:tcPr>
            <w:tcW w:w="6095" w:type="dxa"/>
            <w:gridSpan w:val="3"/>
          </w:tcPr>
          <w:p>
            <w:pPr>
              <w:spacing w:line="360" w:lineRule="auto"/>
              <w:ind w:right="206" w:rightChars="98"/>
              <w:rPr>
                <w:rStyle w:val="81"/>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项目编号</w:t>
            </w:r>
          </w:p>
        </w:tc>
        <w:tc>
          <w:tcPr>
            <w:tcW w:w="6095" w:type="dxa"/>
            <w:gridSpan w:val="3"/>
          </w:tcPr>
          <w:p>
            <w:pPr>
              <w:spacing w:line="360" w:lineRule="auto"/>
              <w:ind w:right="206" w:rightChars="98"/>
              <w:rPr>
                <w:rStyle w:val="81"/>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收款单位</w:t>
            </w:r>
          </w:p>
        </w:tc>
        <w:tc>
          <w:tcPr>
            <w:tcW w:w="2836" w:type="dxa"/>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收款单位名称</w:t>
            </w:r>
          </w:p>
        </w:tc>
        <w:tc>
          <w:tcPr>
            <w:tcW w:w="6095" w:type="dxa"/>
            <w:gridSpan w:val="3"/>
          </w:tcPr>
          <w:p>
            <w:pPr>
              <w:spacing w:line="360" w:lineRule="auto"/>
              <w:ind w:right="206" w:rightChars="98"/>
              <w:jc w:val="center"/>
              <w:rPr>
                <w:rStyle w:val="81"/>
                <w:rFonts w:ascii="宋体" w:hAnsi="宋体" w:eastAsia="宋体"/>
                <w:color w:val="auto"/>
                <w:spacing w:val="10"/>
                <w:sz w:val="21"/>
                <w:szCs w:val="21"/>
                <w:highlight w:val="none"/>
                <w:u w:val="single"/>
                <w:lang w:val="zh-CN"/>
              </w:rPr>
            </w:pPr>
            <w:r>
              <w:rPr>
                <w:rStyle w:val="81"/>
                <w:rFonts w:ascii="宋体" w:hAnsi="宋体" w:eastAsia="宋体"/>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收款单位地址</w:t>
            </w:r>
          </w:p>
        </w:tc>
        <w:tc>
          <w:tcPr>
            <w:tcW w:w="6095" w:type="dxa"/>
            <w:gridSpan w:val="3"/>
          </w:tcPr>
          <w:p>
            <w:pPr>
              <w:spacing w:line="360" w:lineRule="auto"/>
              <w:ind w:right="206" w:rightChars="98"/>
              <w:jc w:val="center"/>
              <w:rPr>
                <w:rStyle w:val="81"/>
                <w:rFonts w:ascii="宋体" w:hAnsi="宋体" w:eastAsia="宋体"/>
                <w:color w:val="auto"/>
                <w:spacing w:val="10"/>
                <w:sz w:val="21"/>
                <w:szCs w:val="21"/>
                <w:highlight w:val="none"/>
                <w:lang w:val="zh-CN"/>
              </w:rPr>
            </w:pPr>
            <w:r>
              <w:rPr>
                <w:rStyle w:val="81"/>
                <w:rFonts w:ascii="宋体" w:hAnsi="宋体" w:eastAsia="宋体"/>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开户银行</w:t>
            </w:r>
            <w:r>
              <w:rPr>
                <w:rStyle w:val="81"/>
                <w:rFonts w:ascii="宋体" w:hAnsi="宋体" w:eastAsia="宋体"/>
                <w:color w:val="auto"/>
                <w:spacing w:val="10"/>
                <w:sz w:val="21"/>
                <w:szCs w:val="21"/>
                <w:highlight w:val="none"/>
                <w:lang w:val="zh-CN"/>
              </w:rPr>
              <w:t>（含汇入地点）</w:t>
            </w:r>
          </w:p>
        </w:tc>
        <w:tc>
          <w:tcPr>
            <w:tcW w:w="6095" w:type="dxa"/>
            <w:gridSpan w:val="3"/>
            <w:vAlign w:val="center"/>
          </w:tcPr>
          <w:p>
            <w:pPr>
              <w:spacing w:line="360" w:lineRule="auto"/>
              <w:ind w:right="206" w:rightChars="98" w:firstLine="460" w:firstLineChars="200"/>
              <w:rPr>
                <w:rStyle w:val="81"/>
                <w:rFonts w:ascii="宋体" w:hAnsi="宋体" w:eastAsia="宋体"/>
                <w:color w:val="auto"/>
                <w:spacing w:val="10"/>
                <w:sz w:val="21"/>
                <w:szCs w:val="21"/>
                <w:highlight w:val="none"/>
                <w:lang w:val="zh-CN"/>
              </w:rPr>
            </w:pPr>
            <w:r>
              <w:rPr>
                <w:rStyle w:val="81"/>
                <w:rFonts w:ascii="宋体" w:hAnsi="宋体" w:eastAsia="宋体"/>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银行账号</w:t>
            </w:r>
          </w:p>
        </w:tc>
        <w:tc>
          <w:tcPr>
            <w:tcW w:w="6095" w:type="dxa"/>
            <w:gridSpan w:val="3"/>
          </w:tcPr>
          <w:p>
            <w:pPr>
              <w:spacing w:line="360" w:lineRule="auto"/>
              <w:ind w:right="206" w:rightChars="98"/>
              <w:jc w:val="center"/>
              <w:rPr>
                <w:rStyle w:val="81"/>
                <w:rFonts w:ascii="宋体" w:hAnsi="宋体" w:eastAsia="宋体"/>
                <w:color w:val="auto"/>
                <w:spacing w:val="10"/>
                <w:sz w:val="21"/>
                <w:szCs w:val="21"/>
                <w:highlight w:val="none"/>
                <w:u w:val="single"/>
                <w:lang w:val="zh-CN"/>
              </w:rPr>
            </w:pPr>
            <w:r>
              <w:rPr>
                <w:rStyle w:val="81"/>
                <w:rFonts w:ascii="宋体" w:hAnsi="宋体" w:eastAsia="宋体"/>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总金额（投标保证金）</w:t>
            </w:r>
          </w:p>
        </w:tc>
        <w:tc>
          <w:tcPr>
            <w:tcW w:w="6095" w:type="dxa"/>
            <w:gridSpan w:val="3"/>
            <w:vAlign w:val="center"/>
          </w:tcPr>
          <w:p>
            <w:pPr>
              <w:spacing w:line="360" w:lineRule="auto"/>
              <w:ind w:right="206" w:rightChars="98"/>
              <w:jc w:val="center"/>
              <w:rPr>
                <w:rStyle w:val="81"/>
                <w:rFonts w:ascii="宋体" w:hAnsi="宋体" w:eastAsia="宋体"/>
                <w:color w:val="auto"/>
                <w:spacing w:val="10"/>
                <w:sz w:val="21"/>
                <w:szCs w:val="21"/>
                <w:highlight w:val="none"/>
                <w:lang w:val="zh-CN"/>
              </w:rPr>
            </w:pPr>
            <w:r>
              <w:rPr>
                <w:rFonts w:ascii="宋体" w:hAnsi="宋体"/>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vMerge w:val="restart"/>
            <w:vAlign w:val="center"/>
          </w:tcPr>
          <w:p>
            <w:pPr>
              <w:spacing w:line="360" w:lineRule="auto"/>
              <w:ind w:right="206" w:rightChars="98"/>
              <w:jc w:val="center"/>
              <w:rPr>
                <w:rStyle w:val="81"/>
                <w:rFonts w:ascii="宋体" w:hAnsi="宋体" w:eastAsia="宋体"/>
                <w:b/>
                <w:color w:val="auto"/>
                <w:spacing w:val="10"/>
                <w:sz w:val="21"/>
                <w:szCs w:val="21"/>
                <w:highlight w:val="none"/>
                <w:lang w:val="zh-CN"/>
              </w:rPr>
            </w:pPr>
            <w:r>
              <w:rPr>
                <w:rStyle w:val="81"/>
                <w:rFonts w:ascii="宋体" w:hAnsi="宋体" w:eastAsia="宋体"/>
                <w:b/>
                <w:color w:val="auto"/>
                <w:spacing w:val="10"/>
                <w:sz w:val="21"/>
                <w:szCs w:val="21"/>
                <w:highlight w:val="none"/>
                <w:lang w:val="zh-CN"/>
              </w:rPr>
              <w:t>财务联系人</w:t>
            </w:r>
          </w:p>
        </w:tc>
        <w:tc>
          <w:tcPr>
            <w:tcW w:w="1498" w:type="dxa"/>
            <w:vMerge w:val="restart"/>
            <w:vAlign w:val="center"/>
          </w:tcPr>
          <w:p>
            <w:pPr>
              <w:spacing w:line="360" w:lineRule="auto"/>
              <w:ind w:right="206" w:rightChars="98"/>
              <w:rPr>
                <w:rStyle w:val="81"/>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81"/>
                <w:rFonts w:ascii="宋体" w:hAnsi="宋体" w:eastAsia="宋体"/>
                <w:color w:val="auto"/>
                <w:spacing w:val="10"/>
                <w:sz w:val="21"/>
                <w:szCs w:val="21"/>
                <w:highlight w:val="none"/>
                <w:lang w:val="zh-CN"/>
              </w:rPr>
            </w:pPr>
            <w:r>
              <w:rPr>
                <w:rStyle w:val="81"/>
                <w:rFonts w:ascii="宋体" w:hAnsi="宋体" w:eastAsia="宋体"/>
                <w:color w:val="auto"/>
                <w:spacing w:val="10"/>
                <w:sz w:val="21"/>
                <w:szCs w:val="21"/>
                <w:highlight w:val="none"/>
                <w:lang w:val="zh-CN"/>
              </w:rPr>
              <w:t>联系电话</w:t>
            </w:r>
          </w:p>
        </w:tc>
        <w:tc>
          <w:tcPr>
            <w:tcW w:w="3116" w:type="dxa"/>
            <w:vAlign w:val="center"/>
          </w:tcPr>
          <w:p>
            <w:pPr>
              <w:spacing w:line="360" w:lineRule="auto"/>
              <w:ind w:right="206" w:rightChars="98"/>
              <w:rPr>
                <w:rStyle w:val="81"/>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81"/>
                <w:rFonts w:ascii="宋体" w:hAnsi="宋体" w:eastAsia="宋体"/>
                <w:color w:val="auto"/>
                <w:spacing w:val="10"/>
                <w:sz w:val="21"/>
                <w:szCs w:val="21"/>
                <w:highlight w:val="none"/>
                <w:lang w:val="zh-CN"/>
              </w:rPr>
            </w:pPr>
          </w:p>
        </w:tc>
        <w:tc>
          <w:tcPr>
            <w:tcW w:w="2836" w:type="dxa"/>
            <w:vMerge w:val="continue"/>
          </w:tcPr>
          <w:p>
            <w:pPr>
              <w:spacing w:line="360" w:lineRule="auto"/>
              <w:ind w:right="206" w:rightChars="98"/>
              <w:jc w:val="center"/>
              <w:rPr>
                <w:rStyle w:val="81"/>
                <w:rFonts w:ascii="宋体" w:hAnsi="宋体" w:eastAsia="宋体"/>
                <w:b/>
                <w:color w:val="auto"/>
                <w:spacing w:val="10"/>
                <w:sz w:val="21"/>
                <w:szCs w:val="21"/>
                <w:highlight w:val="none"/>
                <w:lang w:val="zh-CN"/>
              </w:rPr>
            </w:pPr>
          </w:p>
        </w:tc>
        <w:tc>
          <w:tcPr>
            <w:tcW w:w="1498" w:type="dxa"/>
            <w:vMerge w:val="continue"/>
            <w:vAlign w:val="center"/>
          </w:tcPr>
          <w:p>
            <w:pPr>
              <w:spacing w:line="360" w:lineRule="auto"/>
              <w:ind w:right="206" w:rightChars="98"/>
              <w:rPr>
                <w:rStyle w:val="81"/>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81"/>
                <w:rFonts w:ascii="宋体" w:hAnsi="宋体" w:eastAsia="宋体"/>
                <w:color w:val="auto"/>
                <w:spacing w:val="10"/>
                <w:sz w:val="21"/>
                <w:szCs w:val="21"/>
                <w:highlight w:val="none"/>
                <w:lang w:val="zh-CN"/>
              </w:rPr>
            </w:pPr>
            <w:r>
              <w:rPr>
                <w:rStyle w:val="81"/>
                <w:rFonts w:ascii="宋体" w:hAnsi="宋体" w:eastAsia="宋体"/>
                <w:color w:val="auto"/>
                <w:spacing w:val="10"/>
                <w:sz w:val="21"/>
                <w:szCs w:val="21"/>
                <w:highlight w:val="none"/>
                <w:lang w:val="zh-CN"/>
              </w:rPr>
              <w:t>传真</w:t>
            </w:r>
          </w:p>
        </w:tc>
        <w:tc>
          <w:tcPr>
            <w:tcW w:w="3116" w:type="dxa"/>
            <w:vAlign w:val="center"/>
          </w:tcPr>
          <w:p>
            <w:pPr>
              <w:spacing w:line="360" w:lineRule="auto"/>
              <w:ind w:right="206" w:rightChars="98"/>
              <w:rPr>
                <w:rStyle w:val="81"/>
                <w:rFonts w:ascii="宋体" w:hAnsi="宋体" w:eastAsia="宋体"/>
                <w:color w:val="auto"/>
                <w:spacing w:val="10"/>
                <w:sz w:val="21"/>
                <w:szCs w:val="21"/>
                <w:highlight w:val="none"/>
                <w:lang w:val="zh-CN"/>
              </w:rPr>
            </w:pPr>
          </w:p>
        </w:tc>
      </w:tr>
    </w:tbl>
    <w:p>
      <w:pPr>
        <w:spacing w:line="360" w:lineRule="auto"/>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3"/>
        <w:tblW w:w="8429"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429"/>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8429" w:type="dxa"/>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spacing w:line="360" w:lineRule="auto"/>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spacing w:line="360" w:lineRule="auto"/>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（公司名称）          </w:t>
      </w:r>
      <w:r>
        <w:rPr>
          <w:rFonts w:hint="eastAsia" w:ascii="宋体" w:hAnsi="宋体"/>
          <w:color w:val="auto"/>
          <w:szCs w:val="21"/>
          <w:highlight w:val="none"/>
        </w:rPr>
        <w:t>（盖公章）</w:t>
      </w:r>
    </w:p>
    <w:p>
      <w:pPr>
        <w:spacing w:line="360" w:lineRule="auto"/>
        <w:rPr>
          <w:rFonts w:ascii="宋体" w:hAnsi="宋体"/>
          <w:color w:val="auto"/>
          <w:szCs w:val="21"/>
          <w:highlight w:val="none"/>
        </w:rPr>
      </w:pPr>
      <w:r>
        <w:rPr>
          <w:rFonts w:hint="eastAsia" w:ascii="宋体" w:hAnsi="宋体"/>
          <w:color w:val="auto"/>
          <w:szCs w:val="21"/>
          <w:highlight w:val="none"/>
        </w:rPr>
        <w:t>日期：年    月    日</w:t>
      </w:r>
    </w:p>
    <w:p>
      <w:pPr>
        <w:spacing w:line="360" w:lineRule="auto"/>
        <w:rPr>
          <w:rFonts w:ascii="宋体" w:hAnsi="宋体"/>
          <w:b/>
          <w:color w:val="auto"/>
          <w:szCs w:val="21"/>
          <w:highlight w:val="none"/>
        </w:rPr>
      </w:pPr>
      <w:r>
        <w:rPr>
          <w:rFonts w:hint="eastAsia" w:ascii="宋体" w:hAnsi="宋体"/>
          <w:b/>
          <w:color w:val="auto"/>
          <w:szCs w:val="21"/>
          <w:highlight w:val="none"/>
        </w:rPr>
        <w:t>注：本退付书原件须放入唱标信封内。</w:t>
      </w:r>
    </w:p>
    <w:p>
      <w:pPr>
        <w:spacing w:line="360" w:lineRule="auto"/>
        <w:rPr>
          <w:rFonts w:ascii="宋体" w:hAnsi="宋体"/>
          <w:b/>
          <w:color w:val="auto"/>
          <w:szCs w:val="21"/>
          <w:highlight w:val="none"/>
        </w:rPr>
      </w:pPr>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43"/>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rPr>
          <w:rFonts w:hint="eastAsia" w:ascii="宋体" w:hAnsi="宋体"/>
          <w:b/>
          <w:color w:val="auto"/>
          <w:sz w:val="24"/>
          <w:highlight w:val="none"/>
        </w:rPr>
      </w:pPr>
    </w:p>
    <w:p>
      <w:pPr>
        <w:pStyle w:val="5"/>
        <w:ind w:left="0" w:leftChars="0" w:firstLine="0" w:firstLineChars="0"/>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39"/>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39"/>
        <w:snapToGrid w:val="0"/>
        <w:spacing w:before="0" w:beforeAutospacing="0" w:after="0" w:afterAutospacing="0" w:line="360" w:lineRule="auto"/>
        <w:jc w:val="both"/>
        <w:rPr>
          <w:color w:val="auto"/>
          <w:szCs w:val="21"/>
          <w:highlight w:val="none"/>
        </w:rPr>
      </w:pPr>
    </w:p>
    <w:p>
      <w:pPr>
        <w:pStyle w:val="39"/>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39"/>
        <w:spacing w:before="0" w:beforeAutospacing="0" w:after="0" w:afterAutospacing="0" w:line="360" w:lineRule="auto"/>
        <w:jc w:val="center"/>
        <w:rPr>
          <w:rStyle w:val="46"/>
          <w:color w:val="auto"/>
          <w:highlight w:val="none"/>
        </w:rPr>
      </w:pPr>
      <w:r>
        <w:rPr>
          <w:rStyle w:val="46"/>
          <w:rFonts w:hint="eastAsia"/>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39"/>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39"/>
        <w:spacing w:before="0" w:beforeAutospacing="0" w:after="0" w:afterAutospacing="0" w:line="360" w:lineRule="auto"/>
        <w:jc w:val="center"/>
        <w:rPr>
          <w:rStyle w:val="46"/>
          <w:color w:val="auto"/>
          <w:highlight w:val="none"/>
        </w:rPr>
      </w:pPr>
      <w:r>
        <w:rPr>
          <w:rStyle w:val="46"/>
          <w:rFonts w:hint="eastAsia"/>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p>
      <w:pPr>
        <w:spacing w:line="360" w:lineRule="auto"/>
        <w:jc w:val="left"/>
        <w:rPr>
          <w:rFonts w:ascii="仿宋_GB2312" w:hAnsi="仿宋" w:eastAsia="仿宋_GB2312"/>
          <w:color w:val="auto"/>
          <w:sz w:val="24"/>
          <w:highlight w:val="none"/>
        </w:rPr>
      </w:pPr>
    </w:p>
    <w:p>
      <w:pPr>
        <w:rPr>
          <w:rFonts w:ascii="宋体" w:hAnsi="宋体"/>
          <w:b/>
          <w:color w:val="auto"/>
          <w:szCs w:val="21"/>
          <w:highlight w:val="none"/>
        </w:rPr>
      </w:pPr>
    </w:p>
    <w:p>
      <w:pPr>
        <w:spacing w:line="360" w:lineRule="auto"/>
        <w:rPr>
          <w:rFonts w:ascii="宋体" w:hAnsi="宋体"/>
          <w:b/>
          <w:color w:val="auto"/>
          <w:szCs w:val="21"/>
          <w:highlight w:val="none"/>
        </w:rPr>
      </w:pPr>
    </w:p>
    <w:sectPr>
      <w:headerReference r:id="rId9"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长城仿宋">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7"/>
      </w:rPr>
    </w:pPr>
    <w:r>
      <w:fldChar w:fldCharType="begin"/>
    </w:r>
    <w:r>
      <w:rPr>
        <w:rStyle w:val="47"/>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15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4E751C0"/>
    <w:multiLevelType w:val="multilevel"/>
    <w:tmpl w:val="04E751C0"/>
    <w:lvl w:ilvl="0" w:tentative="0">
      <w:start w:val="2"/>
      <w:numFmt w:val="decimal"/>
      <w:pStyle w:val="14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105A0FD2"/>
    <w:multiLevelType w:val="multilevel"/>
    <w:tmpl w:val="105A0FD2"/>
    <w:lvl w:ilvl="0" w:tentative="0">
      <w:start w:val="1"/>
      <w:numFmt w:val="chineseCountingThousand"/>
      <w:pStyle w:val="142"/>
      <w:lvlText w:val="%1、"/>
      <w:lvlJc w:val="left"/>
      <w:pPr>
        <w:tabs>
          <w:tab w:val="left" w:pos="420"/>
        </w:tabs>
        <w:ind w:left="420" w:hanging="420"/>
      </w:pPr>
      <w:rPr>
        <w:lang w:val="en-US"/>
      </w:rPr>
    </w:lvl>
    <w:lvl w:ilvl="1" w:tentative="0">
      <w:start w:val="1"/>
      <w:numFmt w:val="lowerLetter"/>
      <w:lvlText w:val="%2)"/>
      <w:lvlJc w:val="left"/>
      <w:pPr>
        <w:tabs>
          <w:tab w:val="left" w:pos="840"/>
        </w:tabs>
        <w:ind w:left="840" w:hanging="420"/>
      </w:pPr>
    </w:lvl>
    <w:lvl w:ilvl="2" w:tentative="0">
      <w:start w:val="4"/>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4">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F3007FA"/>
    <w:multiLevelType w:val="multilevel"/>
    <w:tmpl w:val="2F3007F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1"/>
      <w:numFmt w:val="decimal"/>
      <w:lvlText w:val="（%3）"/>
      <w:lvlJc w:val="left"/>
      <w:pPr>
        <w:tabs>
          <w:tab w:val="left" w:pos="2838"/>
        </w:tabs>
        <w:ind w:left="2838" w:hanging="720"/>
      </w:pPr>
      <w:rPr>
        <w:rFonts w:hint="eastAsia"/>
      </w:rPr>
    </w:lvl>
    <w:lvl w:ilvl="3" w:tentative="0">
      <w:start w:val="1"/>
      <w:numFmt w:val="decimal"/>
      <w:lvlText w:val="%4."/>
      <w:lvlJc w:val="left"/>
      <w:pPr>
        <w:tabs>
          <w:tab w:val="left" w:pos="2958"/>
        </w:tabs>
        <w:ind w:left="2958" w:hanging="420"/>
      </w:p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37E05C58"/>
    <w:multiLevelType w:val="multilevel"/>
    <w:tmpl w:val="37E05C58"/>
    <w:lvl w:ilvl="0" w:tentative="0">
      <w:start w:val="2"/>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8">
    <w:nsid w:val="442616A1"/>
    <w:multiLevelType w:val="multilevel"/>
    <w:tmpl w:val="442616A1"/>
    <w:lvl w:ilvl="0" w:tentative="0">
      <w:start w:val="6"/>
      <w:numFmt w:val="decimal"/>
      <w:lvlText w:val="%1"/>
      <w:lvlJc w:val="left"/>
      <w:pPr>
        <w:tabs>
          <w:tab w:val="left" w:pos="360"/>
        </w:tabs>
        <w:ind w:left="360" w:hanging="360"/>
      </w:pPr>
      <w:rPr>
        <w:rFonts w:hint="eastAsia" w:hAnsi="Times New Roman"/>
        <w:color w:val="000000"/>
      </w:rPr>
    </w:lvl>
    <w:lvl w:ilvl="1" w:tentative="0">
      <w:start w:val="2"/>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9">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29C5F43"/>
    <w:multiLevelType w:val="multilevel"/>
    <w:tmpl w:val="529C5F43"/>
    <w:lvl w:ilvl="0" w:tentative="0">
      <w:start w:val="15"/>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2">
    <w:nsid w:val="5807494E"/>
    <w:multiLevelType w:val="multilevel"/>
    <w:tmpl w:val="5807494E"/>
    <w:lvl w:ilvl="0" w:tentative="0">
      <w:start w:val="7"/>
      <w:numFmt w:val="decimal"/>
      <w:lvlText w:val="%1"/>
      <w:lvlJc w:val="left"/>
      <w:pPr>
        <w:tabs>
          <w:tab w:val="left" w:pos="360"/>
        </w:tabs>
        <w:ind w:left="360" w:hanging="360"/>
      </w:pPr>
      <w:rPr>
        <w:rFonts w:hint="eastAsia" w:hAnsi="Times New Roman"/>
        <w:color w:val="000000"/>
      </w:rPr>
    </w:lvl>
    <w:lvl w:ilvl="1" w:tentative="0">
      <w:start w:val="3"/>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13">
    <w:nsid w:val="676D1F6B"/>
    <w:multiLevelType w:val="multilevel"/>
    <w:tmpl w:val="676D1F6B"/>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690B1CDA"/>
    <w:multiLevelType w:val="multilevel"/>
    <w:tmpl w:val="690B1CDA"/>
    <w:lvl w:ilvl="0" w:tentative="0">
      <w:start w:val="1"/>
      <w:numFmt w:val="japaneseCounting"/>
      <w:pStyle w:val="132"/>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5">
    <w:nsid w:val="749B2552"/>
    <w:multiLevelType w:val="singleLevel"/>
    <w:tmpl w:val="749B2552"/>
    <w:lvl w:ilvl="0" w:tentative="0">
      <w:start w:val="1"/>
      <w:numFmt w:val="decimal"/>
      <w:lvlText w:val="%1."/>
      <w:lvlJc w:val="left"/>
      <w:pPr>
        <w:tabs>
          <w:tab w:val="left" w:pos="425"/>
        </w:tabs>
        <w:ind w:left="425" w:hanging="425"/>
      </w:pPr>
      <w:rPr>
        <w:rFonts w:hint="eastAsia" w:ascii="宋体" w:hAnsi="宋体" w:eastAsia="宋体"/>
      </w:rPr>
    </w:lvl>
  </w:abstractNum>
  <w:abstractNum w:abstractNumId="16">
    <w:nsid w:val="78314949"/>
    <w:multiLevelType w:val="multilevel"/>
    <w:tmpl w:val="78314949"/>
    <w:lvl w:ilvl="0" w:tentative="0">
      <w:start w:val="12"/>
      <w:numFmt w:val="decimal"/>
      <w:lvlText w:val="%1"/>
      <w:lvlJc w:val="left"/>
      <w:pPr>
        <w:ind w:left="420" w:hanging="420"/>
      </w:pPr>
      <w:rPr>
        <w:rFonts w:hint="default"/>
      </w:rPr>
    </w:lvl>
    <w:lvl w:ilvl="1" w:tentative="0">
      <w:start w:val="3"/>
      <w:numFmt w:val="decimal"/>
      <w:lvlText w:val="%1.%2"/>
      <w:lvlJc w:val="left"/>
      <w:pPr>
        <w:ind w:left="420" w:hanging="4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3"/>
  </w:num>
  <w:num w:numId="2">
    <w:abstractNumId w:val="14"/>
  </w:num>
  <w:num w:numId="3">
    <w:abstractNumId w:val="2"/>
  </w:num>
  <w:num w:numId="4">
    <w:abstractNumId w:val="1"/>
  </w:num>
  <w:num w:numId="5">
    <w:abstractNumId w:val="0"/>
  </w:num>
  <w:num w:numId="6">
    <w:abstractNumId w:val="4"/>
  </w:num>
  <w:num w:numId="7">
    <w:abstractNumId w:val="7"/>
  </w:num>
  <w:num w:numId="8">
    <w:abstractNumId w:val="8"/>
  </w:num>
  <w:num w:numId="9">
    <w:abstractNumId w:val="12"/>
  </w:num>
  <w:num w:numId="10">
    <w:abstractNumId w:val="10"/>
  </w:num>
  <w:num w:numId="11">
    <w:abstractNumId w:val="16"/>
  </w:num>
  <w:num w:numId="12">
    <w:abstractNumId w:val="11"/>
  </w:num>
  <w:num w:numId="13">
    <w:abstractNumId w:val="5"/>
  </w:num>
  <w:num w:numId="14">
    <w:abstractNumId w:val="6"/>
  </w:num>
  <w:num w:numId="15">
    <w:abstractNumId w:val="9"/>
  </w:num>
  <w:num w:numId="16">
    <w:abstractNumId w:val="13"/>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hjNTA1Yzc3NWM1ZmE0ZTU3ZjE3MWYwMTI3MmIyMmIifQ=="/>
  </w:docVars>
  <w:rsids>
    <w:rsidRoot w:val="009833EC"/>
    <w:rsid w:val="00000C7F"/>
    <w:rsid w:val="00000CDA"/>
    <w:rsid w:val="00000E9F"/>
    <w:rsid w:val="000012B3"/>
    <w:rsid w:val="000013AE"/>
    <w:rsid w:val="000018DB"/>
    <w:rsid w:val="000019D4"/>
    <w:rsid w:val="000020EE"/>
    <w:rsid w:val="000030EC"/>
    <w:rsid w:val="0000339F"/>
    <w:rsid w:val="0000391B"/>
    <w:rsid w:val="0000392E"/>
    <w:rsid w:val="00003DE4"/>
    <w:rsid w:val="000049BA"/>
    <w:rsid w:val="00004A27"/>
    <w:rsid w:val="00005FCB"/>
    <w:rsid w:val="000062F0"/>
    <w:rsid w:val="000065AA"/>
    <w:rsid w:val="00007C9D"/>
    <w:rsid w:val="00007D36"/>
    <w:rsid w:val="00010614"/>
    <w:rsid w:val="00011381"/>
    <w:rsid w:val="00011688"/>
    <w:rsid w:val="000120FB"/>
    <w:rsid w:val="000127D7"/>
    <w:rsid w:val="00012CEB"/>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DA"/>
    <w:rsid w:val="000216E1"/>
    <w:rsid w:val="00021C76"/>
    <w:rsid w:val="00021CA5"/>
    <w:rsid w:val="00022C80"/>
    <w:rsid w:val="00022FCF"/>
    <w:rsid w:val="00023F2E"/>
    <w:rsid w:val="00024523"/>
    <w:rsid w:val="00024860"/>
    <w:rsid w:val="000248E7"/>
    <w:rsid w:val="000268CD"/>
    <w:rsid w:val="00026FC3"/>
    <w:rsid w:val="000278C1"/>
    <w:rsid w:val="00027BD5"/>
    <w:rsid w:val="00027E73"/>
    <w:rsid w:val="0003063D"/>
    <w:rsid w:val="00030865"/>
    <w:rsid w:val="00031768"/>
    <w:rsid w:val="00032300"/>
    <w:rsid w:val="0003240C"/>
    <w:rsid w:val="00032A2C"/>
    <w:rsid w:val="0003413E"/>
    <w:rsid w:val="00034518"/>
    <w:rsid w:val="00034573"/>
    <w:rsid w:val="00034E6E"/>
    <w:rsid w:val="00036ABE"/>
    <w:rsid w:val="000377F0"/>
    <w:rsid w:val="00040462"/>
    <w:rsid w:val="00040736"/>
    <w:rsid w:val="0004087D"/>
    <w:rsid w:val="0004093F"/>
    <w:rsid w:val="00040FEE"/>
    <w:rsid w:val="000413C6"/>
    <w:rsid w:val="000415D4"/>
    <w:rsid w:val="00041A63"/>
    <w:rsid w:val="0004277B"/>
    <w:rsid w:val="00043105"/>
    <w:rsid w:val="00043EBB"/>
    <w:rsid w:val="000453A8"/>
    <w:rsid w:val="0004611C"/>
    <w:rsid w:val="00046265"/>
    <w:rsid w:val="00046FB6"/>
    <w:rsid w:val="00047144"/>
    <w:rsid w:val="00047B7B"/>
    <w:rsid w:val="00050048"/>
    <w:rsid w:val="000502DE"/>
    <w:rsid w:val="00051247"/>
    <w:rsid w:val="00051476"/>
    <w:rsid w:val="00055140"/>
    <w:rsid w:val="00055BE2"/>
    <w:rsid w:val="00055E36"/>
    <w:rsid w:val="00055F28"/>
    <w:rsid w:val="000562D3"/>
    <w:rsid w:val="000571EB"/>
    <w:rsid w:val="0005770B"/>
    <w:rsid w:val="00057B85"/>
    <w:rsid w:val="00057F61"/>
    <w:rsid w:val="00060245"/>
    <w:rsid w:val="0006027D"/>
    <w:rsid w:val="0006054E"/>
    <w:rsid w:val="00060689"/>
    <w:rsid w:val="000614F6"/>
    <w:rsid w:val="00061ADA"/>
    <w:rsid w:val="00062546"/>
    <w:rsid w:val="00063214"/>
    <w:rsid w:val="00064185"/>
    <w:rsid w:val="00064276"/>
    <w:rsid w:val="000642CD"/>
    <w:rsid w:val="00064416"/>
    <w:rsid w:val="000649DE"/>
    <w:rsid w:val="000652FF"/>
    <w:rsid w:val="00066B7A"/>
    <w:rsid w:val="000673CC"/>
    <w:rsid w:val="0007084F"/>
    <w:rsid w:val="00070D3D"/>
    <w:rsid w:val="00070DCE"/>
    <w:rsid w:val="0007120B"/>
    <w:rsid w:val="00071508"/>
    <w:rsid w:val="00072509"/>
    <w:rsid w:val="00072C00"/>
    <w:rsid w:val="00075961"/>
    <w:rsid w:val="00075BA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5D86"/>
    <w:rsid w:val="0008670A"/>
    <w:rsid w:val="000874DB"/>
    <w:rsid w:val="00087F54"/>
    <w:rsid w:val="00090CB0"/>
    <w:rsid w:val="000911A1"/>
    <w:rsid w:val="00091739"/>
    <w:rsid w:val="000936BB"/>
    <w:rsid w:val="00093E9C"/>
    <w:rsid w:val="00093F6F"/>
    <w:rsid w:val="000940E1"/>
    <w:rsid w:val="000945D5"/>
    <w:rsid w:val="00094C2A"/>
    <w:rsid w:val="000950C1"/>
    <w:rsid w:val="00095BE6"/>
    <w:rsid w:val="000960A6"/>
    <w:rsid w:val="000A025A"/>
    <w:rsid w:val="000A040E"/>
    <w:rsid w:val="000A1A04"/>
    <w:rsid w:val="000A1AD0"/>
    <w:rsid w:val="000A24B9"/>
    <w:rsid w:val="000A2BBF"/>
    <w:rsid w:val="000A4F7A"/>
    <w:rsid w:val="000A54CF"/>
    <w:rsid w:val="000A588E"/>
    <w:rsid w:val="000A70BC"/>
    <w:rsid w:val="000A7472"/>
    <w:rsid w:val="000A7A96"/>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2E4"/>
    <w:rsid w:val="000C23B2"/>
    <w:rsid w:val="000C2A07"/>
    <w:rsid w:val="000C3069"/>
    <w:rsid w:val="000C41BC"/>
    <w:rsid w:val="000C4379"/>
    <w:rsid w:val="000C4614"/>
    <w:rsid w:val="000C464F"/>
    <w:rsid w:val="000C63CB"/>
    <w:rsid w:val="000C6B06"/>
    <w:rsid w:val="000C6E00"/>
    <w:rsid w:val="000D0D31"/>
    <w:rsid w:val="000D0E1F"/>
    <w:rsid w:val="000D11B4"/>
    <w:rsid w:val="000D1822"/>
    <w:rsid w:val="000D2AA9"/>
    <w:rsid w:val="000D2F76"/>
    <w:rsid w:val="000D3682"/>
    <w:rsid w:val="000D3D03"/>
    <w:rsid w:val="000D3D55"/>
    <w:rsid w:val="000D3F6A"/>
    <w:rsid w:val="000D4196"/>
    <w:rsid w:val="000D47B2"/>
    <w:rsid w:val="000D4CC4"/>
    <w:rsid w:val="000D53F2"/>
    <w:rsid w:val="000D5955"/>
    <w:rsid w:val="000D5A26"/>
    <w:rsid w:val="000D5DB7"/>
    <w:rsid w:val="000D5FCC"/>
    <w:rsid w:val="000D5FFF"/>
    <w:rsid w:val="000D675C"/>
    <w:rsid w:val="000D693D"/>
    <w:rsid w:val="000D69E5"/>
    <w:rsid w:val="000D75D0"/>
    <w:rsid w:val="000D7675"/>
    <w:rsid w:val="000E07CB"/>
    <w:rsid w:val="000E0DA9"/>
    <w:rsid w:val="000E1026"/>
    <w:rsid w:val="000E19C9"/>
    <w:rsid w:val="000E1BC0"/>
    <w:rsid w:val="000E1F01"/>
    <w:rsid w:val="000E3AD6"/>
    <w:rsid w:val="000E479C"/>
    <w:rsid w:val="000E5AA4"/>
    <w:rsid w:val="000E6271"/>
    <w:rsid w:val="000E659F"/>
    <w:rsid w:val="000E6769"/>
    <w:rsid w:val="000E6DDE"/>
    <w:rsid w:val="000E6EB5"/>
    <w:rsid w:val="000E7227"/>
    <w:rsid w:val="000E72E6"/>
    <w:rsid w:val="000E7602"/>
    <w:rsid w:val="000E7755"/>
    <w:rsid w:val="000F02D5"/>
    <w:rsid w:val="000F02E4"/>
    <w:rsid w:val="000F0471"/>
    <w:rsid w:val="000F079F"/>
    <w:rsid w:val="000F0819"/>
    <w:rsid w:val="000F21A3"/>
    <w:rsid w:val="000F2C2E"/>
    <w:rsid w:val="000F2E56"/>
    <w:rsid w:val="000F35D4"/>
    <w:rsid w:val="000F37D8"/>
    <w:rsid w:val="000F3B33"/>
    <w:rsid w:val="000F3FC1"/>
    <w:rsid w:val="000F4808"/>
    <w:rsid w:val="000F5823"/>
    <w:rsid w:val="000F623B"/>
    <w:rsid w:val="000F67BA"/>
    <w:rsid w:val="000F6885"/>
    <w:rsid w:val="00100929"/>
    <w:rsid w:val="00100A59"/>
    <w:rsid w:val="00100A85"/>
    <w:rsid w:val="00100B16"/>
    <w:rsid w:val="001013B4"/>
    <w:rsid w:val="001017F3"/>
    <w:rsid w:val="00101823"/>
    <w:rsid w:val="001028F3"/>
    <w:rsid w:val="00103847"/>
    <w:rsid w:val="00104089"/>
    <w:rsid w:val="00104A82"/>
    <w:rsid w:val="00104AF0"/>
    <w:rsid w:val="00104ED8"/>
    <w:rsid w:val="00105209"/>
    <w:rsid w:val="00105FB8"/>
    <w:rsid w:val="00106103"/>
    <w:rsid w:val="00106113"/>
    <w:rsid w:val="00106A6A"/>
    <w:rsid w:val="00106EB1"/>
    <w:rsid w:val="0010713D"/>
    <w:rsid w:val="00107366"/>
    <w:rsid w:val="001101C6"/>
    <w:rsid w:val="00110AD0"/>
    <w:rsid w:val="0011110A"/>
    <w:rsid w:val="001116CC"/>
    <w:rsid w:val="00112609"/>
    <w:rsid w:val="001126F0"/>
    <w:rsid w:val="001132C8"/>
    <w:rsid w:val="00113B4C"/>
    <w:rsid w:val="00113D8F"/>
    <w:rsid w:val="00113E15"/>
    <w:rsid w:val="00114861"/>
    <w:rsid w:val="001149BA"/>
    <w:rsid w:val="00114B2A"/>
    <w:rsid w:val="00114E2F"/>
    <w:rsid w:val="001151E8"/>
    <w:rsid w:val="00115967"/>
    <w:rsid w:val="00116191"/>
    <w:rsid w:val="00116441"/>
    <w:rsid w:val="00116E35"/>
    <w:rsid w:val="0011743D"/>
    <w:rsid w:val="00120686"/>
    <w:rsid w:val="00120C3C"/>
    <w:rsid w:val="00122AC9"/>
    <w:rsid w:val="00122C12"/>
    <w:rsid w:val="001234B2"/>
    <w:rsid w:val="00123A44"/>
    <w:rsid w:val="00123B84"/>
    <w:rsid w:val="00124863"/>
    <w:rsid w:val="0012494A"/>
    <w:rsid w:val="00125117"/>
    <w:rsid w:val="00126702"/>
    <w:rsid w:val="00126736"/>
    <w:rsid w:val="00126B17"/>
    <w:rsid w:val="00126D44"/>
    <w:rsid w:val="001279A1"/>
    <w:rsid w:val="00127CAC"/>
    <w:rsid w:val="00130F99"/>
    <w:rsid w:val="0013184E"/>
    <w:rsid w:val="00132520"/>
    <w:rsid w:val="00133F8F"/>
    <w:rsid w:val="00134075"/>
    <w:rsid w:val="0013457A"/>
    <w:rsid w:val="00134979"/>
    <w:rsid w:val="001351C4"/>
    <w:rsid w:val="00135655"/>
    <w:rsid w:val="00135C63"/>
    <w:rsid w:val="001370A8"/>
    <w:rsid w:val="00137668"/>
    <w:rsid w:val="00137F56"/>
    <w:rsid w:val="00140886"/>
    <w:rsid w:val="001414EF"/>
    <w:rsid w:val="00141762"/>
    <w:rsid w:val="00141B7E"/>
    <w:rsid w:val="00141BF3"/>
    <w:rsid w:val="0014226C"/>
    <w:rsid w:val="00142861"/>
    <w:rsid w:val="00142EAA"/>
    <w:rsid w:val="00142F3D"/>
    <w:rsid w:val="001433B9"/>
    <w:rsid w:val="00143A78"/>
    <w:rsid w:val="00144079"/>
    <w:rsid w:val="00144588"/>
    <w:rsid w:val="00144CD2"/>
    <w:rsid w:val="00144D40"/>
    <w:rsid w:val="00144F28"/>
    <w:rsid w:val="00145EED"/>
    <w:rsid w:val="00146D08"/>
    <w:rsid w:val="00146D6C"/>
    <w:rsid w:val="001473FF"/>
    <w:rsid w:val="001477D2"/>
    <w:rsid w:val="00151956"/>
    <w:rsid w:val="00152D75"/>
    <w:rsid w:val="00152F7E"/>
    <w:rsid w:val="00152FC5"/>
    <w:rsid w:val="00153598"/>
    <w:rsid w:val="001536B6"/>
    <w:rsid w:val="00153A47"/>
    <w:rsid w:val="00153D3E"/>
    <w:rsid w:val="001542D0"/>
    <w:rsid w:val="0015536E"/>
    <w:rsid w:val="00155726"/>
    <w:rsid w:val="001579F5"/>
    <w:rsid w:val="00157AE2"/>
    <w:rsid w:val="001605FD"/>
    <w:rsid w:val="001606C6"/>
    <w:rsid w:val="00160CE5"/>
    <w:rsid w:val="00161266"/>
    <w:rsid w:val="00161C97"/>
    <w:rsid w:val="001622D6"/>
    <w:rsid w:val="00162583"/>
    <w:rsid w:val="00162800"/>
    <w:rsid w:val="0016298B"/>
    <w:rsid w:val="00162F9F"/>
    <w:rsid w:val="00163B25"/>
    <w:rsid w:val="001647AE"/>
    <w:rsid w:val="00164921"/>
    <w:rsid w:val="00165DE8"/>
    <w:rsid w:val="00165F41"/>
    <w:rsid w:val="00166BB6"/>
    <w:rsid w:val="001670A5"/>
    <w:rsid w:val="001701A8"/>
    <w:rsid w:val="00170898"/>
    <w:rsid w:val="00170C45"/>
    <w:rsid w:val="00170DB2"/>
    <w:rsid w:val="00170DC2"/>
    <w:rsid w:val="001714A7"/>
    <w:rsid w:val="00171E3A"/>
    <w:rsid w:val="00172551"/>
    <w:rsid w:val="001726A5"/>
    <w:rsid w:val="00172DDC"/>
    <w:rsid w:val="001732F4"/>
    <w:rsid w:val="00173594"/>
    <w:rsid w:val="001736A9"/>
    <w:rsid w:val="001737DA"/>
    <w:rsid w:val="0017486E"/>
    <w:rsid w:val="00174D50"/>
    <w:rsid w:val="001754BA"/>
    <w:rsid w:val="0017611F"/>
    <w:rsid w:val="0017628C"/>
    <w:rsid w:val="001762E0"/>
    <w:rsid w:val="001776D9"/>
    <w:rsid w:val="00177FE0"/>
    <w:rsid w:val="00180774"/>
    <w:rsid w:val="00180F42"/>
    <w:rsid w:val="0018109B"/>
    <w:rsid w:val="0018128C"/>
    <w:rsid w:val="00181532"/>
    <w:rsid w:val="00181599"/>
    <w:rsid w:val="00181779"/>
    <w:rsid w:val="00181BCB"/>
    <w:rsid w:val="00182320"/>
    <w:rsid w:val="00182C90"/>
    <w:rsid w:val="00182DCA"/>
    <w:rsid w:val="00182E13"/>
    <w:rsid w:val="00183342"/>
    <w:rsid w:val="00183AF6"/>
    <w:rsid w:val="001844B7"/>
    <w:rsid w:val="00184690"/>
    <w:rsid w:val="001849A5"/>
    <w:rsid w:val="00185CE7"/>
    <w:rsid w:val="00185F4E"/>
    <w:rsid w:val="00187221"/>
    <w:rsid w:val="00187246"/>
    <w:rsid w:val="00187FEA"/>
    <w:rsid w:val="00190B17"/>
    <w:rsid w:val="00190C79"/>
    <w:rsid w:val="00191702"/>
    <w:rsid w:val="001918F2"/>
    <w:rsid w:val="00191E15"/>
    <w:rsid w:val="00193677"/>
    <w:rsid w:val="00193AF0"/>
    <w:rsid w:val="00193CE8"/>
    <w:rsid w:val="00193E58"/>
    <w:rsid w:val="00194FA0"/>
    <w:rsid w:val="0019546E"/>
    <w:rsid w:val="001958E5"/>
    <w:rsid w:val="00195A0D"/>
    <w:rsid w:val="00195BF0"/>
    <w:rsid w:val="00195F54"/>
    <w:rsid w:val="001966FC"/>
    <w:rsid w:val="00196738"/>
    <w:rsid w:val="00196EC4"/>
    <w:rsid w:val="00197045"/>
    <w:rsid w:val="001975F6"/>
    <w:rsid w:val="00197AF4"/>
    <w:rsid w:val="001A08D0"/>
    <w:rsid w:val="001A0BC3"/>
    <w:rsid w:val="001A27BA"/>
    <w:rsid w:val="001A436E"/>
    <w:rsid w:val="001A4393"/>
    <w:rsid w:val="001A4F87"/>
    <w:rsid w:val="001A559F"/>
    <w:rsid w:val="001A60B3"/>
    <w:rsid w:val="001A6293"/>
    <w:rsid w:val="001A6547"/>
    <w:rsid w:val="001A6E21"/>
    <w:rsid w:val="001A73F0"/>
    <w:rsid w:val="001A7677"/>
    <w:rsid w:val="001A7BFB"/>
    <w:rsid w:val="001B0095"/>
    <w:rsid w:val="001B028E"/>
    <w:rsid w:val="001B0944"/>
    <w:rsid w:val="001B0B72"/>
    <w:rsid w:val="001B0F2C"/>
    <w:rsid w:val="001B1195"/>
    <w:rsid w:val="001B1C5B"/>
    <w:rsid w:val="001B2564"/>
    <w:rsid w:val="001B26FF"/>
    <w:rsid w:val="001B2ACC"/>
    <w:rsid w:val="001B3172"/>
    <w:rsid w:val="001B3711"/>
    <w:rsid w:val="001B3DBC"/>
    <w:rsid w:val="001B3FB6"/>
    <w:rsid w:val="001B448E"/>
    <w:rsid w:val="001B49CA"/>
    <w:rsid w:val="001B4E8B"/>
    <w:rsid w:val="001B537F"/>
    <w:rsid w:val="001B579A"/>
    <w:rsid w:val="001B5D4F"/>
    <w:rsid w:val="001B645B"/>
    <w:rsid w:val="001B78A5"/>
    <w:rsid w:val="001B7C3B"/>
    <w:rsid w:val="001B7D94"/>
    <w:rsid w:val="001C07AA"/>
    <w:rsid w:val="001C0A20"/>
    <w:rsid w:val="001C10B1"/>
    <w:rsid w:val="001C1439"/>
    <w:rsid w:val="001C1955"/>
    <w:rsid w:val="001C3079"/>
    <w:rsid w:val="001C3705"/>
    <w:rsid w:val="001C37C0"/>
    <w:rsid w:val="001C4000"/>
    <w:rsid w:val="001C41C2"/>
    <w:rsid w:val="001C4607"/>
    <w:rsid w:val="001C4FC6"/>
    <w:rsid w:val="001C5234"/>
    <w:rsid w:val="001C5B04"/>
    <w:rsid w:val="001C5F82"/>
    <w:rsid w:val="001C61D4"/>
    <w:rsid w:val="001C677E"/>
    <w:rsid w:val="001C6F86"/>
    <w:rsid w:val="001C7632"/>
    <w:rsid w:val="001C7773"/>
    <w:rsid w:val="001C7A7B"/>
    <w:rsid w:val="001C7C88"/>
    <w:rsid w:val="001D0021"/>
    <w:rsid w:val="001D0C08"/>
    <w:rsid w:val="001D11ED"/>
    <w:rsid w:val="001D23E8"/>
    <w:rsid w:val="001D23E9"/>
    <w:rsid w:val="001D2C26"/>
    <w:rsid w:val="001D3124"/>
    <w:rsid w:val="001D3AC1"/>
    <w:rsid w:val="001D4051"/>
    <w:rsid w:val="001D4712"/>
    <w:rsid w:val="001D6941"/>
    <w:rsid w:val="001E001C"/>
    <w:rsid w:val="001E09A9"/>
    <w:rsid w:val="001E11C3"/>
    <w:rsid w:val="001E1A4F"/>
    <w:rsid w:val="001E1F29"/>
    <w:rsid w:val="001E27AF"/>
    <w:rsid w:val="001E2B7B"/>
    <w:rsid w:val="001E2D65"/>
    <w:rsid w:val="001E2D96"/>
    <w:rsid w:val="001E34CE"/>
    <w:rsid w:val="001E38A0"/>
    <w:rsid w:val="001E3D17"/>
    <w:rsid w:val="001E41FA"/>
    <w:rsid w:val="001E55B5"/>
    <w:rsid w:val="001E5AA2"/>
    <w:rsid w:val="001E5EBB"/>
    <w:rsid w:val="001E617C"/>
    <w:rsid w:val="001E67BC"/>
    <w:rsid w:val="001E6CCF"/>
    <w:rsid w:val="001E6D68"/>
    <w:rsid w:val="001E792E"/>
    <w:rsid w:val="001F05A5"/>
    <w:rsid w:val="001F0EC5"/>
    <w:rsid w:val="001F15B4"/>
    <w:rsid w:val="001F1A39"/>
    <w:rsid w:val="001F2585"/>
    <w:rsid w:val="001F271A"/>
    <w:rsid w:val="001F292B"/>
    <w:rsid w:val="001F35CF"/>
    <w:rsid w:val="001F3BF5"/>
    <w:rsid w:val="001F3F92"/>
    <w:rsid w:val="001F440E"/>
    <w:rsid w:val="001F45D2"/>
    <w:rsid w:val="001F49F8"/>
    <w:rsid w:val="001F5857"/>
    <w:rsid w:val="001F5C81"/>
    <w:rsid w:val="00201546"/>
    <w:rsid w:val="00201C29"/>
    <w:rsid w:val="002020D6"/>
    <w:rsid w:val="002028A5"/>
    <w:rsid w:val="00203AF9"/>
    <w:rsid w:val="00203B2D"/>
    <w:rsid w:val="00203F9F"/>
    <w:rsid w:val="00204036"/>
    <w:rsid w:val="0020526B"/>
    <w:rsid w:val="0020560B"/>
    <w:rsid w:val="002062BA"/>
    <w:rsid w:val="00207089"/>
    <w:rsid w:val="00207F75"/>
    <w:rsid w:val="00210084"/>
    <w:rsid w:val="002110D3"/>
    <w:rsid w:val="00212F81"/>
    <w:rsid w:val="0021371A"/>
    <w:rsid w:val="00213ECC"/>
    <w:rsid w:val="00214C34"/>
    <w:rsid w:val="00214EC7"/>
    <w:rsid w:val="0021573E"/>
    <w:rsid w:val="00215DC8"/>
    <w:rsid w:val="00216992"/>
    <w:rsid w:val="00216D99"/>
    <w:rsid w:val="00216F3B"/>
    <w:rsid w:val="00217911"/>
    <w:rsid w:val="002207DD"/>
    <w:rsid w:val="00221041"/>
    <w:rsid w:val="0022151A"/>
    <w:rsid w:val="00221D44"/>
    <w:rsid w:val="002229B0"/>
    <w:rsid w:val="00222AF5"/>
    <w:rsid w:val="00222C2B"/>
    <w:rsid w:val="00222CC3"/>
    <w:rsid w:val="0022302C"/>
    <w:rsid w:val="00223767"/>
    <w:rsid w:val="00224B1C"/>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36730"/>
    <w:rsid w:val="002405C2"/>
    <w:rsid w:val="00240BDF"/>
    <w:rsid w:val="0024116B"/>
    <w:rsid w:val="00241A21"/>
    <w:rsid w:val="00242858"/>
    <w:rsid w:val="002428EA"/>
    <w:rsid w:val="00242B5A"/>
    <w:rsid w:val="0024311A"/>
    <w:rsid w:val="00243D01"/>
    <w:rsid w:val="00245562"/>
    <w:rsid w:val="002456FD"/>
    <w:rsid w:val="00245C5F"/>
    <w:rsid w:val="00245FF5"/>
    <w:rsid w:val="002461A5"/>
    <w:rsid w:val="002461C6"/>
    <w:rsid w:val="00246CE1"/>
    <w:rsid w:val="002475B1"/>
    <w:rsid w:val="00247E17"/>
    <w:rsid w:val="00250F3F"/>
    <w:rsid w:val="00252439"/>
    <w:rsid w:val="002532D8"/>
    <w:rsid w:val="002537A8"/>
    <w:rsid w:val="002550C3"/>
    <w:rsid w:val="0025511C"/>
    <w:rsid w:val="00256E35"/>
    <w:rsid w:val="0025725F"/>
    <w:rsid w:val="0025741D"/>
    <w:rsid w:val="00257C70"/>
    <w:rsid w:val="0026034D"/>
    <w:rsid w:val="00260933"/>
    <w:rsid w:val="00260D78"/>
    <w:rsid w:val="00261034"/>
    <w:rsid w:val="002612D1"/>
    <w:rsid w:val="00261C36"/>
    <w:rsid w:val="00261FF8"/>
    <w:rsid w:val="00263D58"/>
    <w:rsid w:val="00264151"/>
    <w:rsid w:val="002660A5"/>
    <w:rsid w:val="0026655C"/>
    <w:rsid w:val="00266565"/>
    <w:rsid w:val="00266587"/>
    <w:rsid w:val="00266771"/>
    <w:rsid w:val="00266AC5"/>
    <w:rsid w:val="00266AD7"/>
    <w:rsid w:val="002670B1"/>
    <w:rsid w:val="0026773B"/>
    <w:rsid w:val="0027014F"/>
    <w:rsid w:val="002704DA"/>
    <w:rsid w:val="0027146A"/>
    <w:rsid w:val="0027176E"/>
    <w:rsid w:val="00272466"/>
    <w:rsid w:val="002728DF"/>
    <w:rsid w:val="00273277"/>
    <w:rsid w:val="002739CF"/>
    <w:rsid w:val="00273C23"/>
    <w:rsid w:val="002741D1"/>
    <w:rsid w:val="00274289"/>
    <w:rsid w:val="00274464"/>
    <w:rsid w:val="00276417"/>
    <w:rsid w:val="00276526"/>
    <w:rsid w:val="00276748"/>
    <w:rsid w:val="002769F4"/>
    <w:rsid w:val="00276A69"/>
    <w:rsid w:val="00276AE2"/>
    <w:rsid w:val="00276D85"/>
    <w:rsid w:val="00277300"/>
    <w:rsid w:val="0027796E"/>
    <w:rsid w:val="00277B77"/>
    <w:rsid w:val="002805F7"/>
    <w:rsid w:val="002807F6"/>
    <w:rsid w:val="00281B43"/>
    <w:rsid w:val="00281DBE"/>
    <w:rsid w:val="00282232"/>
    <w:rsid w:val="00282FE1"/>
    <w:rsid w:val="00283549"/>
    <w:rsid w:val="0028374F"/>
    <w:rsid w:val="00284120"/>
    <w:rsid w:val="002842D9"/>
    <w:rsid w:val="0028436A"/>
    <w:rsid w:val="0028548C"/>
    <w:rsid w:val="00286015"/>
    <w:rsid w:val="002861EE"/>
    <w:rsid w:val="002866DF"/>
    <w:rsid w:val="002868C2"/>
    <w:rsid w:val="00287252"/>
    <w:rsid w:val="00287F0D"/>
    <w:rsid w:val="00290453"/>
    <w:rsid w:val="00291A4E"/>
    <w:rsid w:val="00293E05"/>
    <w:rsid w:val="00294145"/>
    <w:rsid w:val="00294164"/>
    <w:rsid w:val="0029437C"/>
    <w:rsid w:val="002943B8"/>
    <w:rsid w:val="00294C2D"/>
    <w:rsid w:val="00295B69"/>
    <w:rsid w:val="00295E54"/>
    <w:rsid w:val="002960FC"/>
    <w:rsid w:val="00296374"/>
    <w:rsid w:val="00297043"/>
    <w:rsid w:val="002979A8"/>
    <w:rsid w:val="002A02D5"/>
    <w:rsid w:val="002A1C7F"/>
    <w:rsid w:val="002A1EEC"/>
    <w:rsid w:val="002A2749"/>
    <w:rsid w:val="002A2DA1"/>
    <w:rsid w:val="002A39DE"/>
    <w:rsid w:val="002A3F5B"/>
    <w:rsid w:val="002A4037"/>
    <w:rsid w:val="002A486B"/>
    <w:rsid w:val="002A5763"/>
    <w:rsid w:val="002A5779"/>
    <w:rsid w:val="002A6519"/>
    <w:rsid w:val="002A6DF0"/>
    <w:rsid w:val="002B0092"/>
    <w:rsid w:val="002B0470"/>
    <w:rsid w:val="002B0738"/>
    <w:rsid w:val="002B100C"/>
    <w:rsid w:val="002B18B0"/>
    <w:rsid w:val="002B1D45"/>
    <w:rsid w:val="002B1D52"/>
    <w:rsid w:val="002B2AA1"/>
    <w:rsid w:val="002B2EAE"/>
    <w:rsid w:val="002B35A7"/>
    <w:rsid w:val="002B3FD2"/>
    <w:rsid w:val="002B4E7A"/>
    <w:rsid w:val="002B4E7B"/>
    <w:rsid w:val="002B5600"/>
    <w:rsid w:val="002B5F4F"/>
    <w:rsid w:val="002B7944"/>
    <w:rsid w:val="002C036A"/>
    <w:rsid w:val="002C1069"/>
    <w:rsid w:val="002C1527"/>
    <w:rsid w:val="002C1544"/>
    <w:rsid w:val="002C4B80"/>
    <w:rsid w:val="002C618B"/>
    <w:rsid w:val="002C6CED"/>
    <w:rsid w:val="002C7465"/>
    <w:rsid w:val="002D02B8"/>
    <w:rsid w:val="002D042D"/>
    <w:rsid w:val="002D0BEA"/>
    <w:rsid w:val="002D195A"/>
    <w:rsid w:val="002D1B53"/>
    <w:rsid w:val="002D251E"/>
    <w:rsid w:val="002D2BFA"/>
    <w:rsid w:val="002D2E39"/>
    <w:rsid w:val="002D3403"/>
    <w:rsid w:val="002D377E"/>
    <w:rsid w:val="002D38EB"/>
    <w:rsid w:val="002D3989"/>
    <w:rsid w:val="002D3D72"/>
    <w:rsid w:val="002D3E0C"/>
    <w:rsid w:val="002D4027"/>
    <w:rsid w:val="002D4363"/>
    <w:rsid w:val="002D4D4F"/>
    <w:rsid w:val="002D4FEA"/>
    <w:rsid w:val="002D594D"/>
    <w:rsid w:val="002D5AD0"/>
    <w:rsid w:val="002D5C4C"/>
    <w:rsid w:val="002D5CEF"/>
    <w:rsid w:val="002D5F65"/>
    <w:rsid w:val="002D64DD"/>
    <w:rsid w:val="002D68E5"/>
    <w:rsid w:val="002E0E4A"/>
    <w:rsid w:val="002E1C57"/>
    <w:rsid w:val="002E1E23"/>
    <w:rsid w:val="002E4052"/>
    <w:rsid w:val="002E4758"/>
    <w:rsid w:val="002E4B17"/>
    <w:rsid w:val="002E53EF"/>
    <w:rsid w:val="002E5483"/>
    <w:rsid w:val="002E55D3"/>
    <w:rsid w:val="002E6581"/>
    <w:rsid w:val="002E759D"/>
    <w:rsid w:val="002E7A65"/>
    <w:rsid w:val="002F015D"/>
    <w:rsid w:val="002F039F"/>
    <w:rsid w:val="002F0C5F"/>
    <w:rsid w:val="002F112F"/>
    <w:rsid w:val="002F29C3"/>
    <w:rsid w:val="002F37BE"/>
    <w:rsid w:val="002F38A8"/>
    <w:rsid w:val="002F38E4"/>
    <w:rsid w:val="002F5600"/>
    <w:rsid w:val="002F69D0"/>
    <w:rsid w:val="002F73E7"/>
    <w:rsid w:val="002F7F9C"/>
    <w:rsid w:val="003007C7"/>
    <w:rsid w:val="00300F00"/>
    <w:rsid w:val="00301024"/>
    <w:rsid w:val="003015A9"/>
    <w:rsid w:val="00301877"/>
    <w:rsid w:val="0030249C"/>
    <w:rsid w:val="00302566"/>
    <w:rsid w:val="0030264E"/>
    <w:rsid w:val="00302796"/>
    <w:rsid w:val="00303A67"/>
    <w:rsid w:val="003042EC"/>
    <w:rsid w:val="003042ED"/>
    <w:rsid w:val="00304573"/>
    <w:rsid w:val="00304745"/>
    <w:rsid w:val="00305920"/>
    <w:rsid w:val="00305F17"/>
    <w:rsid w:val="00307A37"/>
    <w:rsid w:val="00310D53"/>
    <w:rsid w:val="003116EF"/>
    <w:rsid w:val="003133AE"/>
    <w:rsid w:val="003133CA"/>
    <w:rsid w:val="00313768"/>
    <w:rsid w:val="00313BBD"/>
    <w:rsid w:val="0031410A"/>
    <w:rsid w:val="00314B90"/>
    <w:rsid w:val="00314CF5"/>
    <w:rsid w:val="00314F07"/>
    <w:rsid w:val="00315060"/>
    <w:rsid w:val="00315F01"/>
    <w:rsid w:val="0032032A"/>
    <w:rsid w:val="0032198F"/>
    <w:rsid w:val="00321A54"/>
    <w:rsid w:val="003230A6"/>
    <w:rsid w:val="003235DE"/>
    <w:rsid w:val="00323700"/>
    <w:rsid w:val="00324DA0"/>
    <w:rsid w:val="003253DF"/>
    <w:rsid w:val="003255E2"/>
    <w:rsid w:val="00325858"/>
    <w:rsid w:val="00325D19"/>
    <w:rsid w:val="00325E6D"/>
    <w:rsid w:val="003277BA"/>
    <w:rsid w:val="0033001F"/>
    <w:rsid w:val="00330025"/>
    <w:rsid w:val="00330AF9"/>
    <w:rsid w:val="00330BB9"/>
    <w:rsid w:val="00330C89"/>
    <w:rsid w:val="00330CC5"/>
    <w:rsid w:val="0033102A"/>
    <w:rsid w:val="00331AF4"/>
    <w:rsid w:val="00332D57"/>
    <w:rsid w:val="00332E80"/>
    <w:rsid w:val="0033414C"/>
    <w:rsid w:val="00334E0F"/>
    <w:rsid w:val="00335099"/>
    <w:rsid w:val="003350BE"/>
    <w:rsid w:val="00335232"/>
    <w:rsid w:val="003368B1"/>
    <w:rsid w:val="00337A0F"/>
    <w:rsid w:val="0034025A"/>
    <w:rsid w:val="003402A7"/>
    <w:rsid w:val="00342233"/>
    <w:rsid w:val="00342BB6"/>
    <w:rsid w:val="00343BA7"/>
    <w:rsid w:val="00343F05"/>
    <w:rsid w:val="00344080"/>
    <w:rsid w:val="0034486F"/>
    <w:rsid w:val="00344A26"/>
    <w:rsid w:val="00345278"/>
    <w:rsid w:val="00345916"/>
    <w:rsid w:val="0034594E"/>
    <w:rsid w:val="00345977"/>
    <w:rsid w:val="00345F13"/>
    <w:rsid w:val="00346626"/>
    <w:rsid w:val="003475B4"/>
    <w:rsid w:val="003502CE"/>
    <w:rsid w:val="003506E9"/>
    <w:rsid w:val="00351A93"/>
    <w:rsid w:val="00352386"/>
    <w:rsid w:val="00352A62"/>
    <w:rsid w:val="003530A7"/>
    <w:rsid w:val="003535E6"/>
    <w:rsid w:val="00353854"/>
    <w:rsid w:val="0035390D"/>
    <w:rsid w:val="00354724"/>
    <w:rsid w:val="00354E7A"/>
    <w:rsid w:val="00354F42"/>
    <w:rsid w:val="003553BF"/>
    <w:rsid w:val="0035582F"/>
    <w:rsid w:val="00355857"/>
    <w:rsid w:val="00356CF8"/>
    <w:rsid w:val="0035738E"/>
    <w:rsid w:val="003573D2"/>
    <w:rsid w:val="0036081D"/>
    <w:rsid w:val="003626D2"/>
    <w:rsid w:val="00362B80"/>
    <w:rsid w:val="00363608"/>
    <w:rsid w:val="003637C2"/>
    <w:rsid w:val="0036401D"/>
    <w:rsid w:val="00364703"/>
    <w:rsid w:val="00364C3D"/>
    <w:rsid w:val="00365AF0"/>
    <w:rsid w:val="00365D8C"/>
    <w:rsid w:val="003669BC"/>
    <w:rsid w:val="00366EEA"/>
    <w:rsid w:val="003675E4"/>
    <w:rsid w:val="00367B01"/>
    <w:rsid w:val="003700B6"/>
    <w:rsid w:val="0037124A"/>
    <w:rsid w:val="00371989"/>
    <w:rsid w:val="00371BF8"/>
    <w:rsid w:val="00372542"/>
    <w:rsid w:val="003728C7"/>
    <w:rsid w:val="00373B74"/>
    <w:rsid w:val="0037472E"/>
    <w:rsid w:val="00374C88"/>
    <w:rsid w:val="00374E5E"/>
    <w:rsid w:val="003756FF"/>
    <w:rsid w:val="003765E5"/>
    <w:rsid w:val="003769D6"/>
    <w:rsid w:val="00376F0D"/>
    <w:rsid w:val="00377A58"/>
    <w:rsid w:val="00377EF9"/>
    <w:rsid w:val="00380C2A"/>
    <w:rsid w:val="00380E27"/>
    <w:rsid w:val="00380E99"/>
    <w:rsid w:val="00381BCF"/>
    <w:rsid w:val="00382B41"/>
    <w:rsid w:val="00383158"/>
    <w:rsid w:val="00383561"/>
    <w:rsid w:val="00383E5C"/>
    <w:rsid w:val="00384413"/>
    <w:rsid w:val="0038754B"/>
    <w:rsid w:val="003876A1"/>
    <w:rsid w:val="00387703"/>
    <w:rsid w:val="003906A1"/>
    <w:rsid w:val="00391088"/>
    <w:rsid w:val="00391797"/>
    <w:rsid w:val="00391C5B"/>
    <w:rsid w:val="00392059"/>
    <w:rsid w:val="003923E5"/>
    <w:rsid w:val="00392439"/>
    <w:rsid w:val="00392E57"/>
    <w:rsid w:val="003931E6"/>
    <w:rsid w:val="00394CC4"/>
    <w:rsid w:val="0039511C"/>
    <w:rsid w:val="003951A1"/>
    <w:rsid w:val="003953FE"/>
    <w:rsid w:val="00395C81"/>
    <w:rsid w:val="00395DF8"/>
    <w:rsid w:val="0039625C"/>
    <w:rsid w:val="003963A8"/>
    <w:rsid w:val="003972B1"/>
    <w:rsid w:val="00397A35"/>
    <w:rsid w:val="00397FE4"/>
    <w:rsid w:val="003A0129"/>
    <w:rsid w:val="003A018F"/>
    <w:rsid w:val="003A0315"/>
    <w:rsid w:val="003A0B1A"/>
    <w:rsid w:val="003A0D42"/>
    <w:rsid w:val="003A0D46"/>
    <w:rsid w:val="003A1974"/>
    <w:rsid w:val="003A205F"/>
    <w:rsid w:val="003A2287"/>
    <w:rsid w:val="003A2B20"/>
    <w:rsid w:val="003A32D0"/>
    <w:rsid w:val="003A4365"/>
    <w:rsid w:val="003A49BA"/>
    <w:rsid w:val="003A5C4C"/>
    <w:rsid w:val="003A5DE0"/>
    <w:rsid w:val="003A5F45"/>
    <w:rsid w:val="003A7E7E"/>
    <w:rsid w:val="003A7F66"/>
    <w:rsid w:val="003B07FA"/>
    <w:rsid w:val="003B087D"/>
    <w:rsid w:val="003B097B"/>
    <w:rsid w:val="003B193D"/>
    <w:rsid w:val="003B1AA8"/>
    <w:rsid w:val="003B26D9"/>
    <w:rsid w:val="003B2AD9"/>
    <w:rsid w:val="003B33A0"/>
    <w:rsid w:val="003B37ED"/>
    <w:rsid w:val="003B3F74"/>
    <w:rsid w:val="003B4F11"/>
    <w:rsid w:val="003B509F"/>
    <w:rsid w:val="003B5937"/>
    <w:rsid w:val="003B5BAD"/>
    <w:rsid w:val="003B5F74"/>
    <w:rsid w:val="003B71DE"/>
    <w:rsid w:val="003B7438"/>
    <w:rsid w:val="003B7A7F"/>
    <w:rsid w:val="003B7AEE"/>
    <w:rsid w:val="003B7CA8"/>
    <w:rsid w:val="003B7CE6"/>
    <w:rsid w:val="003C08E5"/>
    <w:rsid w:val="003C1704"/>
    <w:rsid w:val="003C170F"/>
    <w:rsid w:val="003C2BB7"/>
    <w:rsid w:val="003C39F5"/>
    <w:rsid w:val="003C4678"/>
    <w:rsid w:val="003C470F"/>
    <w:rsid w:val="003C4C9C"/>
    <w:rsid w:val="003C56DC"/>
    <w:rsid w:val="003C5FC8"/>
    <w:rsid w:val="003C700A"/>
    <w:rsid w:val="003C7779"/>
    <w:rsid w:val="003D08B8"/>
    <w:rsid w:val="003D0EEE"/>
    <w:rsid w:val="003D177D"/>
    <w:rsid w:val="003D202B"/>
    <w:rsid w:val="003D27F2"/>
    <w:rsid w:val="003D2AD0"/>
    <w:rsid w:val="003D2BDE"/>
    <w:rsid w:val="003D371B"/>
    <w:rsid w:val="003D3BA1"/>
    <w:rsid w:val="003D439B"/>
    <w:rsid w:val="003D4BA0"/>
    <w:rsid w:val="003D5038"/>
    <w:rsid w:val="003D512E"/>
    <w:rsid w:val="003D5947"/>
    <w:rsid w:val="003D5E06"/>
    <w:rsid w:val="003D5EF4"/>
    <w:rsid w:val="003D642A"/>
    <w:rsid w:val="003D6715"/>
    <w:rsid w:val="003D753B"/>
    <w:rsid w:val="003D79EB"/>
    <w:rsid w:val="003E0652"/>
    <w:rsid w:val="003E1CF7"/>
    <w:rsid w:val="003E38C6"/>
    <w:rsid w:val="003E3AF2"/>
    <w:rsid w:val="003E44DB"/>
    <w:rsid w:val="003E4947"/>
    <w:rsid w:val="003E4952"/>
    <w:rsid w:val="003E4C4D"/>
    <w:rsid w:val="003E626F"/>
    <w:rsid w:val="003E629B"/>
    <w:rsid w:val="003E74C7"/>
    <w:rsid w:val="003E798A"/>
    <w:rsid w:val="003E7D38"/>
    <w:rsid w:val="003F1695"/>
    <w:rsid w:val="003F2814"/>
    <w:rsid w:val="003F29FC"/>
    <w:rsid w:val="003F631E"/>
    <w:rsid w:val="003F6F47"/>
    <w:rsid w:val="004000FB"/>
    <w:rsid w:val="00400445"/>
    <w:rsid w:val="00400544"/>
    <w:rsid w:val="0040107A"/>
    <w:rsid w:val="0040175C"/>
    <w:rsid w:val="004028B0"/>
    <w:rsid w:val="00402A0C"/>
    <w:rsid w:val="004033C1"/>
    <w:rsid w:val="00404224"/>
    <w:rsid w:val="00405B98"/>
    <w:rsid w:val="004061F2"/>
    <w:rsid w:val="00406587"/>
    <w:rsid w:val="00410B74"/>
    <w:rsid w:val="00411089"/>
    <w:rsid w:val="00411354"/>
    <w:rsid w:val="0041135C"/>
    <w:rsid w:val="0041148A"/>
    <w:rsid w:val="0041268F"/>
    <w:rsid w:val="00412F03"/>
    <w:rsid w:val="00413AF6"/>
    <w:rsid w:val="0041559B"/>
    <w:rsid w:val="0041561B"/>
    <w:rsid w:val="0041742D"/>
    <w:rsid w:val="00417B32"/>
    <w:rsid w:val="00417E60"/>
    <w:rsid w:val="00417FDA"/>
    <w:rsid w:val="0042074E"/>
    <w:rsid w:val="00421014"/>
    <w:rsid w:val="00421D1B"/>
    <w:rsid w:val="004227BA"/>
    <w:rsid w:val="00423995"/>
    <w:rsid w:val="004239D2"/>
    <w:rsid w:val="004257B0"/>
    <w:rsid w:val="00425AD9"/>
    <w:rsid w:val="00425D3E"/>
    <w:rsid w:val="00425D42"/>
    <w:rsid w:val="00426AB9"/>
    <w:rsid w:val="00427B42"/>
    <w:rsid w:val="00430471"/>
    <w:rsid w:val="004305E2"/>
    <w:rsid w:val="00430ADC"/>
    <w:rsid w:val="00431742"/>
    <w:rsid w:val="00431758"/>
    <w:rsid w:val="00431770"/>
    <w:rsid w:val="00431A01"/>
    <w:rsid w:val="00432211"/>
    <w:rsid w:val="0043224D"/>
    <w:rsid w:val="00432E39"/>
    <w:rsid w:val="004336EC"/>
    <w:rsid w:val="00433875"/>
    <w:rsid w:val="00434056"/>
    <w:rsid w:val="00434E99"/>
    <w:rsid w:val="00435012"/>
    <w:rsid w:val="0043549A"/>
    <w:rsid w:val="00435855"/>
    <w:rsid w:val="00435E43"/>
    <w:rsid w:val="00436776"/>
    <w:rsid w:val="004368A7"/>
    <w:rsid w:val="00437565"/>
    <w:rsid w:val="0044046C"/>
    <w:rsid w:val="00440473"/>
    <w:rsid w:val="004421CD"/>
    <w:rsid w:val="0044274A"/>
    <w:rsid w:val="00443261"/>
    <w:rsid w:val="00443FD5"/>
    <w:rsid w:val="00443FE8"/>
    <w:rsid w:val="00444271"/>
    <w:rsid w:val="004445A3"/>
    <w:rsid w:val="00444927"/>
    <w:rsid w:val="004452FB"/>
    <w:rsid w:val="00445EF3"/>
    <w:rsid w:val="00446A38"/>
    <w:rsid w:val="00446A7A"/>
    <w:rsid w:val="00447694"/>
    <w:rsid w:val="00450B7B"/>
    <w:rsid w:val="00450F59"/>
    <w:rsid w:val="00451386"/>
    <w:rsid w:val="0045156E"/>
    <w:rsid w:val="0045192C"/>
    <w:rsid w:val="00451EC5"/>
    <w:rsid w:val="00451F3A"/>
    <w:rsid w:val="00452A7C"/>
    <w:rsid w:val="00452B1B"/>
    <w:rsid w:val="00452E54"/>
    <w:rsid w:val="00453085"/>
    <w:rsid w:val="00454309"/>
    <w:rsid w:val="0045542A"/>
    <w:rsid w:val="00455594"/>
    <w:rsid w:val="00455DEB"/>
    <w:rsid w:val="0045608B"/>
    <w:rsid w:val="00456119"/>
    <w:rsid w:val="00456B74"/>
    <w:rsid w:val="004604BD"/>
    <w:rsid w:val="004616AF"/>
    <w:rsid w:val="00461FA5"/>
    <w:rsid w:val="00462DA2"/>
    <w:rsid w:val="0046357F"/>
    <w:rsid w:val="00463C2A"/>
    <w:rsid w:val="00463CFB"/>
    <w:rsid w:val="00464E04"/>
    <w:rsid w:val="00464E53"/>
    <w:rsid w:val="00464E8F"/>
    <w:rsid w:val="00465270"/>
    <w:rsid w:val="00465962"/>
    <w:rsid w:val="00466535"/>
    <w:rsid w:val="00467434"/>
    <w:rsid w:val="00467BD9"/>
    <w:rsid w:val="00467EF9"/>
    <w:rsid w:val="004700FA"/>
    <w:rsid w:val="0047055F"/>
    <w:rsid w:val="0047201E"/>
    <w:rsid w:val="004723C5"/>
    <w:rsid w:val="00473D3B"/>
    <w:rsid w:val="00474A2F"/>
    <w:rsid w:val="00474C3F"/>
    <w:rsid w:val="00475928"/>
    <w:rsid w:val="00475F83"/>
    <w:rsid w:val="004761C4"/>
    <w:rsid w:val="004761EB"/>
    <w:rsid w:val="004768C4"/>
    <w:rsid w:val="004772DE"/>
    <w:rsid w:val="0048007E"/>
    <w:rsid w:val="0048191D"/>
    <w:rsid w:val="00481DD2"/>
    <w:rsid w:val="0048226A"/>
    <w:rsid w:val="004825EF"/>
    <w:rsid w:val="00482772"/>
    <w:rsid w:val="0048469A"/>
    <w:rsid w:val="004855FB"/>
    <w:rsid w:val="004856B5"/>
    <w:rsid w:val="0048667C"/>
    <w:rsid w:val="00487CAD"/>
    <w:rsid w:val="0049120C"/>
    <w:rsid w:val="0049155F"/>
    <w:rsid w:val="00492338"/>
    <w:rsid w:val="0049239B"/>
    <w:rsid w:val="004928C3"/>
    <w:rsid w:val="004928ED"/>
    <w:rsid w:val="00493633"/>
    <w:rsid w:val="00494375"/>
    <w:rsid w:val="0049450C"/>
    <w:rsid w:val="004947C6"/>
    <w:rsid w:val="004948DE"/>
    <w:rsid w:val="00495608"/>
    <w:rsid w:val="00496829"/>
    <w:rsid w:val="00497CB1"/>
    <w:rsid w:val="004A0102"/>
    <w:rsid w:val="004A086D"/>
    <w:rsid w:val="004A0EE0"/>
    <w:rsid w:val="004A1647"/>
    <w:rsid w:val="004A1ED7"/>
    <w:rsid w:val="004A2469"/>
    <w:rsid w:val="004A2763"/>
    <w:rsid w:val="004A2C9F"/>
    <w:rsid w:val="004A42FB"/>
    <w:rsid w:val="004A4565"/>
    <w:rsid w:val="004A5AB1"/>
    <w:rsid w:val="004A6338"/>
    <w:rsid w:val="004A66BE"/>
    <w:rsid w:val="004A6806"/>
    <w:rsid w:val="004A692F"/>
    <w:rsid w:val="004A6A50"/>
    <w:rsid w:val="004A6E95"/>
    <w:rsid w:val="004A759C"/>
    <w:rsid w:val="004A78C0"/>
    <w:rsid w:val="004A7BA8"/>
    <w:rsid w:val="004A7D73"/>
    <w:rsid w:val="004A7ECB"/>
    <w:rsid w:val="004B1B8A"/>
    <w:rsid w:val="004B2274"/>
    <w:rsid w:val="004B2D23"/>
    <w:rsid w:val="004B35F4"/>
    <w:rsid w:val="004B392D"/>
    <w:rsid w:val="004B3E77"/>
    <w:rsid w:val="004B3E7C"/>
    <w:rsid w:val="004B6A39"/>
    <w:rsid w:val="004B6CCA"/>
    <w:rsid w:val="004B7BB3"/>
    <w:rsid w:val="004B7BC7"/>
    <w:rsid w:val="004B7F3C"/>
    <w:rsid w:val="004C09FC"/>
    <w:rsid w:val="004C0F2F"/>
    <w:rsid w:val="004C1498"/>
    <w:rsid w:val="004C1E85"/>
    <w:rsid w:val="004C2069"/>
    <w:rsid w:val="004C2A5C"/>
    <w:rsid w:val="004C2DE6"/>
    <w:rsid w:val="004C30BE"/>
    <w:rsid w:val="004C3B0E"/>
    <w:rsid w:val="004C45E6"/>
    <w:rsid w:val="004C467F"/>
    <w:rsid w:val="004C4B8F"/>
    <w:rsid w:val="004C5250"/>
    <w:rsid w:val="004C5512"/>
    <w:rsid w:val="004C574A"/>
    <w:rsid w:val="004C5E6D"/>
    <w:rsid w:val="004C6590"/>
    <w:rsid w:val="004C666D"/>
    <w:rsid w:val="004C6D6F"/>
    <w:rsid w:val="004C6E58"/>
    <w:rsid w:val="004C7028"/>
    <w:rsid w:val="004D0C3C"/>
    <w:rsid w:val="004D17D1"/>
    <w:rsid w:val="004D1B50"/>
    <w:rsid w:val="004D1F16"/>
    <w:rsid w:val="004D299F"/>
    <w:rsid w:val="004D339B"/>
    <w:rsid w:val="004D33D8"/>
    <w:rsid w:val="004D3503"/>
    <w:rsid w:val="004D36B1"/>
    <w:rsid w:val="004D38C6"/>
    <w:rsid w:val="004D3A27"/>
    <w:rsid w:val="004D4193"/>
    <w:rsid w:val="004D4C90"/>
    <w:rsid w:val="004D4E34"/>
    <w:rsid w:val="004D609D"/>
    <w:rsid w:val="004D70F5"/>
    <w:rsid w:val="004D75C1"/>
    <w:rsid w:val="004D7E76"/>
    <w:rsid w:val="004E02ED"/>
    <w:rsid w:val="004E044D"/>
    <w:rsid w:val="004E0A90"/>
    <w:rsid w:val="004E1914"/>
    <w:rsid w:val="004E255E"/>
    <w:rsid w:val="004E2BBC"/>
    <w:rsid w:val="004E30F3"/>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348"/>
    <w:rsid w:val="004F4957"/>
    <w:rsid w:val="004F5749"/>
    <w:rsid w:val="004F5F41"/>
    <w:rsid w:val="004F62FD"/>
    <w:rsid w:val="004F7437"/>
    <w:rsid w:val="004F78C8"/>
    <w:rsid w:val="00500C6D"/>
    <w:rsid w:val="00501129"/>
    <w:rsid w:val="00501843"/>
    <w:rsid w:val="005037C0"/>
    <w:rsid w:val="00505F3B"/>
    <w:rsid w:val="005061D7"/>
    <w:rsid w:val="00506252"/>
    <w:rsid w:val="00506C39"/>
    <w:rsid w:val="00506EC2"/>
    <w:rsid w:val="0050720C"/>
    <w:rsid w:val="00507F1B"/>
    <w:rsid w:val="00510FD9"/>
    <w:rsid w:val="00511A34"/>
    <w:rsid w:val="00511E5D"/>
    <w:rsid w:val="00513420"/>
    <w:rsid w:val="005134BB"/>
    <w:rsid w:val="005138FC"/>
    <w:rsid w:val="00513B95"/>
    <w:rsid w:val="00513BE1"/>
    <w:rsid w:val="00513F8B"/>
    <w:rsid w:val="00514167"/>
    <w:rsid w:val="00514668"/>
    <w:rsid w:val="00514865"/>
    <w:rsid w:val="005149DB"/>
    <w:rsid w:val="0051519E"/>
    <w:rsid w:val="005159F5"/>
    <w:rsid w:val="00515FC2"/>
    <w:rsid w:val="00516518"/>
    <w:rsid w:val="00516E41"/>
    <w:rsid w:val="00517822"/>
    <w:rsid w:val="005206D5"/>
    <w:rsid w:val="00521608"/>
    <w:rsid w:val="005217ED"/>
    <w:rsid w:val="00521BBB"/>
    <w:rsid w:val="00521D66"/>
    <w:rsid w:val="00522085"/>
    <w:rsid w:val="005228A3"/>
    <w:rsid w:val="00522C07"/>
    <w:rsid w:val="00522C4F"/>
    <w:rsid w:val="00522F16"/>
    <w:rsid w:val="00523062"/>
    <w:rsid w:val="00523348"/>
    <w:rsid w:val="00523A21"/>
    <w:rsid w:val="00524122"/>
    <w:rsid w:val="00524FF2"/>
    <w:rsid w:val="00525226"/>
    <w:rsid w:val="0052574F"/>
    <w:rsid w:val="00526466"/>
    <w:rsid w:val="005271BF"/>
    <w:rsid w:val="00527C58"/>
    <w:rsid w:val="00527CC7"/>
    <w:rsid w:val="00530352"/>
    <w:rsid w:val="005307B5"/>
    <w:rsid w:val="00530DF9"/>
    <w:rsid w:val="00531281"/>
    <w:rsid w:val="00531654"/>
    <w:rsid w:val="00531AAA"/>
    <w:rsid w:val="00531D90"/>
    <w:rsid w:val="0053246E"/>
    <w:rsid w:val="00533430"/>
    <w:rsid w:val="00534411"/>
    <w:rsid w:val="00534A34"/>
    <w:rsid w:val="00534BD4"/>
    <w:rsid w:val="00535E8C"/>
    <w:rsid w:val="00536027"/>
    <w:rsid w:val="005364BF"/>
    <w:rsid w:val="005365AB"/>
    <w:rsid w:val="00536882"/>
    <w:rsid w:val="00536BC0"/>
    <w:rsid w:val="00536EA8"/>
    <w:rsid w:val="00537916"/>
    <w:rsid w:val="0053796E"/>
    <w:rsid w:val="00537EE5"/>
    <w:rsid w:val="00540936"/>
    <w:rsid w:val="0054141A"/>
    <w:rsid w:val="0054147B"/>
    <w:rsid w:val="00541CB0"/>
    <w:rsid w:val="00543862"/>
    <w:rsid w:val="00543B27"/>
    <w:rsid w:val="005444A8"/>
    <w:rsid w:val="00545746"/>
    <w:rsid w:val="00545A14"/>
    <w:rsid w:val="00545DEC"/>
    <w:rsid w:val="00546472"/>
    <w:rsid w:val="005466D0"/>
    <w:rsid w:val="0054689F"/>
    <w:rsid w:val="00547841"/>
    <w:rsid w:val="00547D1F"/>
    <w:rsid w:val="005512E3"/>
    <w:rsid w:val="005512EC"/>
    <w:rsid w:val="00551B7D"/>
    <w:rsid w:val="00551D10"/>
    <w:rsid w:val="005531B3"/>
    <w:rsid w:val="00553522"/>
    <w:rsid w:val="005539D6"/>
    <w:rsid w:val="005546E0"/>
    <w:rsid w:val="00555473"/>
    <w:rsid w:val="0055556A"/>
    <w:rsid w:val="005557D3"/>
    <w:rsid w:val="005562F1"/>
    <w:rsid w:val="0055662F"/>
    <w:rsid w:val="0055710E"/>
    <w:rsid w:val="005572AD"/>
    <w:rsid w:val="0055746A"/>
    <w:rsid w:val="00561A33"/>
    <w:rsid w:val="00561B91"/>
    <w:rsid w:val="00561C39"/>
    <w:rsid w:val="00562267"/>
    <w:rsid w:val="00562F60"/>
    <w:rsid w:val="005654BB"/>
    <w:rsid w:val="0056631F"/>
    <w:rsid w:val="00566611"/>
    <w:rsid w:val="00567ED4"/>
    <w:rsid w:val="005717C1"/>
    <w:rsid w:val="00571B83"/>
    <w:rsid w:val="00571CDC"/>
    <w:rsid w:val="00571EE6"/>
    <w:rsid w:val="00572289"/>
    <w:rsid w:val="00572842"/>
    <w:rsid w:val="005728E6"/>
    <w:rsid w:val="00572C83"/>
    <w:rsid w:val="00572D68"/>
    <w:rsid w:val="00572E5D"/>
    <w:rsid w:val="00573100"/>
    <w:rsid w:val="00573780"/>
    <w:rsid w:val="00573D94"/>
    <w:rsid w:val="00573F40"/>
    <w:rsid w:val="0057428C"/>
    <w:rsid w:val="0057441C"/>
    <w:rsid w:val="00574FBA"/>
    <w:rsid w:val="00575DA1"/>
    <w:rsid w:val="00575EBA"/>
    <w:rsid w:val="00575EEF"/>
    <w:rsid w:val="0057620E"/>
    <w:rsid w:val="005767D5"/>
    <w:rsid w:val="00576A2C"/>
    <w:rsid w:val="0057709A"/>
    <w:rsid w:val="00580400"/>
    <w:rsid w:val="00580EB5"/>
    <w:rsid w:val="00580F71"/>
    <w:rsid w:val="005812EB"/>
    <w:rsid w:val="00581AAE"/>
    <w:rsid w:val="00581EFA"/>
    <w:rsid w:val="0058263A"/>
    <w:rsid w:val="00582BAE"/>
    <w:rsid w:val="00582D38"/>
    <w:rsid w:val="005838C2"/>
    <w:rsid w:val="00583BC3"/>
    <w:rsid w:val="0058495D"/>
    <w:rsid w:val="0058587F"/>
    <w:rsid w:val="005863DB"/>
    <w:rsid w:val="005869A2"/>
    <w:rsid w:val="005871E5"/>
    <w:rsid w:val="00587DF0"/>
    <w:rsid w:val="005904DB"/>
    <w:rsid w:val="00590F19"/>
    <w:rsid w:val="00591175"/>
    <w:rsid w:val="00591586"/>
    <w:rsid w:val="00591ACD"/>
    <w:rsid w:val="00591D72"/>
    <w:rsid w:val="005920D1"/>
    <w:rsid w:val="00592F68"/>
    <w:rsid w:val="005932F8"/>
    <w:rsid w:val="00593711"/>
    <w:rsid w:val="0059379C"/>
    <w:rsid w:val="00593A06"/>
    <w:rsid w:val="00593B09"/>
    <w:rsid w:val="00593EB2"/>
    <w:rsid w:val="00594025"/>
    <w:rsid w:val="00594953"/>
    <w:rsid w:val="00595362"/>
    <w:rsid w:val="00595BB1"/>
    <w:rsid w:val="00596250"/>
    <w:rsid w:val="00596A82"/>
    <w:rsid w:val="00597892"/>
    <w:rsid w:val="005979C3"/>
    <w:rsid w:val="005A0173"/>
    <w:rsid w:val="005A0DCA"/>
    <w:rsid w:val="005A0EAF"/>
    <w:rsid w:val="005A0F89"/>
    <w:rsid w:val="005A14C6"/>
    <w:rsid w:val="005A1574"/>
    <w:rsid w:val="005A1B14"/>
    <w:rsid w:val="005A3156"/>
    <w:rsid w:val="005A3482"/>
    <w:rsid w:val="005A3A84"/>
    <w:rsid w:val="005A3DAE"/>
    <w:rsid w:val="005A43EB"/>
    <w:rsid w:val="005A47B4"/>
    <w:rsid w:val="005A5D55"/>
    <w:rsid w:val="005A5FBA"/>
    <w:rsid w:val="005A6104"/>
    <w:rsid w:val="005A6641"/>
    <w:rsid w:val="005B0936"/>
    <w:rsid w:val="005B0CB9"/>
    <w:rsid w:val="005B0F5F"/>
    <w:rsid w:val="005B1085"/>
    <w:rsid w:val="005B1AEB"/>
    <w:rsid w:val="005B2F8F"/>
    <w:rsid w:val="005B4460"/>
    <w:rsid w:val="005B50C5"/>
    <w:rsid w:val="005B527D"/>
    <w:rsid w:val="005B5B8A"/>
    <w:rsid w:val="005B5F74"/>
    <w:rsid w:val="005B66C4"/>
    <w:rsid w:val="005B6B93"/>
    <w:rsid w:val="005B6BF9"/>
    <w:rsid w:val="005B6E45"/>
    <w:rsid w:val="005B7806"/>
    <w:rsid w:val="005B7A15"/>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0A2"/>
    <w:rsid w:val="005C64AA"/>
    <w:rsid w:val="005C6C62"/>
    <w:rsid w:val="005C6E20"/>
    <w:rsid w:val="005C6FF6"/>
    <w:rsid w:val="005D04AD"/>
    <w:rsid w:val="005D1544"/>
    <w:rsid w:val="005D2E70"/>
    <w:rsid w:val="005D39EF"/>
    <w:rsid w:val="005D3EFE"/>
    <w:rsid w:val="005D4333"/>
    <w:rsid w:val="005D56ED"/>
    <w:rsid w:val="005D5921"/>
    <w:rsid w:val="005D6A6A"/>
    <w:rsid w:val="005D7E7F"/>
    <w:rsid w:val="005E025F"/>
    <w:rsid w:val="005E0CB3"/>
    <w:rsid w:val="005E1856"/>
    <w:rsid w:val="005E188A"/>
    <w:rsid w:val="005E18C8"/>
    <w:rsid w:val="005E1AF1"/>
    <w:rsid w:val="005E21DC"/>
    <w:rsid w:val="005E2FD6"/>
    <w:rsid w:val="005E30AA"/>
    <w:rsid w:val="005E33D0"/>
    <w:rsid w:val="005E359F"/>
    <w:rsid w:val="005E36F2"/>
    <w:rsid w:val="005E474F"/>
    <w:rsid w:val="005E47A2"/>
    <w:rsid w:val="005E4DDA"/>
    <w:rsid w:val="005E51D7"/>
    <w:rsid w:val="005E600B"/>
    <w:rsid w:val="005E6683"/>
    <w:rsid w:val="005E6F92"/>
    <w:rsid w:val="005E7099"/>
    <w:rsid w:val="005E7D45"/>
    <w:rsid w:val="005E7E4A"/>
    <w:rsid w:val="005E7FD2"/>
    <w:rsid w:val="005F000A"/>
    <w:rsid w:val="005F00AE"/>
    <w:rsid w:val="005F068B"/>
    <w:rsid w:val="005F0BDA"/>
    <w:rsid w:val="005F0C1E"/>
    <w:rsid w:val="005F20CC"/>
    <w:rsid w:val="005F2236"/>
    <w:rsid w:val="005F2803"/>
    <w:rsid w:val="005F2929"/>
    <w:rsid w:val="005F293C"/>
    <w:rsid w:val="005F2DA8"/>
    <w:rsid w:val="005F353C"/>
    <w:rsid w:val="005F416E"/>
    <w:rsid w:val="005F4D43"/>
    <w:rsid w:val="005F562C"/>
    <w:rsid w:val="005F5F4E"/>
    <w:rsid w:val="005F64D9"/>
    <w:rsid w:val="005F7132"/>
    <w:rsid w:val="00600690"/>
    <w:rsid w:val="00600D28"/>
    <w:rsid w:val="0060208D"/>
    <w:rsid w:val="0060231E"/>
    <w:rsid w:val="00602398"/>
    <w:rsid w:val="006033F9"/>
    <w:rsid w:val="00603454"/>
    <w:rsid w:val="0060394D"/>
    <w:rsid w:val="00603977"/>
    <w:rsid w:val="00603FA8"/>
    <w:rsid w:val="0060441F"/>
    <w:rsid w:val="0060549A"/>
    <w:rsid w:val="006058E2"/>
    <w:rsid w:val="00605BDD"/>
    <w:rsid w:val="00606420"/>
    <w:rsid w:val="00606442"/>
    <w:rsid w:val="00606791"/>
    <w:rsid w:val="0061098E"/>
    <w:rsid w:val="00610AE3"/>
    <w:rsid w:val="00610E34"/>
    <w:rsid w:val="00610E52"/>
    <w:rsid w:val="00611227"/>
    <w:rsid w:val="006112E2"/>
    <w:rsid w:val="006117F6"/>
    <w:rsid w:val="006118C1"/>
    <w:rsid w:val="00611A66"/>
    <w:rsid w:val="00611BCF"/>
    <w:rsid w:val="00611EEF"/>
    <w:rsid w:val="006137D9"/>
    <w:rsid w:val="006139B8"/>
    <w:rsid w:val="00614253"/>
    <w:rsid w:val="006147E0"/>
    <w:rsid w:val="00615251"/>
    <w:rsid w:val="0061548E"/>
    <w:rsid w:val="006156F7"/>
    <w:rsid w:val="00615C79"/>
    <w:rsid w:val="00616416"/>
    <w:rsid w:val="00616DFC"/>
    <w:rsid w:val="006176C5"/>
    <w:rsid w:val="0062024B"/>
    <w:rsid w:val="0062037B"/>
    <w:rsid w:val="00620A3F"/>
    <w:rsid w:val="00621E29"/>
    <w:rsid w:val="00622643"/>
    <w:rsid w:val="00623D31"/>
    <w:rsid w:val="006251E3"/>
    <w:rsid w:val="0062553E"/>
    <w:rsid w:val="00625FD7"/>
    <w:rsid w:val="006263CC"/>
    <w:rsid w:val="00626605"/>
    <w:rsid w:val="006266B4"/>
    <w:rsid w:val="00627B4F"/>
    <w:rsid w:val="00630546"/>
    <w:rsid w:val="00630591"/>
    <w:rsid w:val="006310F2"/>
    <w:rsid w:val="006312EF"/>
    <w:rsid w:val="006317EB"/>
    <w:rsid w:val="00631A10"/>
    <w:rsid w:val="00632CE9"/>
    <w:rsid w:val="00633592"/>
    <w:rsid w:val="006335DC"/>
    <w:rsid w:val="00633A8A"/>
    <w:rsid w:val="006340A5"/>
    <w:rsid w:val="00634243"/>
    <w:rsid w:val="00634729"/>
    <w:rsid w:val="00634A59"/>
    <w:rsid w:val="00634A64"/>
    <w:rsid w:val="00635DBC"/>
    <w:rsid w:val="00635FA1"/>
    <w:rsid w:val="006361B6"/>
    <w:rsid w:val="00636381"/>
    <w:rsid w:val="0063698B"/>
    <w:rsid w:val="0063720D"/>
    <w:rsid w:val="006379C5"/>
    <w:rsid w:val="0064069C"/>
    <w:rsid w:val="006406DC"/>
    <w:rsid w:val="006416DA"/>
    <w:rsid w:val="00641725"/>
    <w:rsid w:val="006419FC"/>
    <w:rsid w:val="00641B1D"/>
    <w:rsid w:val="00641FAF"/>
    <w:rsid w:val="0064250A"/>
    <w:rsid w:val="00642BF2"/>
    <w:rsid w:val="00643ADF"/>
    <w:rsid w:val="00643E46"/>
    <w:rsid w:val="00644A6B"/>
    <w:rsid w:val="00644EEE"/>
    <w:rsid w:val="00645B77"/>
    <w:rsid w:val="0064607F"/>
    <w:rsid w:val="006466F8"/>
    <w:rsid w:val="00647A9C"/>
    <w:rsid w:val="00647C8F"/>
    <w:rsid w:val="00647ED5"/>
    <w:rsid w:val="00650008"/>
    <w:rsid w:val="00650402"/>
    <w:rsid w:val="00650CD9"/>
    <w:rsid w:val="0065115D"/>
    <w:rsid w:val="0065155D"/>
    <w:rsid w:val="006525BC"/>
    <w:rsid w:val="00652B88"/>
    <w:rsid w:val="00652EFD"/>
    <w:rsid w:val="00652F08"/>
    <w:rsid w:val="00653C57"/>
    <w:rsid w:val="00654178"/>
    <w:rsid w:val="006543A8"/>
    <w:rsid w:val="006543AC"/>
    <w:rsid w:val="00655DDF"/>
    <w:rsid w:val="00656815"/>
    <w:rsid w:val="00657447"/>
    <w:rsid w:val="00657825"/>
    <w:rsid w:val="0065798F"/>
    <w:rsid w:val="006610C7"/>
    <w:rsid w:val="0066433D"/>
    <w:rsid w:val="00664388"/>
    <w:rsid w:val="00664FC6"/>
    <w:rsid w:val="00665237"/>
    <w:rsid w:val="00665658"/>
    <w:rsid w:val="006660A3"/>
    <w:rsid w:val="00666D91"/>
    <w:rsid w:val="00667E6E"/>
    <w:rsid w:val="00667EB6"/>
    <w:rsid w:val="006717D9"/>
    <w:rsid w:val="0067191C"/>
    <w:rsid w:val="00671F82"/>
    <w:rsid w:val="0067202D"/>
    <w:rsid w:val="00672A90"/>
    <w:rsid w:val="00674A37"/>
    <w:rsid w:val="00675636"/>
    <w:rsid w:val="00675DC9"/>
    <w:rsid w:val="00676475"/>
    <w:rsid w:val="006771B9"/>
    <w:rsid w:val="00677222"/>
    <w:rsid w:val="0067794F"/>
    <w:rsid w:val="00681500"/>
    <w:rsid w:val="00681AE4"/>
    <w:rsid w:val="00681C00"/>
    <w:rsid w:val="00682C90"/>
    <w:rsid w:val="00682D53"/>
    <w:rsid w:val="00683387"/>
    <w:rsid w:val="0068356C"/>
    <w:rsid w:val="00683B8F"/>
    <w:rsid w:val="00684519"/>
    <w:rsid w:val="006846C8"/>
    <w:rsid w:val="006852C8"/>
    <w:rsid w:val="006852E8"/>
    <w:rsid w:val="00686FE9"/>
    <w:rsid w:val="0068762C"/>
    <w:rsid w:val="00687F4B"/>
    <w:rsid w:val="00690627"/>
    <w:rsid w:val="00691140"/>
    <w:rsid w:val="00691217"/>
    <w:rsid w:val="006915E5"/>
    <w:rsid w:val="00692264"/>
    <w:rsid w:val="006938AC"/>
    <w:rsid w:val="00693BE4"/>
    <w:rsid w:val="006940AF"/>
    <w:rsid w:val="00694561"/>
    <w:rsid w:val="006945BF"/>
    <w:rsid w:val="0069541C"/>
    <w:rsid w:val="006959B3"/>
    <w:rsid w:val="00695B52"/>
    <w:rsid w:val="006962C2"/>
    <w:rsid w:val="006970C8"/>
    <w:rsid w:val="00697600"/>
    <w:rsid w:val="00697AC8"/>
    <w:rsid w:val="006A0C47"/>
    <w:rsid w:val="006A0D46"/>
    <w:rsid w:val="006A0D74"/>
    <w:rsid w:val="006A1BC4"/>
    <w:rsid w:val="006A21D5"/>
    <w:rsid w:val="006A2752"/>
    <w:rsid w:val="006A2D84"/>
    <w:rsid w:val="006A4398"/>
    <w:rsid w:val="006A47E8"/>
    <w:rsid w:val="006A4802"/>
    <w:rsid w:val="006A488E"/>
    <w:rsid w:val="006A4970"/>
    <w:rsid w:val="006A5E75"/>
    <w:rsid w:val="006A5F54"/>
    <w:rsid w:val="006A5F6E"/>
    <w:rsid w:val="006A6369"/>
    <w:rsid w:val="006A6984"/>
    <w:rsid w:val="006A6BF4"/>
    <w:rsid w:val="006A71A0"/>
    <w:rsid w:val="006A74D3"/>
    <w:rsid w:val="006A7510"/>
    <w:rsid w:val="006A7EC7"/>
    <w:rsid w:val="006B1F78"/>
    <w:rsid w:val="006B1F7E"/>
    <w:rsid w:val="006B2012"/>
    <w:rsid w:val="006B2508"/>
    <w:rsid w:val="006B26E5"/>
    <w:rsid w:val="006B27B2"/>
    <w:rsid w:val="006B2E93"/>
    <w:rsid w:val="006B3F7E"/>
    <w:rsid w:val="006B4360"/>
    <w:rsid w:val="006B4F0B"/>
    <w:rsid w:val="006B589E"/>
    <w:rsid w:val="006B6B76"/>
    <w:rsid w:val="006B6E68"/>
    <w:rsid w:val="006B7553"/>
    <w:rsid w:val="006B7B72"/>
    <w:rsid w:val="006C09ED"/>
    <w:rsid w:val="006C0EF0"/>
    <w:rsid w:val="006C13BC"/>
    <w:rsid w:val="006C1AAC"/>
    <w:rsid w:val="006C236E"/>
    <w:rsid w:val="006C243C"/>
    <w:rsid w:val="006C336D"/>
    <w:rsid w:val="006C35F3"/>
    <w:rsid w:val="006C3D17"/>
    <w:rsid w:val="006C4CC0"/>
    <w:rsid w:val="006C5010"/>
    <w:rsid w:val="006C5083"/>
    <w:rsid w:val="006C5FCF"/>
    <w:rsid w:val="006C6031"/>
    <w:rsid w:val="006C62DD"/>
    <w:rsid w:val="006C690F"/>
    <w:rsid w:val="006C6988"/>
    <w:rsid w:val="006C699C"/>
    <w:rsid w:val="006C6A4B"/>
    <w:rsid w:val="006C6F07"/>
    <w:rsid w:val="006C7053"/>
    <w:rsid w:val="006D0AE3"/>
    <w:rsid w:val="006D1694"/>
    <w:rsid w:val="006D240E"/>
    <w:rsid w:val="006D273C"/>
    <w:rsid w:val="006D2F6B"/>
    <w:rsid w:val="006D30EF"/>
    <w:rsid w:val="006D3D7F"/>
    <w:rsid w:val="006D3DCC"/>
    <w:rsid w:val="006D41B8"/>
    <w:rsid w:val="006D4377"/>
    <w:rsid w:val="006D49BE"/>
    <w:rsid w:val="006D4F29"/>
    <w:rsid w:val="006D51C0"/>
    <w:rsid w:val="006D624A"/>
    <w:rsid w:val="006D6718"/>
    <w:rsid w:val="006D685E"/>
    <w:rsid w:val="006D6C62"/>
    <w:rsid w:val="006D7002"/>
    <w:rsid w:val="006D7075"/>
    <w:rsid w:val="006D70E0"/>
    <w:rsid w:val="006D7CB0"/>
    <w:rsid w:val="006E0095"/>
    <w:rsid w:val="006E0884"/>
    <w:rsid w:val="006E1A11"/>
    <w:rsid w:val="006E1BEA"/>
    <w:rsid w:val="006E1CBF"/>
    <w:rsid w:val="006E2023"/>
    <w:rsid w:val="006E2B56"/>
    <w:rsid w:val="006E3888"/>
    <w:rsid w:val="006E459D"/>
    <w:rsid w:val="006E4CDA"/>
    <w:rsid w:val="006E5136"/>
    <w:rsid w:val="006E55C3"/>
    <w:rsid w:val="006E56F8"/>
    <w:rsid w:val="006E6A55"/>
    <w:rsid w:val="006E73C7"/>
    <w:rsid w:val="006E7795"/>
    <w:rsid w:val="006F093C"/>
    <w:rsid w:val="006F0C47"/>
    <w:rsid w:val="006F1391"/>
    <w:rsid w:val="006F23BC"/>
    <w:rsid w:val="006F2476"/>
    <w:rsid w:val="006F3443"/>
    <w:rsid w:val="006F34F7"/>
    <w:rsid w:val="006F3E40"/>
    <w:rsid w:val="006F40B4"/>
    <w:rsid w:val="006F4580"/>
    <w:rsid w:val="006F45AC"/>
    <w:rsid w:val="006F45B4"/>
    <w:rsid w:val="006F4AF5"/>
    <w:rsid w:val="006F4B7D"/>
    <w:rsid w:val="006F522F"/>
    <w:rsid w:val="006F54A8"/>
    <w:rsid w:val="006F56FE"/>
    <w:rsid w:val="006F57C7"/>
    <w:rsid w:val="006F5982"/>
    <w:rsid w:val="006F6E4D"/>
    <w:rsid w:val="006F7076"/>
    <w:rsid w:val="006F7422"/>
    <w:rsid w:val="006F7F28"/>
    <w:rsid w:val="007000CD"/>
    <w:rsid w:val="0070086E"/>
    <w:rsid w:val="007010CA"/>
    <w:rsid w:val="007021AC"/>
    <w:rsid w:val="00702779"/>
    <w:rsid w:val="00703909"/>
    <w:rsid w:val="00704234"/>
    <w:rsid w:val="00704493"/>
    <w:rsid w:val="007048F6"/>
    <w:rsid w:val="00705405"/>
    <w:rsid w:val="0070543E"/>
    <w:rsid w:val="007060EA"/>
    <w:rsid w:val="0070726C"/>
    <w:rsid w:val="00707CCD"/>
    <w:rsid w:val="00710C08"/>
    <w:rsid w:val="0071130D"/>
    <w:rsid w:val="00711AB8"/>
    <w:rsid w:val="00711CBA"/>
    <w:rsid w:val="00711DD3"/>
    <w:rsid w:val="00711ED9"/>
    <w:rsid w:val="007121E6"/>
    <w:rsid w:val="00713133"/>
    <w:rsid w:val="00713907"/>
    <w:rsid w:val="007142DB"/>
    <w:rsid w:val="00714F8F"/>
    <w:rsid w:val="00715024"/>
    <w:rsid w:val="00715204"/>
    <w:rsid w:val="00715313"/>
    <w:rsid w:val="0071588B"/>
    <w:rsid w:val="00715B3E"/>
    <w:rsid w:val="00716138"/>
    <w:rsid w:val="007202A0"/>
    <w:rsid w:val="00720A0C"/>
    <w:rsid w:val="007213F6"/>
    <w:rsid w:val="00722242"/>
    <w:rsid w:val="007230B8"/>
    <w:rsid w:val="00723250"/>
    <w:rsid w:val="0072356C"/>
    <w:rsid w:val="00724A24"/>
    <w:rsid w:val="007254F2"/>
    <w:rsid w:val="0072595B"/>
    <w:rsid w:val="0072660B"/>
    <w:rsid w:val="00726739"/>
    <w:rsid w:val="007268B3"/>
    <w:rsid w:val="007271DD"/>
    <w:rsid w:val="00727BB8"/>
    <w:rsid w:val="0073076D"/>
    <w:rsid w:val="0073095E"/>
    <w:rsid w:val="00730C65"/>
    <w:rsid w:val="00733036"/>
    <w:rsid w:val="0073306B"/>
    <w:rsid w:val="0073388F"/>
    <w:rsid w:val="00734327"/>
    <w:rsid w:val="0073438F"/>
    <w:rsid w:val="007343D5"/>
    <w:rsid w:val="007345A5"/>
    <w:rsid w:val="007346D3"/>
    <w:rsid w:val="00735EF1"/>
    <w:rsid w:val="0073614B"/>
    <w:rsid w:val="00736C26"/>
    <w:rsid w:val="00741280"/>
    <w:rsid w:val="007415C0"/>
    <w:rsid w:val="00741D4A"/>
    <w:rsid w:val="0074204E"/>
    <w:rsid w:val="007422E4"/>
    <w:rsid w:val="007426CB"/>
    <w:rsid w:val="00742826"/>
    <w:rsid w:val="00743DBE"/>
    <w:rsid w:val="00744032"/>
    <w:rsid w:val="00744228"/>
    <w:rsid w:val="00744874"/>
    <w:rsid w:val="00745258"/>
    <w:rsid w:val="00746D99"/>
    <w:rsid w:val="00746FEC"/>
    <w:rsid w:val="00747267"/>
    <w:rsid w:val="00747DA7"/>
    <w:rsid w:val="00753561"/>
    <w:rsid w:val="00754C2A"/>
    <w:rsid w:val="00754C7F"/>
    <w:rsid w:val="0075530B"/>
    <w:rsid w:val="00755333"/>
    <w:rsid w:val="0075653C"/>
    <w:rsid w:val="00756788"/>
    <w:rsid w:val="007568D6"/>
    <w:rsid w:val="0075768B"/>
    <w:rsid w:val="007608DB"/>
    <w:rsid w:val="00760B61"/>
    <w:rsid w:val="007610FE"/>
    <w:rsid w:val="00761EC4"/>
    <w:rsid w:val="00763A8A"/>
    <w:rsid w:val="0076548F"/>
    <w:rsid w:val="00765538"/>
    <w:rsid w:val="007660BF"/>
    <w:rsid w:val="00766FC1"/>
    <w:rsid w:val="0076746D"/>
    <w:rsid w:val="00767D49"/>
    <w:rsid w:val="0077067A"/>
    <w:rsid w:val="00770707"/>
    <w:rsid w:val="0077202B"/>
    <w:rsid w:val="007728B1"/>
    <w:rsid w:val="00773047"/>
    <w:rsid w:val="00774087"/>
    <w:rsid w:val="007753FF"/>
    <w:rsid w:val="00775F84"/>
    <w:rsid w:val="007765CB"/>
    <w:rsid w:val="007767DF"/>
    <w:rsid w:val="00776825"/>
    <w:rsid w:val="00777016"/>
    <w:rsid w:val="007774D4"/>
    <w:rsid w:val="00777D1A"/>
    <w:rsid w:val="00777D9A"/>
    <w:rsid w:val="00780575"/>
    <w:rsid w:val="0078161C"/>
    <w:rsid w:val="00781E73"/>
    <w:rsid w:val="007832D3"/>
    <w:rsid w:val="007834F7"/>
    <w:rsid w:val="0078478F"/>
    <w:rsid w:val="00786880"/>
    <w:rsid w:val="00787B29"/>
    <w:rsid w:val="00787D60"/>
    <w:rsid w:val="00787D67"/>
    <w:rsid w:val="00791665"/>
    <w:rsid w:val="0079189A"/>
    <w:rsid w:val="007919E7"/>
    <w:rsid w:val="00793EF9"/>
    <w:rsid w:val="00794156"/>
    <w:rsid w:val="00794F88"/>
    <w:rsid w:val="00795057"/>
    <w:rsid w:val="007960B0"/>
    <w:rsid w:val="007962CE"/>
    <w:rsid w:val="007965A8"/>
    <w:rsid w:val="0079683B"/>
    <w:rsid w:val="00796869"/>
    <w:rsid w:val="00796B68"/>
    <w:rsid w:val="007A0BCF"/>
    <w:rsid w:val="007A12B2"/>
    <w:rsid w:val="007A13C1"/>
    <w:rsid w:val="007A1704"/>
    <w:rsid w:val="007A2819"/>
    <w:rsid w:val="007A2D76"/>
    <w:rsid w:val="007A310F"/>
    <w:rsid w:val="007A3636"/>
    <w:rsid w:val="007A4215"/>
    <w:rsid w:val="007A4A8E"/>
    <w:rsid w:val="007A53F5"/>
    <w:rsid w:val="007A57BA"/>
    <w:rsid w:val="007A6464"/>
    <w:rsid w:val="007A6740"/>
    <w:rsid w:val="007A7397"/>
    <w:rsid w:val="007A7AAD"/>
    <w:rsid w:val="007A7DBF"/>
    <w:rsid w:val="007B19EB"/>
    <w:rsid w:val="007B1E25"/>
    <w:rsid w:val="007B2150"/>
    <w:rsid w:val="007B325F"/>
    <w:rsid w:val="007B3A44"/>
    <w:rsid w:val="007B3DB9"/>
    <w:rsid w:val="007B4E24"/>
    <w:rsid w:val="007B6939"/>
    <w:rsid w:val="007B6A0A"/>
    <w:rsid w:val="007B7258"/>
    <w:rsid w:val="007B7C7B"/>
    <w:rsid w:val="007B7E0C"/>
    <w:rsid w:val="007C0995"/>
    <w:rsid w:val="007C18D3"/>
    <w:rsid w:val="007C19A9"/>
    <w:rsid w:val="007C1A06"/>
    <w:rsid w:val="007C1C3F"/>
    <w:rsid w:val="007C2253"/>
    <w:rsid w:val="007C22E1"/>
    <w:rsid w:val="007C39A1"/>
    <w:rsid w:val="007C3B29"/>
    <w:rsid w:val="007C4316"/>
    <w:rsid w:val="007C45E3"/>
    <w:rsid w:val="007C5809"/>
    <w:rsid w:val="007C5909"/>
    <w:rsid w:val="007C5E2B"/>
    <w:rsid w:val="007C5F30"/>
    <w:rsid w:val="007C5FAB"/>
    <w:rsid w:val="007C66AF"/>
    <w:rsid w:val="007C6745"/>
    <w:rsid w:val="007C7761"/>
    <w:rsid w:val="007D0568"/>
    <w:rsid w:val="007D16EE"/>
    <w:rsid w:val="007D17C4"/>
    <w:rsid w:val="007D1906"/>
    <w:rsid w:val="007D20C0"/>
    <w:rsid w:val="007D2D9A"/>
    <w:rsid w:val="007D47B0"/>
    <w:rsid w:val="007D4845"/>
    <w:rsid w:val="007D498B"/>
    <w:rsid w:val="007D49F7"/>
    <w:rsid w:val="007D5092"/>
    <w:rsid w:val="007D5B3B"/>
    <w:rsid w:val="007D6EE2"/>
    <w:rsid w:val="007E12D7"/>
    <w:rsid w:val="007E2C26"/>
    <w:rsid w:val="007E3E42"/>
    <w:rsid w:val="007E409D"/>
    <w:rsid w:val="007E4715"/>
    <w:rsid w:val="007E47AF"/>
    <w:rsid w:val="007E4AC2"/>
    <w:rsid w:val="007E62DA"/>
    <w:rsid w:val="007E6484"/>
    <w:rsid w:val="007E69EB"/>
    <w:rsid w:val="007E6CE9"/>
    <w:rsid w:val="007E6E82"/>
    <w:rsid w:val="007E7083"/>
    <w:rsid w:val="007F0ED8"/>
    <w:rsid w:val="007F1357"/>
    <w:rsid w:val="007F2A1A"/>
    <w:rsid w:val="007F2F5D"/>
    <w:rsid w:val="007F359E"/>
    <w:rsid w:val="007F3B0F"/>
    <w:rsid w:val="007F3D45"/>
    <w:rsid w:val="007F3E1A"/>
    <w:rsid w:val="007F441F"/>
    <w:rsid w:val="007F4ED1"/>
    <w:rsid w:val="007F5819"/>
    <w:rsid w:val="007F6396"/>
    <w:rsid w:val="007F6E9E"/>
    <w:rsid w:val="007F7066"/>
    <w:rsid w:val="008009C0"/>
    <w:rsid w:val="0080177A"/>
    <w:rsid w:val="00801D3D"/>
    <w:rsid w:val="00802392"/>
    <w:rsid w:val="00802739"/>
    <w:rsid w:val="00802933"/>
    <w:rsid w:val="00802B06"/>
    <w:rsid w:val="00802BCB"/>
    <w:rsid w:val="00802F62"/>
    <w:rsid w:val="0080342D"/>
    <w:rsid w:val="008034E8"/>
    <w:rsid w:val="008043A4"/>
    <w:rsid w:val="00804B8A"/>
    <w:rsid w:val="00805586"/>
    <w:rsid w:val="00805DD5"/>
    <w:rsid w:val="00806653"/>
    <w:rsid w:val="00807706"/>
    <w:rsid w:val="00807A3B"/>
    <w:rsid w:val="00810B97"/>
    <w:rsid w:val="008110F9"/>
    <w:rsid w:val="008116E1"/>
    <w:rsid w:val="00812D8F"/>
    <w:rsid w:val="00812E0B"/>
    <w:rsid w:val="0081367A"/>
    <w:rsid w:val="0081378F"/>
    <w:rsid w:val="008144DC"/>
    <w:rsid w:val="00815499"/>
    <w:rsid w:val="00815BD9"/>
    <w:rsid w:val="00815C55"/>
    <w:rsid w:val="00815DF6"/>
    <w:rsid w:val="00815E17"/>
    <w:rsid w:val="00815F6E"/>
    <w:rsid w:val="008163EA"/>
    <w:rsid w:val="00817427"/>
    <w:rsid w:val="00820056"/>
    <w:rsid w:val="00820829"/>
    <w:rsid w:val="00820A16"/>
    <w:rsid w:val="00820D2D"/>
    <w:rsid w:val="00820F1B"/>
    <w:rsid w:val="0082208C"/>
    <w:rsid w:val="008226FA"/>
    <w:rsid w:val="00822BCC"/>
    <w:rsid w:val="00822FD2"/>
    <w:rsid w:val="0082418C"/>
    <w:rsid w:val="0082567B"/>
    <w:rsid w:val="008258ED"/>
    <w:rsid w:val="00827429"/>
    <w:rsid w:val="00827EA9"/>
    <w:rsid w:val="00830573"/>
    <w:rsid w:val="008305C4"/>
    <w:rsid w:val="00831466"/>
    <w:rsid w:val="00831783"/>
    <w:rsid w:val="00831939"/>
    <w:rsid w:val="00832240"/>
    <w:rsid w:val="008323FD"/>
    <w:rsid w:val="00832C3C"/>
    <w:rsid w:val="00832C55"/>
    <w:rsid w:val="00832FA9"/>
    <w:rsid w:val="00834C87"/>
    <w:rsid w:val="0083541A"/>
    <w:rsid w:val="00835D23"/>
    <w:rsid w:val="00835E9B"/>
    <w:rsid w:val="008365D0"/>
    <w:rsid w:val="00836AF6"/>
    <w:rsid w:val="00836B2A"/>
    <w:rsid w:val="00836BDF"/>
    <w:rsid w:val="008404D7"/>
    <w:rsid w:val="008406B5"/>
    <w:rsid w:val="008407A8"/>
    <w:rsid w:val="00841FA1"/>
    <w:rsid w:val="008422E9"/>
    <w:rsid w:val="00842890"/>
    <w:rsid w:val="0084298F"/>
    <w:rsid w:val="00842E66"/>
    <w:rsid w:val="00843A59"/>
    <w:rsid w:val="00844172"/>
    <w:rsid w:val="0084417A"/>
    <w:rsid w:val="00844FCA"/>
    <w:rsid w:val="00844FCB"/>
    <w:rsid w:val="00845169"/>
    <w:rsid w:val="00845F41"/>
    <w:rsid w:val="0084601D"/>
    <w:rsid w:val="00846A94"/>
    <w:rsid w:val="008470A9"/>
    <w:rsid w:val="008472A5"/>
    <w:rsid w:val="008479F8"/>
    <w:rsid w:val="008504A2"/>
    <w:rsid w:val="008520DE"/>
    <w:rsid w:val="0085242C"/>
    <w:rsid w:val="0085261D"/>
    <w:rsid w:val="00853BB6"/>
    <w:rsid w:val="008545B8"/>
    <w:rsid w:val="008546F0"/>
    <w:rsid w:val="008553D8"/>
    <w:rsid w:val="00855C91"/>
    <w:rsid w:val="00856202"/>
    <w:rsid w:val="00856ABD"/>
    <w:rsid w:val="00860850"/>
    <w:rsid w:val="00860A08"/>
    <w:rsid w:val="00860DD6"/>
    <w:rsid w:val="00861082"/>
    <w:rsid w:val="00861650"/>
    <w:rsid w:val="00861AE4"/>
    <w:rsid w:val="00861E7B"/>
    <w:rsid w:val="00862C85"/>
    <w:rsid w:val="00862E7B"/>
    <w:rsid w:val="00862EE7"/>
    <w:rsid w:val="00863178"/>
    <w:rsid w:val="00863DB1"/>
    <w:rsid w:val="00863E64"/>
    <w:rsid w:val="00864225"/>
    <w:rsid w:val="008647E2"/>
    <w:rsid w:val="00864DDD"/>
    <w:rsid w:val="008654B2"/>
    <w:rsid w:val="0086566F"/>
    <w:rsid w:val="008656E3"/>
    <w:rsid w:val="008658C6"/>
    <w:rsid w:val="008666CE"/>
    <w:rsid w:val="00867105"/>
    <w:rsid w:val="008712AF"/>
    <w:rsid w:val="00871AB2"/>
    <w:rsid w:val="00871E81"/>
    <w:rsid w:val="008725F8"/>
    <w:rsid w:val="00872D2B"/>
    <w:rsid w:val="00873D63"/>
    <w:rsid w:val="008740DB"/>
    <w:rsid w:val="008744E8"/>
    <w:rsid w:val="008746DF"/>
    <w:rsid w:val="00875803"/>
    <w:rsid w:val="00875FD5"/>
    <w:rsid w:val="00875FF1"/>
    <w:rsid w:val="00876348"/>
    <w:rsid w:val="00876362"/>
    <w:rsid w:val="00876ED7"/>
    <w:rsid w:val="0087751A"/>
    <w:rsid w:val="00877A53"/>
    <w:rsid w:val="008808E3"/>
    <w:rsid w:val="00880B6E"/>
    <w:rsid w:val="00880DB9"/>
    <w:rsid w:val="0088152D"/>
    <w:rsid w:val="00881DB4"/>
    <w:rsid w:val="00881FF2"/>
    <w:rsid w:val="00882836"/>
    <w:rsid w:val="00883ABA"/>
    <w:rsid w:val="008845F8"/>
    <w:rsid w:val="00884B0E"/>
    <w:rsid w:val="00884DAF"/>
    <w:rsid w:val="008852D0"/>
    <w:rsid w:val="0088574B"/>
    <w:rsid w:val="00885C9C"/>
    <w:rsid w:val="00887082"/>
    <w:rsid w:val="0088745E"/>
    <w:rsid w:val="0088777F"/>
    <w:rsid w:val="00887B5C"/>
    <w:rsid w:val="008916B3"/>
    <w:rsid w:val="00891A7E"/>
    <w:rsid w:val="00892D61"/>
    <w:rsid w:val="008933A7"/>
    <w:rsid w:val="00893B6D"/>
    <w:rsid w:val="00893BA0"/>
    <w:rsid w:val="00893ED0"/>
    <w:rsid w:val="0089430E"/>
    <w:rsid w:val="008944D4"/>
    <w:rsid w:val="00894632"/>
    <w:rsid w:val="00894E1F"/>
    <w:rsid w:val="00896047"/>
    <w:rsid w:val="008965F2"/>
    <w:rsid w:val="00896A52"/>
    <w:rsid w:val="00896ADF"/>
    <w:rsid w:val="00897576"/>
    <w:rsid w:val="00897BF6"/>
    <w:rsid w:val="008A1EAE"/>
    <w:rsid w:val="008A250D"/>
    <w:rsid w:val="008A25F9"/>
    <w:rsid w:val="008A3000"/>
    <w:rsid w:val="008A37B6"/>
    <w:rsid w:val="008A4403"/>
    <w:rsid w:val="008A4479"/>
    <w:rsid w:val="008A529C"/>
    <w:rsid w:val="008A5632"/>
    <w:rsid w:val="008A6279"/>
    <w:rsid w:val="008A6E50"/>
    <w:rsid w:val="008A7029"/>
    <w:rsid w:val="008A7595"/>
    <w:rsid w:val="008B01C4"/>
    <w:rsid w:val="008B01D9"/>
    <w:rsid w:val="008B0825"/>
    <w:rsid w:val="008B0B04"/>
    <w:rsid w:val="008B36C5"/>
    <w:rsid w:val="008B3EB0"/>
    <w:rsid w:val="008B48D5"/>
    <w:rsid w:val="008B5970"/>
    <w:rsid w:val="008B6288"/>
    <w:rsid w:val="008B6D1E"/>
    <w:rsid w:val="008C0E33"/>
    <w:rsid w:val="008C13DA"/>
    <w:rsid w:val="008C1833"/>
    <w:rsid w:val="008C1E57"/>
    <w:rsid w:val="008C2EB1"/>
    <w:rsid w:val="008C37A3"/>
    <w:rsid w:val="008C3812"/>
    <w:rsid w:val="008C3B2F"/>
    <w:rsid w:val="008C3C2D"/>
    <w:rsid w:val="008C3D31"/>
    <w:rsid w:val="008C3EB8"/>
    <w:rsid w:val="008C4006"/>
    <w:rsid w:val="008C440F"/>
    <w:rsid w:val="008C5DB2"/>
    <w:rsid w:val="008C5E06"/>
    <w:rsid w:val="008C6F9C"/>
    <w:rsid w:val="008C705C"/>
    <w:rsid w:val="008C7288"/>
    <w:rsid w:val="008C73A0"/>
    <w:rsid w:val="008C77E8"/>
    <w:rsid w:val="008C780C"/>
    <w:rsid w:val="008C7C06"/>
    <w:rsid w:val="008D0FD1"/>
    <w:rsid w:val="008D192B"/>
    <w:rsid w:val="008D193C"/>
    <w:rsid w:val="008D2030"/>
    <w:rsid w:val="008D223A"/>
    <w:rsid w:val="008D2E97"/>
    <w:rsid w:val="008D328E"/>
    <w:rsid w:val="008D392A"/>
    <w:rsid w:val="008D3FE3"/>
    <w:rsid w:val="008D43A0"/>
    <w:rsid w:val="008D441D"/>
    <w:rsid w:val="008D4719"/>
    <w:rsid w:val="008D489E"/>
    <w:rsid w:val="008D53E7"/>
    <w:rsid w:val="008D592F"/>
    <w:rsid w:val="008D5A85"/>
    <w:rsid w:val="008D5E9A"/>
    <w:rsid w:val="008D600B"/>
    <w:rsid w:val="008D66BD"/>
    <w:rsid w:val="008D6A4D"/>
    <w:rsid w:val="008D6A68"/>
    <w:rsid w:val="008D6BC3"/>
    <w:rsid w:val="008D77C4"/>
    <w:rsid w:val="008D7840"/>
    <w:rsid w:val="008D7BF4"/>
    <w:rsid w:val="008E0EDB"/>
    <w:rsid w:val="008E1238"/>
    <w:rsid w:val="008E1692"/>
    <w:rsid w:val="008E2629"/>
    <w:rsid w:val="008E398E"/>
    <w:rsid w:val="008E3B21"/>
    <w:rsid w:val="008E5642"/>
    <w:rsid w:val="008E5EBE"/>
    <w:rsid w:val="008E69B5"/>
    <w:rsid w:val="008F0067"/>
    <w:rsid w:val="008F068F"/>
    <w:rsid w:val="008F0724"/>
    <w:rsid w:val="008F1A24"/>
    <w:rsid w:val="008F1B92"/>
    <w:rsid w:val="008F1BEB"/>
    <w:rsid w:val="008F1CC5"/>
    <w:rsid w:val="008F229B"/>
    <w:rsid w:val="008F32ED"/>
    <w:rsid w:val="008F38DA"/>
    <w:rsid w:val="008F393E"/>
    <w:rsid w:val="008F3D46"/>
    <w:rsid w:val="008F4E01"/>
    <w:rsid w:val="008F6776"/>
    <w:rsid w:val="008F788C"/>
    <w:rsid w:val="008F7901"/>
    <w:rsid w:val="00900225"/>
    <w:rsid w:val="00900962"/>
    <w:rsid w:val="00900B41"/>
    <w:rsid w:val="00900DF9"/>
    <w:rsid w:val="00900E34"/>
    <w:rsid w:val="00900FA8"/>
    <w:rsid w:val="00901304"/>
    <w:rsid w:val="0090136D"/>
    <w:rsid w:val="00902053"/>
    <w:rsid w:val="009028F9"/>
    <w:rsid w:val="009029A6"/>
    <w:rsid w:val="00902FB5"/>
    <w:rsid w:val="00904D95"/>
    <w:rsid w:val="009055E3"/>
    <w:rsid w:val="00905B29"/>
    <w:rsid w:val="00906A87"/>
    <w:rsid w:val="00906C76"/>
    <w:rsid w:val="0090770D"/>
    <w:rsid w:val="0091030D"/>
    <w:rsid w:val="00911D57"/>
    <w:rsid w:val="00911DD4"/>
    <w:rsid w:val="00912207"/>
    <w:rsid w:val="00912DB5"/>
    <w:rsid w:val="009139CE"/>
    <w:rsid w:val="00913AE2"/>
    <w:rsid w:val="00913B86"/>
    <w:rsid w:val="0091475B"/>
    <w:rsid w:val="00914D60"/>
    <w:rsid w:val="00915426"/>
    <w:rsid w:val="0091783F"/>
    <w:rsid w:val="00920AF3"/>
    <w:rsid w:val="00922586"/>
    <w:rsid w:val="00922A3E"/>
    <w:rsid w:val="00922A4C"/>
    <w:rsid w:val="00922AE7"/>
    <w:rsid w:val="0092344E"/>
    <w:rsid w:val="00923736"/>
    <w:rsid w:val="00923942"/>
    <w:rsid w:val="009244C7"/>
    <w:rsid w:val="00924E5A"/>
    <w:rsid w:val="00925B21"/>
    <w:rsid w:val="00925D23"/>
    <w:rsid w:val="0092616C"/>
    <w:rsid w:val="00926244"/>
    <w:rsid w:val="00926C73"/>
    <w:rsid w:val="00927BB3"/>
    <w:rsid w:val="0093044A"/>
    <w:rsid w:val="009304DE"/>
    <w:rsid w:val="009304F5"/>
    <w:rsid w:val="0093059F"/>
    <w:rsid w:val="00930874"/>
    <w:rsid w:val="00930F19"/>
    <w:rsid w:val="00931F4F"/>
    <w:rsid w:val="00932896"/>
    <w:rsid w:val="00932B92"/>
    <w:rsid w:val="0093461A"/>
    <w:rsid w:val="009346FD"/>
    <w:rsid w:val="009349BB"/>
    <w:rsid w:val="00934A97"/>
    <w:rsid w:val="009353BF"/>
    <w:rsid w:val="00935DC2"/>
    <w:rsid w:val="00936CFF"/>
    <w:rsid w:val="00936F91"/>
    <w:rsid w:val="009371A3"/>
    <w:rsid w:val="009374B3"/>
    <w:rsid w:val="009377DF"/>
    <w:rsid w:val="0094048F"/>
    <w:rsid w:val="00940A01"/>
    <w:rsid w:val="00940E17"/>
    <w:rsid w:val="009410E8"/>
    <w:rsid w:val="0094183E"/>
    <w:rsid w:val="00942988"/>
    <w:rsid w:val="00943184"/>
    <w:rsid w:val="009433DC"/>
    <w:rsid w:val="00943FF0"/>
    <w:rsid w:val="00944B77"/>
    <w:rsid w:val="00944BA9"/>
    <w:rsid w:val="00944C35"/>
    <w:rsid w:val="00944D75"/>
    <w:rsid w:val="00945192"/>
    <w:rsid w:val="0094522A"/>
    <w:rsid w:val="00945304"/>
    <w:rsid w:val="00945E86"/>
    <w:rsid w:val="00945EDD"/>
    <w:rsid w:val="00946269"/>
    <w:rsid w:val="00947718"/>
    <w:rsid w:val="00947DFE"/>
    <w:rsid w:val="009501DA"/>
    <w:rsid w:val="0095050B"/>
    <w:rsid w:val="00950B16"/>
    <w:rsid w:val="00950BE4"/>
    <w:rsid w:val="00951BF1"/>
    <w:rsid w:val="009520BA"/>
    <w:rsid w:val="00952509"/>
    <w:rsid w:val="009527CC"/>
    <w:rsid w:val="0095357A"/>
    <w:rsid w:val="0095444B"/>
    <w:rsid w:val="00954782"/>
    <w:rsid w:val="00954FB0"/>
    <w:rsid w:val="00956C75"/>
    <w:rsid w:val="00957DE8"/>
    <w:rsid w:val="00960333"/>
    <w:rsid w:val="00960EE3"/>
    <w:rsid w:val="00961292"/>
    <w:rsid w:val="009624CE"/>
    <w:rsid w:val="009626D4"/>
    <w:rsid w:val="009638E1"/>
    <w:rsid w:val="00963EE6"/>
    <w:rsid w:val="00963FC5"/>
    <w:rsid w:val="0096518B"/>
    <w:rsid w:val="00965356"/>
    <w:rsid w:val="009659F6"/>
    <w:rsid w:val="00965DC1"/>
    <w:rsid w:val="00965F30"/>
    <w:rsid w:val="00965FEE"/>
    <w:rsid w:val="009669DB"/>
    <w:rsid w:val="00966D0D"/>
    <w:rsid w:val="00966D46"/>
    <w:rsid w:val="00966D74"/>
    <w:rsid w:val="0096721E"/>
    <w:rsid w:val="009673A5"/>
    <w:rsid w:val="00967563"/>
    <w:rsid w:val="00970510"/>
    <w:rsid w:val="00970744"/>
    <w:rsid w:val="00970968"/>
    <w:rsid w:val="00970F7F"/>
    <w:rsid w:val="00971828"/>
    <w:rsid w:val="009720A8"/>
    <w:rsid w:val="0097275B"/>
    <w:rsid w:val="00973329"/>
    <w:rsid w:val="00973F8B"/>
    <w:rsid w:val="00973FB4"/>
    <w:rsid w:val="0097444B"/>
    <w:rsid w:val="00975F43"/>
    <w:rsid w:val="00976C48"/>
    <w:rsid w:val="00976E1A"/>
    <w:rsid w:val="0097707E"/>
    <w:rsid w:val="00977280"/>
    <w:rsid w:val="009775C8"/>
    <w:rsid w:val="00977F02"/>
    <w:rsid w:val="00980D5C"/>
    <w:rsid w:val="00981649"/>
    <w:rsid w:val="00982E72"/>
    <w:rsid w:val="00983033"/>
    <w:rsid w:val="009833EC"/>
    <w:rsid w:val="009834E2"/>
    <w:rsid w:val="009836F0"/>
    <w:rsid w:val="00983A58"/>
    <w:rsid w:val="00983FEE"/>
    <w:rsid w:val="00984287"/>
    <w:rsid w:val="00984A45"/>
    <w:rsid w:val="00984F74"/>
    <w:rsid w:val="0098535D"/>
    <w:rsid w:val="00985FBF"/>
    <w:rsid w:val="00986691"/>
    <w:rsid w:val="00986B9C"/>
    <w:rsid w:val="00986D25"/>
    <w:rsid w:val="009878EC"/>
    <w:rsid w:val="00987C25"/>
    <w:rsid w:val="009906DE"/>
    <w:rsid w:val="00990A72"/>
    <w:rsid w:val="00990EEE"/>
    <w:rsid w:val="0099305F"/>
    <w:rsid w:val="0099497D"/>
    <w:rsid w:val="00995202"/>
    <w:rsid w:val="00995929"/>
    <w:rsid w:val="00996682"/>
    <w:rsid w:val="009967CF"/>
    <w:rsid w:val="00996CF7"/>
    <w:rsid w:val="00996D51"/>
    <w:rsid w:val="009A0D63"/>
    <w:rsid w:val="009A141E"/>
    <w:rsid w:val="009A1483"/>
    <w:rsid w:val="009A21F0"/>
    <w:rsid w:val="009A24DD"/>
    <w:rsid w:val="009A2EA0"/>
    <w:rsid w:val="009A3767"/>
    <w:rsid w:val="009A379E"/>
    <w:rsid w:val="009A3BB7"/>
    <w:rsid w:val="009A403B"/>
    <w:rsid w:val="009A4EFF"/>
    <w:rsid w:val="009A7428"/>
    <w:rsid w:val="009A7F9D"/>
    <w:rsid w:val="009B01BD"/>
    <w:rsid w:val="009B1131"/>
    <w:rsid w:val="009B12D0"/>
    <w:rsid w:val="009B159B"/>
    <w:rsid w:val="009B276A"/>
    <w:rsid w:val="009B32E2"/>
    <w:rsid w:val="009B38BC"/>
    <w:rsid w:val="009B43C2"/>
    <w:rsid w:val="009B4B74"/>
    <w:rsid w:val="009B4BB3"/>
    <w:rsid w:val="009B4C15"/>
    <w:rsid w:val="009B56C4"/>
    <w:rsid w:val="009B58B1"/>
    <w:rsid w:val="009B690A"/>
    <w:rsid w:val="009B71F7"/>
    <w:rsid w:val="009B7463"/>
    <w:rsid w:val="009C0CC9"/>
    <w:rsid w:val="009C0DA0"/>
    <w:rsid w:val="009C136D"/>
    <w:rsid w:val="009C1DC1"/>
    <w:rsid w:val="009C208B"/>
    <w:rsid w:val="009C28D5"/>
    <w:rsid w:val="009C3208"/>
    <w:rsid w:val="009C3E79"/>
    <w:rsid w:val="009C433D"/>
    <w:rsid w:val="009C581F"/>
    <w:rsid w:val="009C663A"/>
    <w:rsid w:val="009C6C9E"/>
    <w:rsid w:val="009C728D"/>
    <w:rsid w:val="009C7BA6"/>
    <w:rsid w:val="009C7FB8"/>
    <w:rsid w:val="009D0421"/>
    <w:rsid w:val="009D0A33"/>
    <w:rsid w:val="009D0ABD"/>
    <w:rsid w:val="009D25E4"/>
    <w:rsid w:val="009D2AB9"/>
    <w:rsid w:val="009D372F"/>
    <w:rsid w:val="009D3745"/>
    <w:rsid w:val="009D3EAD"/>
    <w:rsid w:val="009D5207"/>
    <w:rsid w:val="009D52E5"/>
    <w:rsid w:val="009D54B5"/>
    <w:rsid w:val="009D556D"/>
    <w:rsid w:val="009D5A71"/>
    <w:rsid w:val="009D5E51"/>
    <w:rsid w:val="009D6B8F"/>
    <w:rsid w:val="009D707F"/>
    <w:rsid w:val="009D7470"/>
    <w:rsid w:val="009D7AB0"/>
    <w:rsid w:val="009E01BC"/>
    <w:rsid w:val="009E09A8"/>
    <w:rsid w:val="009E1004"/>
    <w:rsid w:val="009E2204"/>
    <w:rsid w:val="009E226A"/>
    <w:rsid w:val="009E22AB"/>
    <w:rsid w:val="009E26AD"/>
    <w:rsid w:val="009E2C46"/>
    <w:rsid w:val="009E2CC8"/>
    <w:rsid w:val="009E306D"/>
    <w:rsid w:val="009E35A3"/>
    <w:rsid w:val="009E3821"/>
    <w:rsid w:val="009E3BE9"/>
    <w:rsid w:val="009E3BFA"/>
    <w:rsid w:val="009E44AF"/>
    <w:rsid w:val="009E4890"/>
    <w:rsid w:val="009E4C80"/>
    <w:rsid w:val="009E514C"/>
    <w:rsid w:val="009E53D6"/>
    <w:rsid w:val="009E5586"/>
    <w:rsid w:val="009E5F55"/>
    <w:rsid w:val="009E6944"/>
    <w:rsid w:val="009E7278"/>
    <w:rsid w:val="009E74CF"/>
    <w:rsid w:val="009E7782"/>
    <w:rsid w:val="009E7DDB"/>
    <w:rsid w:val="009F04F4"/>
    <w:rsid w:val="009F0617"/>
    <w:rsid w:val="009F0920"/>
    <w:rsid w:val="009F1774"/>
    <w:rsid w:val="009F1A10"/>
    <w:rsid w:val="009F1AC5"/>
    <w:rsid w:val="009F294C"/>
    <w:rsid w:val="009F3208"/>
    <w:rsid w:val="009F4C59"/>
    <w:rsid w:val="009F4D97"/>
    <w:rsid w:val="009F5817"/>
    <w:rsid w:val="009F7395"/>
    <w:rsid w:val="009F7A10"/>
    <w:rsid w:val="009F7A6F"/>
    <w:rsid w:val="00A008EA"/>
    <w:rsid w:val="00A0307E"/>
    <w:rsid w:val="00A033CE"/>
    <w:rsid w:val="00A037A1"/>
    <w:rsid w:val="00A038D0"/>
    <w:rsid w:val="00A03BA4"/>
    <w:rsid w:val="00A03BF0"/>
    <w:rsid w:val="00A04032"/>
    <w:rsid w:val="00A04A79"/>
    <w:rsid w:val="00A05979"/>
    <w:rsid w:val="00A059B9"/>
    <w:rsid w:val="00A10452"/>
    <w:rsid w:val="00A10EE4"/>
    <w:rsid w:val="00A11C7A"/>
    <w:rsid w:val="00A13B11"/>
    <w:rsid w:val="00A156AE"/>
    <w:rsid w:val="00A16390"/>
    <w:rsid w:val="00A169AC"/>
    <w:rsid w:val="00A16D82"/>
    <w:rsid w:val="00A16EF8"/>
    <w:rsid w:val="00A171E7"/>
    <w:rsid w:val="00A17A76"/>
    <w:rsid w:val="00A17F8D"/>
    <w:rsid w:val="00A20421"/>
    <w:rsid w:val="00A2051F"/>
    <w:rsid w:val="00A205E1"/>
    <w:rsid w:val="00A2077F"/>
    <w:rsid w:val="00A20C67"/>
    <w:rsid w:val="00A20E03"/>
    <w:rsid w:val="00A21F41"/>
    <w:rsid w:val="00A2257E"/>
    <w:rsid w:val="00A231FD"/>
    <w:rsid w:val="00A2378B"/>
    <w:rsid w:val="00A237FD"/>
    <w:rsid w:val="00A240B9"/>
    <w:rsid w:val="00A24FCB"/>
    <w:rsid w:val="00A25302"/>
    <w:rsid w:val="00A25437"/>
    <w:rsid w:val="00A254C2"/>
    <w:rsid w:val="00A263E0"/>
    <w:rsid w:val="00A263FC"/>
    <w:rsid w:val="00A26685"/>
    <w:rsid w:val="00A26B8F"/>
    <w:rsid w:val="00A26D76"/>
    <w:rsid w:val="00A26F15"/>
    <w:rsid w:val="00A26FBA"/>
    <w:rsid w:val="00A2796C"/>
    <w:rsid w:val="00A27E95"/>
    <w:rsid w:val="00A313DD"/>
    <w:rsid w:val="00A31433"/>
    <w:rsid w:val="00A31C98"/>
    <w:rsid w:val="00A31F68"/>
    <w:rsid w:val="00A32731"/>
    <w:rsid w:val="00A33C59"/>
    <w:rsid w:val="00A34586"/>
    <w:rsid w:val="00A34C8F"/>
    <w:rsid w:val="00A35515"/>
    <w:rsid w:val="00A357D6"/>
    <w:rsid w:val="00A35E51"/>
    <w:rsid w:val="00A36465"/>
    <w:rsid w:val="00A36C04"/>
    <w:rsid w:val="00A36C39"/>
    <w:rsid w:val="00A374C5"/>
    <w:rsid w:val="00A37A78"/>
    <w:rsid w:val="00A40069"/>
    <w:rsid w:val="00A40502"/>
    <w:rsid w:val="00A40A97"/>
    <w:rsid w:val="00A41176"/>
    <w:rsid w:val="00A41C90"/>
    <w:rsid w:val="00A41D1E"/>
    <w:rsid w:val="00A425F4"/>
    <w:rsid w:val="00A434AB"/>
    <w:rsid w:val="00A43B44"/>
    <w:rsid w:val="00A44235"/>
    <w:rsid w:val="00A45BDE"/>
    <w:rsid w:val="00A462E4"/>
    <w:rsid w:val="00A46543"/>
    <w:rsid w:val="00A466BC"/>
    <w:rsid w:val="00A46858"/>
    <w:rsid w:val="00A46989"/>
    <w:rsid w:val="00A47A19"/>
    <w:rsid w:val="00A502D2"/>
    <w:rsid w:val="00A5136B"/>
    <w:rsid w:val="00A51E2D"/>
    <w:rsid w:val="00A52219"/>
    <w:rsid w:val="00A52756"/>
    <w:rsid w:val="00A52A2A"/>
    <w:rsid w:val="00A53A9F"/>
    <w:rsid w:val="00A540E5"/>
    <w:rsid w:val="00A5455B"/>
    <w:rsid w:val="00A5461D"/>
    <w:rsid w:val="00A54A4F"/>
    <w:rsid w:val="00A54CEF"/>
    <w:rsid w:val="00A5702F"/>
    <w:rsid w:val="00A5730F"/>
    <w:rsid w:val="00A5739F"/>
    <w:rsid w:val="00A57AA1"/>
    <w:rsid w:val="00A613F4"/>
    <w:rsid w:val="00A61BD1"/>
    <w:rsid w:val="00A61F90"/>
    <w:rsid w:val="00A621C8"/>
    <w:rsid w:val="00A62863"/>
    <w:rsid w:val="00A6365E"/>
    <w:rsid w:val="00A643E8"/>
    <w:rsid w:val="00A64A00"/>
    <w:rsid w:val="00A64A85"/>
    <w:rsid w:val="00A64D35"/>
    <w:rsid w:val="00A6552A"/>
    <w:rsid w:val="00A655C3"/>
    <w:rsid w:val="00A65BEA"/>
    <w:rsid w:val="00A65CC0"/>
    <w:rsid w:val="00A66BB3"/>
    <w:rsid w:val="00A66FDA"/>
    <w:rsid w:val="00A7011E"/>
    <w:rsid w:val="00A703CE"/>
    <w:rsid w:val="00A7080F"/>
    <w:rsid w:val="00A72169"/>
    <w:rsid w:val="00A7253D"/>
    <w:rsid w:val="00A72E27"/>
    <w:rsid w:val="00A73548"/>
    <w:rsid w:val="00A73C38"/>
    <w:rsid w:val="00A73F34"/>
    <w:rsid w:val="00A74996"/>
    <w:rsid w:val="00A755AD"/>
    <w:rsid w:val="00A75B79"/>
    <w:rsid w:val="00A75E33"/>
    <w:rsid w:val="00A761E4"/>
    <w:rsid w:val="00A769A2"/>
    <w:rsid w:val="00A7738C"/>
    <w:rsid w:val="00A80106"/>
    <w:rsid w:val="00A815FA"/>
    <w:rsid w:val="00A81614"/>
    <w:rsid w:val="00A81A10"/>
    <w:rsid w:val="00A81C43"/>
    <w:rsid w:val="00A831D6"/>
    <w:rsid w:val="00A84C51"/>
    <w:rsid w:val="00A84C85"/>
    <w:rsid w:val="00A84EC6"/>
    <w:rsid w:val="00A85069"/>
    <w:rsid w:val="00A8541A"/>
    <w:rsid w:val="00A85802"/>
    <w:rsid w:val="00A862B0"/>
    <w:rsid w:val="00A863F2"/>
    <w:rsid w:val="00A8649E"/>
    <w:rsid w:val="00A868BB"/>
    <w:rsid w:val="00A878F0"/>
    <w:rsid w:val="00A87BA3"/>
    <w:rsid w:val="00A87C01"/>
    <w:rsid w:val="00A90906"/>
    <w:rsid w:val="00A91764"/>
    <w:rsid w:val="00A93065"/>
    <w:rsid w:val="00A934D5"/>
    <w:rsid w:val="00A9363C"/>
    <w:rsid w:val="00A93DF6"/>
    <w:rsid w:val="00A94BA5"/>
    <w:rsid w:val="00A94C61"/>
    <w:rsid w:val="00A94D91"/>
    <w:rsid w:val="00A966CE"/>
    <w:rsid w:val="00A966DE"/>
    <w:rsid w:val="00A96A4B"/>
    <w:rsid w:val="00A9726E"/>
    <w:rsid w:val="00A97FB7"/>
    <w:rsid w:val="00AA0163"/>
    <w:rsid w:val="00AA0663"/>
    <w:rsid w:val="00AA082C"/>
    <w:rsid w:val="00AA0CB1"/>
    <w:rsid w:val="00AA18B4"/>
    <w:rsid w:val="00AA2128"/>
    <w:rsid w:val="00AA2BAA"/>
    <w:rsid w:val="00AA2BB8"/>
    <w:rsid w:val="00AA30DD"/>
    <w:rsid w:val="00AA32BA"/>
    <w:rsid w:val="00AA32C3"/>
    <w:rsid w:val="00AA3308"/>
    <w:rsid w:val="00AA34E7"/>
    <w:rsid w:val="00AA35BE"/>
    <w:rsid w:val="00AA38E5"/>
    <w:rsid w:val="00AA3BF7"/>
    <w:rsid w:val="00AA3D7C"/>
    <w:rsid w:val="00AA4231"/>
    <w:rsid w:val="00AA4BB4"/>
    <w:rsid w:val="00AA4CFD"/>
    <w:rsid w:val="00AA5A43"/>
    <w:rsid w:val="00AA663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2AB8"/>
    <w:rsid w:val="00AB2B3B"/>
    <w:rsid w:val="00AB37A7"/>
    <w:rsid w:val="00AB4932"/>
    <w:rsid w:val="00AB499E"/>
    <w:rsid w:val="00AB4A95"/>
    <w:rsid w:val="00AB4B98"/>
    <w:rsid w:val="00AB5340"/>
    <w:rsid w:val="00AB5736"/>
    <w:rsid w:val="00AB585A"/>
    <w:rsid w:val="00AB65A3"/>
    <w:rsid w:val="00AB6B5D"/>
    <w:rsid w:val="00AB772F"/>
    <w:rsid w:val="00AC03D5"/>
    <w:rsid w:val="00AC10F3"/>
    <w:rsid w:val="00AC1C40"/>
    <w:rsid w:val="00AC1EF2"/>
    <w:rsid w:val="00AC2053"/>
    <w:rsid w:val="00AC2AD2"/>
    <w:rsid w:val="00AC31F6"/>
    <w:rsid w:val="00AC3F69"/>
    <w:rsid w:val="00AC4CED"/>
    <w:rsid w:val="00AC4F14"/>
    <w:rsid w:val="00AC58CA"/>
    <w:rsid w:val="00AC5B6B"/>
    <w:rsid w:val="00AC66C2"/>
    <w:rsid w:val="00AC7A05"/>
    <w:rsid w:val="00AC7C2F"/>
    <w:rsid w:val="00AD2D07"/>
    <w:rsid w:val="00AD334B"/>
    <w:rsid w:val="00AD3CC8"/>
    <w:rsid w:val="00AD4037"/>
    <w:rsid w:val="00AD4E88"/>
    <w:rsid w:val="00AD4F64"/>
    <w:rsid w:val="00AD4FFA"/>
    <w:rsid w:val="00AD57E2"/>
    <w:rsid w:val="00AD5B29"/>
    <w:rsid w:val="00AD6D20"/>
    <w:rsid w:val="00AD6E55"/>
    <w:rsid w:val="00AD7D54"/>
    <w:rsid w:val="00AE0363"/>
    <w:rsid w:val="00AE04B2"/>
    <w:rsid w:val="00AE0D42"/>
    <w:rsid w:val="00AE1D38"/>
    <w:rsid w:val="00AE24A3"/>
    <w:rsid w:val="00AE253B"/>
    <w:rsid w:val="00AE33B8"/>
    <w:rsid w:val="00AE402A"/>
    <w:rsid w:val="00AE4CE7"/>
    <w:rsid w:val="00AE53BB"/>
    <w:rsid w:val="00AE53EC"/>
    <w:rsid w:val="00AE5BED"/>
    <w:rsid w:val="00AE72C8"/>
    <w:rsid w:val="00AF0D16"/>
    <w:rsid w:val="00AF0D7A"/>
    <w:rsid w:val="00AF120C"/>
    <w:rsid w:val="00AF1C10"/>
    <w:rsid w:val="00AF20BF"/>
    <w:rsid w:val="00AF21AB"/>
    <w:rsid w:val="00AF29DD"/>
    <w:rsid w:val="00AF2D8F"/>
    <w:rsid w:val="00AF2DE7"/>
    <w:rsid w:val="00AF3DBB"/>
    <w:rsid w:val="00AF44FB"/>
    <w:rsid w:val="00AF4C2F"/>
    <w:rsid w:val="00AF5BDA"/>
    <w:rsid w:val="00AF5F61"/>
    <w:rsid w:val="00AF64C7"/>
    <w:rsid w:val="00AF71E4"/>
    <w:rsid w:val="00AF7468"/>
    <w:rsid w:val="00AF79E7"/>
    <w:rsid w:val="00AF7FDC"/>
    <w:rsid w:val="00B00252"/>
    <w:rsid w:val="00B003FE"/>
    <w:rsid w:val="00B0057D"/>
    <w:rsid w:val="00B00F34"/>
    <w:rsid w:val="00B030E5"/>
    <w:rsid w:val="00B03A95"/>
    <w:rsid w:val="00B04496"/>
    <w:rsid w:val="00B0511D"/>
    <w:rsid w:val="00B05213"/>
    <w:rsid w:val="00B060A3"/>
    <w:rsid w:val="00B073BF"/>
    <w:rsid w:val="00B104E8"/>
    <w:rsid w:val="00B108BC"/>
    <w:rsid w:val="00B11B7B"/>
    <w:rsid w:val="00B1249F"/>
    <w:rsid w:val="00B14CD4"/>
    <w:rsid w:val="00B156C6"/>
    <w:rsid w:val="00B163E0"/>
    <w:rsid w:val="00B16712"/>
    <w:rsid w:val="00B16DA5"/>
    <w:rsid w:val="00B172AD"/>
    <w:rsid w:val="00B17E3F"/>
    <w:rsid w:val="00B2060B"/>
    <w:rsid w:val="00B20B30"/>
    <w:rsid w:val="00B2161C"/>
    <w:rsid w:val="00B216A1"/>
    <w:rsid w:val="00B216F1"/>
    <w:rsid w:val="00B224EC"/>
    <w:rsid w:val="00B231EE"/>
    <w:rsid w:val="00B2323C"/>
    <w:rsid w:val="00B23BC9"/>
    <w:rsid w:val="00B2400D"/>
    <w:rsid w:val="00B24380"/>
    <w:rsid w:val="00B24653"/>
    <w:rsid w:val="00B2491D"/>
    <w:rsid w:val="00B24AC5"/>
    <w:rsid w:val="00B24F03"/>
    <w:rsid w:val="00B250AA"/>
    <w:rsid w:val="00B252F0"/>
    <w:rsid w:val="00B25632"/>
    <w:rsid w:val="00B25ED9"/>
    <w:rsid w:val="00B25EF3"/>
    <w:rsid w:val="00B266C3"/>
    <w:rsid w:val="00B26EA0"/>
    <w:rsid w:val="00B270D4"/>
    <w:rsid w:val="00B30117"/>
    <w:rsid w:val="00B307D7"/>
    <w:rsid w:val="00B3145E"/>
    <w:rsid w:val="00B3148F"/>
    <w:rsid w:val="00B31495"/>
    <w:rsid w:val="00B321E7"/>
    <w:rsid w:val="00B32454"/>
    <w:rsid w:val="00B32672"/>
    <w:rsid w:val="00B32F22"/>
    <w:rsid w:val="00B332BE"/>
    <w:rsid w:val="00B359C0"/>
    <w:rsid w:val="00B36CE1"/>
    <w:rsid w:val="00B3762F"/>
    <w:rsid w:val="00B376AD"/>
    <w:rsid w:val="00B37BF9"/>
    <w:rsid w:val="00B37C88"/>
    <w:rsid w:val="00B37E39"/>
    <w:rsid w:val="00B401B4"/>
    <w:rsid w:val="00B4086F"/>
    <w:rsid w:val="00B40CEB"/>
    <w:rsid w:val="00B41398"/>
    <w:rsid w:val="00B41595"/>
    <w:rsid w:val="00B4161D"/>
    <w:rsid w:val="00B421EA"/>
    <w:rsid w:val="00B425D6"/>
    <w:rsid w:val="00B429F0"/>
    <w:rsid w:val="00B42CAB"/>
    <w:rsid w:val="00B43715"/>
    <w:rsid w:val="00B4415C"/>
    <w:rsid w:val="00B4462F"/>
    <w:rsid w:val="00B44D10"/>
    <w:rsid w:val="00B451DD"/>
    <w:rsid w:val="00B45C15"/>
    <w:rsid w:val="00B46176"/>
    <w:rsid w:val="00B508F5"/>
    <w:rsid w:val="00B512A8"/>
    <w:rsid w:val="00B51748"/>
    <w:rsid w:val="00B5217E"/>
    <w:rsid w:val="00B52D50"/>
    <w:rsid w:val="00B53376"/>
    <w:rsid w:val="00B53CC3"/>
    <w:rsid w:val="00B546EA"/>
    <w:rsid w:val="00B55B7F"/>
    <w:rsid w:val="00B5627B"/>
    <w:rsid w:val="00B56D67"/>
    <w:rsid w:val="00B570A2"/>
    <w:rsid w:val="00B572E9"/>
    <w:rsid w:val="00B574F2"/>
    <w:rsid w:val="00B60734"/>
    <w:rsid w:val="00B61C54"/>
    <w:rsid w:val="00B622CE"/>
    <w:rsid w:val="00B632F2"/>
    <w:rsid w:val="00B6384C"/>
    <w:rsid w:val="00B6449A"/>
    <w:rsid w:val="00B65517"/>
    <w:rsid w:val="00B65E35"/>
    <w:rsid w:val="00B66EFF"/>
    <w:rsid w:val="00B6716E"/>
    <w:rsid w:val="00B67392"/>
    <w:rsid w:val="00B70415"/>
    <w:rsid w:val="00B708A3"/>
    <w:rsid w:val="00B71A15"/>
    <w:rsid w:val="00B7245D"/>
    <w:rsid w:val="00B734AA"/>
    <w:rsid w:val="00B73AEA"/>
    <w:rsid w:val="00B73AF4"/>
    <w:rsid w:val="00B74E06"/>
    <w:rsid w:val="00B75512"/>
    <w:rsid w:val="00B75AE7"/>
    <w:rsid w:val="00B75D7C"/>
    <w:rsid w:val="00B7675C"/>
    <w:rsid w:val="00B76913"/>
    <w:rsid w:val="00B76945"/>
    <w:rsid w:val="00B7705E"/>
    <w:rsid w:val="00B77578"/>
    <w:rsid w:val="00B81618"/>
    <w:rsid w:val="00B8185B"/>
    <w:rsid w:val="00B83392"/>
    <w:rsid w:val="00B8392B"/>
    <w:rsid w:val="00B83D63"/>
    <w:rsid w:val="00B847A2"/>
    <w:rsid w:val="00B84898"/>
    <w:rsid w:val="00B85017"/>
    <w:rsid w:val="00B8545C"/>
    <w:rsid w:val="00B86055"/>
    <w:rsid w:val="00B86280"/>
    <w:rsid w:val="00B86CA3"/>
    <w:rsid w:val="00B86D0A"/>
    <w:rsid w:val="00B87745"/>
    <w:rsid w:val="00B90319"/>
    <w:rsid w:val="00B913C9"/>
    <w:rsid w:val="00B91537"/>
    <w:rsid w:val="00B915AC"/>
    <w:rsid w:val="00B91827"/>
    <w:rsid w:val="00B91848"/>
    <w:rsid w:val="00B92049"/>
    <w:rsid w:val="00B92A20"/>
    <w:rsid w:val="00B933CA"/>
    <w:rsid w:val="00B93B2A"/>
    <w:rsid w:val="00B93ED9"/>
    <w:rsid w:val="00B93F7A"/>
    <w:rsid w:val="00B94213"/>
    <w:rsid w:val="00B949C6"/>
    <w:rsid w:val="00B94B4C"/>
    <w:rsid w:val="00B95F28"/>
    <w:rsid w:val="00B96008"/>
    <w:rsid w:val="00B96231"/>
    <w:rsid w:val="00B96D52"/>
    <w:rsid w:val="00B977A7"/>
    <w:rsid w:val="00BA024C"/>
    <w:rsid w:val="00BA13E0"/>
    <w:rsid w:val="00BA250E"/>
    <w:rsid w:val="00BA32B0"/>
    <w:rsid w:val="00BA4309"/>
    <w:rsid w:val="00BA43A1"/>
    <w:rsid w:val="00BA492A"/>
    <w:rsid w:val="00BA547F"/>
    <w:rsid w:val="00BA576B"/>
    <w:rsid w:val="00BA602B"/>
    <w:rsid w:val="00BA69B0"/>
    <w:rsid w:val="00BA6D98"/>
    <w:rsid w:val="00BA7381"/>
    <w:rsid w:val="00BA7585"/>
    <w:rsid w:val="00BA7D0F"/>
    <w:rsid w:val="00BB13AD"/>
    <w:rsid w:val="00BB14E9"/>
    <w:rsid w:val="00BB1A07"/>
    <w:rsid w:val="00BB23C2"/>
    <w:rsid w:val="00BB340F"/>
    <w:rsid w:val="00BB39F9"/>
    <w:rsid w:val="00BB3AE4"/>
    <w:rsid w:val="00BB3EF6"/>
    <w:rsid w:val="00BB4988"/>
    <w:rsid w:val="00BB4F1A"/>
    <w:rsid w:val="00BB528E"/>
    <w:rsid w:val="00BB6C0F"/>
    <w:rsid w:val="00BB72F9"/>
    <w:rsid w:val="00BB7841"/>
    <w:rsid w:val="00BC0649"/>
    <w:rsid w:val="00BC091A"/>
    <w:rsid w:val="00BC103F"/>
    <w:rsid w:val="00BC1398"/>
    <w:rsid w:val="00BC1B5A"/>
    <w:rsid w:val="00BC1BF5"/>
    <w:rsid w:val="00BC1FD3"/>
    <w:rsid w:val="00BC20CE"/>
    <w:rsid w:val="00BC28E2"/>
    <w:rsid w:val="00BC294C"/>
    <w:rsid w:val="00BC2AA4"/>
    <w:rsid w:val="00BC2E6B"/>
    <w:rsid w:val="00BC311C"/>
    <w:rsid w:val="00BC3181"/>
    <w:rsid w:val="00BC3BFE"/>
    <w:rsid w:val="00BC5328"/>
    <w:rsid w:val="00BC55E6"/>
    <w:rsid w:val="00BC5828"/>
    <w:rsid w:val="00BC61B0"/>
    <w:rsid w:val="00BC66A6"/>
    <w:rsid w:val="00BC66F6"/>
    <w:rsid w:val="00BC6944"/>
    <w:rsid w:val="00BC6F03"/>
    <w:rsid w:val="00BC7E9A"/>
    <w:rsid w:val="00BD0350"/>
    <w:rsid w:val="00BD0C9B"/>
    <w:rsid w:val="00BD10C4"/>
    <w:rsid w:val="00BD1943"/>
    <w:rsid w:val="00BD30FA"/>
    <w:rsid w:val="00BD4CC7"/>
    <w:rsid w:val="00BD4CDE"/>
    <w:rsid w:val="00BD4D60"/>
    <w:rsid w:val="00BD5A69"/>
    <w:rsid w:val="00BD61C6"/>
    <w:rsid w:val="00BD6C62"/>
    <w:rsid w:val="00BD7FC5"/>
    <w:rsid w:val="00BE09D6"/>
    <w:rsid w:val="00BE1157"/>
    <w:rsid w:val="00BE2068"/>
    <w:rsid w:val="00BE2C8C"/>
    <w:rsid w:val="00BE4C2A"/>
    <w:rsid w:val="00BE5237"/>
    <w:rsid w:val="00BE5254"/>
    <w:rsid w:val="00BE5EC1"/>
    <w:rsid w:val="00BE64B6"/>
    <w:rsid w:val="00BE782D"/>
    <w:rsid w:val="00BF0A0D"/>
    <w:rsid w:val="00BF1173"/>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86"/>
    <w:rsid w:val="00C012DB"/>
    <w:rsid w:val="00C0139B"/>
    <w:rsid w:val="00C01434"/>
    <w:rsid w:val="00C02280"/>
    <w:rsid w:val="00C02966"/>
    <w:rsid w:val="00C02E6D"/>
    <w:rsid w:val="00C0306D"/>
    <w:rsid w:val="00C03133"/>
    <w:rsid w:val="00C031A7"/>
    <w:rsid w:val="00C0324B"/>
    <w:rsid w:val="00C035B0"/>
    <w:rsid w:val="00C036FE"/>
    <w:rsid w:val="00C0375D"/>
    <w:rsid w:val="00C06027"/>
    <w:rsid w:val="00C06DD7"/>
    <w:rsid w:val="00C070DE"/>
    <w:rsid w:val="00C07414"/>
    <w:rsid w:val="00C07477"/>
    <w:rsid w:val="00C078EE"/>
    <w:rsid w:val="00C07BC3"/>
    <w:rsid w:val="00C106E7"/>
    <w:rsid w:val="00C10AD5"/>
    <w:rsid w:val="00C10C58"/>
    <w:rsid w:val="00C10C5E"/>
    <w:rsid w:val="00C11150"/>
    <w:rsid w:val="00C11A34"/>
    <w:rsid w:val="00C11F3E"/>
    <w:rsid w:val="00C1275E"/>
    <w:rsid w:val="00C12C5E"/>
    <w:rsid w:val="00C12D0D"/>
    <w:rsid w:val="00C13626"/>
    <w:rsid w:val="00C13768"/>
    <w:rsid w:val="00C14DA0"/>
    <w:rsid w:val="00C14DA9"/>
    <w:rsid w:val="00C14DFB"/>
    <w:rsid w:val="00C15068"/>
    <w:rsid w:val="00C1671F"/>
    <w:rsid w:val="00C16964"/>
    <w:rsid w:val="00C16B54"/>
    <w:rsid w:val="00C20663"/>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DD5"/>
    <w:rsid w:val="00C26F9C"/>
    <w:rsid w:val="00C2796B"/>
    <w:rsid w:val="00C279FA"/>
    <w:rsid w:val="00C30E3A"/>
    <w:rsid w:val="00C326AD"/>
    <w:rsid w:val="00C3288C"/>
    <w:rsid w:val="00C32D2B"/>
    <w:rsid w:val="00C33393"/>
    <w:rsid w:val="00C343C2"/>
    <w:rsid w:val="00C3589E"/>
    <w:rsid w:val="00C35D7F"/>
    <w:rsid w:val="00C375B0"/>
    <w:rsid w:val="00C40086"/>
    <w:rsid w:val="00C402D4"/>
    <w:rsid w:val="00C40C9B"/>
    <w:rsid w:val="00C4275F"/>
    <w:rsid w:val="00C42C57"/>
    <w:rsid w:val="00C42C6A"/>
    <w:rsid w:val="00C4320A"/>
    <w:rsid w:val="00C43631"/>
    <w:rsid w:val="00C4371A"/>
    <w:rsid w:val="00C43748"/>
    <w:rsid w:val="00C437DB"/>
    <w:rsid w:val="00C43A15"/>
    <w:rsid w:val="00C4473A"/>
    <w:rsid w:val="00C44A94"/>
    <w:rsid w:val="00C44F4F"/>
    <w:rsid w:val="00C46AF0"/>
    <w:rsid w:val="00C476C3"/>
    <w:rsid w:val="00C47881"/>
    <w:rsid w:val="00C47CA2"/>
    <w:rsid w:val="00C504ED"/>
    <w:rsid w:val="00C50AF4"/>
    <w:rsid w:val="00C50C56"/>
    <w:rsid w:val="00C51375"/>
    <w:rsid w:val="00C5261B"/>
    <w:rsid w:val="00C52715"/>
    <w:rsid w:val="00C52716"/>
    <w:rsid w:val="00C52E42"/>
    <w:rsid w:val="00C54175"/>
    <w:rsid w:val="00C54206"/>
    <w:rsid w:val="00C54958"/>
    <w:rsid w:val="00C54B4B"/>
    <w:rsid w:val="00C550DE"/>
    <w:rsid w:val="00C55A4C"/>
    <w:rsid w:val="00C55EC9"/>
    <w:rsid w:val="00C55FB1"/>
    <w:rsid w:val="00C57403"/>
    <w:rsid w:val="00C60680"/>
    <w:rsid w:val="00C607BC"/>
    <w:rsid w:val="00C6088A"/>
    <w:rsid w:val="00C61011"/>
    <w:rsid w:val="00C61DE6"/>
    <w:rsid w:val="00C63E97"/>
    <w:rsid w:val="00C64416"/>
    <w:rsid w:val="00C6492E"/>
    <w:rsid w:val="00C649DC"/>
    <w:rsid w:val="00C64E68"/>
    <w:rsid w:val="00C65106"/>
    <w:rsid w:val="00C66C47"/>
    <w:rsid w:val="00C6709C"/>
    <w:rsid w:val="00C67631"/>
    <w:rsid w:val="00C705AF"/>
    <w:rsid w:val="00C70895"/>
    <w:rsid w:val="00C7192D"/>
    <w:rsid w:val="00C71B1C"/>
    <w:rsid w:val="00C7205A"/>
    <w:rsid w:val="00C72649"/>
    <w:rsid w:val="00C73739"/>
    <w:rsid w:val="00C73A0F"/>
    <w:rsid w:val="00C74F4B"/>
    <w:rsid w:val="00C75017"/>
    <w:rsid w:val="00C75196"/>
    <w:rsid w:val="00C752B1"/>
    <w:rsid w:val="00C7585B"/>
    <w:rsid w:val="00C75A0F"/>
    <w:rsid w:val="00C764E9"/>
    <w:rsid w:val="00C76BD0"/>
    <w:rsid w:val="00C7784C"/>
    <w:rsid w:val="00C77C64"/>
    <w:rsid w:val="00C77F97"/>
    <w:rsid w:val="00C80616"/>
    <w:rsid w:val="00C81796"/>
    <w:rsid w:val="00C82171"/>
    <w:rsid w:val="00C8224D"/>
    <w:rsid w:val="00C8287F"/>
    <w:rsid w:val="00C828E2"/>
    <w:rsid w:val="00C833F4"/>
    <w:rsid w:val="00C8357D"/>
    <w:rsid w:val="00C83C69"/>
    <w:rsid w:val="00C8433A"/>
    <w:rsid w:val="00C845AF"/>
    <w:rsid w:val="00C84DC3"/>
    <w:rsid w:val="00C86385"/>
    <w:rsid w:val="00C87D9F"/>
    <w:rsid w:val="00C9174E"/>
    <w:rsid w:val="00C91D94"/>
    <w:rsid w:val="00C9262A"/>
    <w:rsid w:val="00C92753"/>
    <w:rsid w:val="00C92F8B"/>
    <w:rsid w:val="00C930F0"/>
    <w:rsid w:val="00C9331A"/>
    <w:rsid w:val="00C93A4E"/>
    <w:rsid w:val="00C93D51"/>
    <w:rsid w:val="00C93F2B"/>
    <w:rsid w:val="00C95065"/>
    <w:rsid w:val="00C969AE"/>
    <w:rsid w:val="00C96A28"/>
    <w:rsid w:val="00C978CD"/>
    <w:rsid w:val="00CA0494"/>
    <w:rsid w:val="00CA0567"/>
    <w:rsid w:val="00CA092A"/>
    <w:rsid w:val="00CA0C90"/>
    <w:rsid w:val="00CA1AEA"/>
    <w:rsid w:val="00CA1FBB"/>
    <w:rsid w:val="00CA27CC"/>
    <w:rsid w:val="00CA2A05"/>
    <w:rsid w:val="00CA3585"/>
    <w:rsid w:val="00CA472D"/>
    <w:rsid w:val="00CA522B"/>
    <w:rsid w:val="00CA5572"/>
    <w:rsid w:val="00CA5AD4"/>
    <w:rsid w:val="00CA5F54"/>
    <w:rsid w:val="00CA6BE6"/>
    <w:rsid w:val="00CA7128"/>
    <w:rsid w:val="00CA7592"/>
    <w:rsid w:val="00CA7A9B"/>
    <w:rsid w:val="00CA7D58"/>
    <w:rsid w:val="00CB0591"/>
    <w:rsid w:val="00CB0709"/>
    <w:rsid w:val="00CB0906"/>
    <w:rsid w:val="00CB10DF"/>
    <w:rsid w:val="00CB1447"/>
    <w:rsid w:val="00CB1F78"/>
    <w:rsid w:val="00CB2585"/>
    <w:rsid w:val="00CB382E"/>
    <w:rsid w:val="00CB398C"/>
    <w:rsid w:val="00CB3AA9"/>
    <w:rsid w:val="00CB42C5"/>
    <w:rsid w:val="00CB42E6"/>
    <w:rsid w:val="00CB4668"/>
    <w:rsid w:val="00CB5F5A"/>
    <w:rsid w:val="00CB6795"/>
    <w:rsid w:val="00CB6AA7"/>
    <w:rsid w:val="00CC18B5"/>
    <w:rsid w:val="00CC2B18"/>
    <w:rsid w:val="00CC2E14"/>
    <w:rsid w:val="00CC30F3"/>
    <w:rsid w:val="00CC3395"/>
    <w:rsid w:val="00CC34D2"/>
    <w:rsid w:val="00CC3962"/>
    <w:rsid w:val="00CC472C"/>
    <w:rsid w:val="00CC5230"/>
    <w:rsid w:val="00CC640C"/>
    <w:rsid w:val="00CC6AAA"/>
    <w:rsid w:val="00CC6AD5"/>
    <w:rsid w:val="00CC6D78"/>
    <w:rsid w:val="00CC6F92"/>
    <w:rsid w:val="00CC6FD5"/>
    <w:rsid w:val="00CC7DF4"/>
    <w:rsid w:val="00CD0FA4"/>
    <w:rsid w:val="00CD1320"/>
    <w:rsid w:val="00CD1FB6"/>
    <w:rsid w:val="00CD23CD"/>
    <w:rsid w:val="00CD2A6A"/>
    <w:rsid w:val="00CD3AAB"/>
    <w:rsid w:val="00CD3BE7"/>
    <w:rsid w:val="00CD3C39"/>
    <w:rsid w:val="00CD44E1"/>
    <w:rsid w:val="00CD48D4"/>
    <w:rsid w:val="00CD4CC9"/>
    <w:rsid w:val="00CD4FC6"/>
    <w:rsid w:val="00CD5112"/>
    <w:rsid w:val="00CD60BF"/>
    <w:rsid w:val="00CD6317"/>
    <w:rsid w:val="00CD634F"/>
    <w:rsid w:val="00CD635F"/>
    <w:rsid w:val="00CD70FD"/>
    <w:rsid w:val="00CD7250"/>
    <w:rsid w:val="00CD7DF1"/>
    <w:rsid w:val="00CE0C1E"/>
    <w:rsid w:val="00CE0EA0"/>
    <w:rsid w:val="00CE1629"/>
    <w:rsid w:val="00CE34DB"/>
    <w:rsid w:val="00CE3A91"/>
    <w:rsid w:val="00CE429C"/>
    <w:rsid w:val="00CE5134"/>
    <w:rsid w:val="00CE557C"/>
    <w:rsid w:val="00CE5C0D"/>
    <w:rsid w:val="00CE66BD"/>
    <w:rsid w:val="00CF099D"/>
    <w:rsid w:val="00CF313D"/>
    <w:rsid w:val="00CF3163"/>
    <w:rsid w:val="00CF364C"/>
    <w:rsid w:val="00CF37C9"/>
    <w:rsid w:val="00CF3B7A"/>
    <w:rsid w:val="00CF3F2F"/>
    <w:rsid w:val="00CF45F7"/>
    <w:rsid w:val="00CF66C5"/>
    <w:rsid w:val="00CF7D62"/>
    <w:rsid w:val="00CF7F6D"/>
    <w:rsid w:val="00D003D8"/>
    <w:rsid w:val="00D005C9"/>
    <w:rsid w:val="00D007D4"/>
    <w:rsid w:val="00D00E93"/>
    <w:rsid w:val="00D00F41"/>
    <w:rsid w:val="00D01C02"/>
    <w:rsid w:val="00D02C63"/>
    <w:rsid w:val="00D0350F"/>
    <w:rsid w:val="00D03611"/>
    <w:rsid w:val="00D037A5"/>
    <w:rsid w:val="00D03B37"/>
    <w:rsid w:val="00D04599"/>
    <w:rsid w:val="00D04D97"/>
    <w:rsid w:val="00D0527D"/>
    <w:rsid w:val="00D06A9E"/>
    <w:rsid w:val="00D06AA0"/>
    <w:rsid w:val="00D07809"/>
    <w:rsid w:val="00D10759"/>
    <w:rsid w:val="00D11171"/>
    <w:rsid w:val="00D11357"/>
    <w:rsid w:val="00D113BC"/>
    <w:rsid w:val="00D118C1"/>
    <w:rsid w:val="00D118C4"/>
    <w:rsid w:val="00D118DF"/>
    <w:rsid w:val="00D12273"/>
    <w:rsid w:val="00D126D8"/>
    <w:rsid w:val="00D1300F"/>
    <w:rsid w:val="00D13806"/>
    <w:rsid w:val="00D1386A"/>
    <w:rsid w:val="00D13D25"/>
    <w:rsid w:val="00D14256"/>
    <w:rsid w:val="00D14EEA"/>
    <w:rsid w:val="00D15460"/>
    <w:rsid w:val="00D1590B"/>
    <w:rsid w:val="00D15BFA"/>
    <w:rsid w:val="00D16092"/>
    <w:rsid w:val="00D1622D"/>
    <w:rsid w:val="00D16287"/>
    <w:rsid w:val="00D16387"/>
    <w:rsid w:val="00D16622"/>
    <w:rsid w:val="00D16856"/>
    <w:rsid w:val="00D16B6B"/>
    <w:rsid w:val="00D1776E"/>
    <w:rsid w:val="00D17BCE"/>
    <w:rsid w:val="00D17D77"/>
    <w:rsid w:val="00D2079E"/>
    <w:rsid w:val="00D212CF"/>
    <w:rsid w:val="00D22087"/>
    <w:rsid w:val="00D22374"/>
    <w:rsid w:val="00D22F1F"/>
    <w:rsid w:val="00D22F89"/>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557"/>
    <w:rsid w:val="00D32CE6"/>
    <w:rsid w:val="00D348F2"/>
    <w:rsid w:val="00D34DBC"/>
    <w:rsid w:val="00D35464"/>
    <w:rsid w:val="00D35514"/>
    <w:rsid w:val="00D370F7"/>
    <w:rsid w:val="00D40662"/>
    <w:rsid w:val="00D42117"/>
    <w:rsid w:val="00D429E8"/>
    <w:rsid w:val="00D42AE1"/>
    <w:rsid w:val="00D4309C"/>
    <w:rsid w:val="00D4379D"/>
    <w:rsid w:val="00D438A9"/>
    <w:rsid w:val="00D44DA4"/>
    <w:rsid w:val="00D4538B"/>
    <w:rsid w:val="00D463FC"/>
    <w:rsid w:val="00D47335"/>
    <w:rsid w:val="00D47C12"/>
    <w:rsid w:val="00D503B8"/>
    <w:rsid w:val="00D52CEE"/>
    <w:rsid w:val="00D53012"/>
    <w:rsid w:val="00D5382E"/>
    <w:rsid w:val="00D541B4"/>
    <w:rsid w:val="00D546AA"/>
    <w:rsid w:val="00D549A9"/>
    <w:rsid w:val="00D549CD"/>
    <w:rsid w:val="00D55725"/>
    <w:rsid w:val="00D5594F"/>
    <w:rsid w:val="00D55ED4"/>
    <w:rsid w:val="00D56007"/>
    <w:rsid w:val="00D561ED"/>
    <w:rsid w:val="00D57416"/>
    <w:rsid w:val="00D611A3"/>
    <w:rsid w:val="00D61936"/>
    <w:rsid w:val="00D62DD4"/>
    <w:rsid w:val="00D62E80"/>
    <w:rsid w:val="00D6306D"/>
    <w:rsid w:val="00D634D7"/>
    <w:rsid w:val="00D636CB"/>
    <w:rsid w:val="00D637AA"/>
    <w:rsid w:val="00D63A97"/>
    <w:rsid w:val="00D63C8D"/>
    <w:rsid w:val="00D6453B"/>
    <w:rsid w:val="00D6457D"/>
    <w:rsid w:val="00D65AFA"/>
    <w:rsid w:val="00D66C84"/>
    <w:rsid w:val="00D6721C"/>
    <w:rsid w:val="00D673E9"/>
    <w:rsid w:val="00D677AD"/>
    <w:rsid w:val="00D6795B"/>
    <w:rsid w:val="00D70346"/>
    <w:rsid w:val="00D70768"/>
    <w:rsid w:val="00D708E2"/>
    <w:rsid w:val="00D71008"/>
    <w:rsid w:val="00D73535"/>
    <w:rsid w:val="00D73796"/>
    <w:rsid w:val="00D737D0"/>
    <w:rsid w:val="00D746C1"/>
    <w:rsid w:val="00D75A31"/>
    <w:rsid w:val="00D76F43"/>
    <w:rsid w:val="00D779FC"/>
    <w:rsid w:val="00D805D8"/>
    <w:rsid w:val="00D80926"/>
    <w:rsid w:val="00D80B2D"/>
    <w:rsid w:val="00D81923"/>
    <w:rsid w:val="00D82CCC"/>
    <w:rsid w:val="00D841D5"/>
    <w:rsid w:val="00D85614"/>
    <w:rsid w:val="00D866DD"/>
    <w:rsid w:val="00D868F5"/>
    <w:rsid w:val="00D86DA8"/>
    <w:rsid w:val="00D8702C"/>
    <w:rsid w:val="00D878A5"/>
    <w:rsid w:val="00D87C04"/>
    <w:rsid w:val="00D87CE8"/>
    <w:rsid w:val="00D87D70"/>
    <w:rsid w:val="00D87EC1"/>
    <w:rsid w:val="00D91249"/>
    <w:rsid w:val="00D9151B"/>
    <w:rsid w:val="00D91AFD"/>
    <w:rsid w:val="00D92297"/>
    <w:rsid w:val="00D923EE"/>
    <w:rsid w:val="00D926A5"/>
    <w:rsid w:val="00D928C3"/>
    <w:rsid w:val="00D92D7E"/>
    <w:rsid w:val="00D92F94"/>
    <w:rsid w:val="00D930FE"/>
    <w:rsid w:val="00D9322C"/>
    <w:rsid w:val="00D936A4"/>
    <w:rsid w:val="00D93A06"/>
    <w:rsid w:val="00D94605"/>
    <w:rsid w:val="00D948F4"/>
    <w:rsid w:val="00D95153"/>
    <w:rsid w:val="00D96283"/>
    <w:rsid w:val="00D96321"/>
    <w:rsid w:val="00D96926"/>
    <w:rsid w:val="00D97256"/>
    <w:rsid w:val="00DA00B6"/>
    <w:rsid w:val="00DA0563"/>
    <w:rsid w:val="00DA10C2"/>
    <w:rsid w:val="00DA1C7A"/>
    <w:rsid w:val="00DA2758"/>
    <w:rsid w:val="00DA2FE4"/>
    <w:rsid w:val="00DA3EC9"/>
    <w:rsid w:val="00DA3F15"/>
    <w:rsid w:val="00DA4123"/>
    <w:rsid w:val="00DA4247"/>
    <w:rsid w:val="00DA44B4"/>
    <w:rsid w:val="00DA4D24"/>
    <w:rsid w:val="00DA5516"/>
    <w:rsid w:val="00DA574F"/>
    <w:rsid w:val="00DA66E7"/>
    <w:rsid w:val="00DA6AC9"/>
    <w:rsid w:val="00DB187C"/>
    <w:rsid w:val="00DB1F26"/>
    <w:rsid w:val="00DB2721"/>
    <w:rsid w:val="00DB2931"/>
    <w:rsid w:val="00DB2C18"/>
    <w:rsid w:val="00DB36A2"/>
    <w:rsid w:val="00DB38EF"/>
    <w:rsid w:val="00DB3A57"/>
    <w:rsid w:val="00DB3D0D"/>
    <w:rsid w:val="00DB4276"/>
    <w:rsid w:val="00DB47F1"/>
    <w:rsid w:val="00DB5094"/>
    <w:rsid w:val="00DB6522"/>
    <w:rsid w:val="00DB6FB0"/>
    <w:rsid w:val="00DB6FD4"/>
    <w:rsid w:val="00DC0076"/>
    <w:rsid w:val="00DC19C3"/>
    <w:rsid w:val="00DC1A83"/>
    <w:rsid w:val="00DC1D6B"/>
    <w:rsid w:val="00DC266D"/>
    <w:rsid w:val="00DC3009"/>
    <w:rsid w:val="00DC36B9"/>
    <w:rsid w:val="00DC3F5E"/>
    <w:rsid w:val="00DC43FB"/>
    <w:rsid w:val="00DC4927"/>
    <w:rsid w:val="00DC6002"/>
    <w:rsid w:val="00DC626F"/>
    <w:rsid w:val="00DC67FC"/>
    <w:rsid w:val="00DC6E6F"/>
    <w:rsid w:val="00DC70CA"/>
    <w:rsid w:val="00DC71D8"/>
    <w:rsid w:val="00DC753A"/>
    <w:rsid w:val="00DC7A73"/>
    <w:rsid w:val="00DD08DD"/>
    <w:rsid w:val="00DD091F"/>
    <w:rsid w:val="00DD136E"/>
    <w:rsid w:val="00DD1B85"/>
    <w:rsid w:val="00DD29FE"/>
    <w:rsid w:val="00DD315A"/>
    <w:rsid w:val="00DD3283"/>
    <w:rsid w:val="00DD5A71"/>
    <w:rsid w:val="00DD6565"/>
    <w:rsid w:val="00DD6AAE"/>
    <w:rsid w:val="00DD6B5C"/>
    <w:rsid w:val="00DD6FB9"/>
    <w:rsid w:val="00DD6FF6"/>
    <w:rsid w:val="00DD71A3"/>
    <w:rsid w:val="00DD7213"/>
    <w:rsid w:val="00DD73EF"/>
    <w:rsid w:val="00DD7624"/>
    <w:rsid w:val="00DD7B4F"/>
    <w:rsid w:val="00DE112F"/>
    <w:rsid w:val="00DE1748"/>
    <w:rsid w:val="00DE19BA"/>
    <w:rsid w:val="00DE1E21"/>
    <w:rsid w:val="00DE2144"/>
    <w:rsid w:val="00DE2C93"/>
    <w:rsid w:val="00DE3037"/>
    <w:rsid w:val="00DE337B"/>
    <w:rsid w:val="00DE3926"/>
    <w:rsid w:val="00DE407A"/>
    <w:rsid w:val="00DE543E"/>
    <w:rsid w:val="00DE55F2"/>
    <w:rsid w:val="00DE5D72"/>
    <w:rsid w:val="00DE63FC"/>
    <w:rsid w:val="00DE6B99"/>
    <w:rsid w:val="00DF0534"/>
    <w:rsid w:val="00DF0ED1"/>
    <w:rsid w:val="00DF1040"/>
    <w:rsid w:val="00DF2846"/>
    <w:rsid w:val="00DF2A30"/>
    <w:rsid w:val="00DF2E83"/>
    <w:rsid w:val="00DF2F77"/>
    <w:rsid w:val="00DF322F"/>
    <w:rsid w:val="00DF36B9"/>
    <w:rsid w:val="00DF395A"/>
    <w:rsid w:val="00DF3BF3"/>
    <w:rsid w:val="00DF42D6"/>
    <w:rsid w:val="00DF494C"/>
    <w:rsid w:val="00DF530B"/>
    <w:rsid w:val="00DF57A6"/>
    <w:rsid w:val="00DF6606"/>
    <w:rsid w:val="00DF7B7D"/>
    <w:rsid w:val="00DF7F12"/>
    <w:rsid w:val="00E00601"/>
    <w:rsid w:val="00E01AA3"/>
    <w:rsid w:val="00E01FB2"/>
    <w:rsid w:val="00E02065"/>
    <w:rsid w:val="00E0216E"/>
    <w:rsid w:val="00E02807"/>
    <w:rsid w:val="00E02F34"/>
    <w:rsid w:val="00E03418"/>
    <w:rsid w:val="00E0455C"/>
    <w:rsid w:val="00E06A25"/>
    <w:rsid w:val="00E07F3C"/>
    <w:rsid w:val="00E11964"/>
    <w:rsid w:val="00E11D16"/>
    <w:rsid w:val="00E11F51"/>
    <w:rsid w:val="00E124CD"/>
    <w:rsid w:val="00E12CAB"/>
    <w:rsid w:val="00E12F75"/>
    <w:rsid w:val="00E13D12"/>
    <w:rsid w:val="00E14246"/>
    <w:rsid w:val="00E14886"/>
    <w:rsid w:val="00E14B45"/>
    <w:rsid w:val="00E14F85"/>
    <w:rsid w:val="00E15324"/>
    <w:rsid w:val="00E1578B"/>
    <w:rsid w:val="00E165D6"/>
    <w:rsid w:val="00E16ED0"/>
    <w:rsid w:val="00E17516"/>
    <w:rsid w:val="00E178D8"/>
    <w:rsid w:val="00E17A1C"/>
    <w:rsid w:val="00E20030"/>
    <w:rsid w:val="00E201AE"/>
    <w:rsid w:val="00E20913"/>
    <w:rsid w:val="00E2095E"/>
    <w:rsid w:val="00E20A20"/>
    <w:rsid w:val="00E22148"/>
    <w:rsid w:val="00E22A4C"/>
    <w:rsid w:val="00E23473"/>
    <w:rsid w:val="00E23BA7"/>
    <w:rsid w:val="00E252B8"/>
    <w:rsid w:val="00E25311"/>
    <w:rsid w:val="00E27005"/>
    <w:rsid w:val="00E27337"/>
    <w:rsid w:val="00E275E0"/>
    <w:rsid w:val="00E27854"/>
    <w:rsid w:val="00E27AF7"/>
    <w:rsid w:val="00E30111"/>
    <w:rsid w:val="00E30379"/>
    <w:rsid w:val="00E30704"/>
    <w:rsid w:val="00E30FC4"/>
    <w:rsid w:val="00E31539"/>
    <w:rsid w:val="00E326D5"/>
    <w:rsid w:val="00E32716"/>
    <w:rsid w:val="00E32730"/>
    <w:rsid w:val="00E33AE9"/>
    <w:rsid w:val="00E33CF0"/>
    <w:rsid w:val="00E3402E"/>
    <w:rsid w:val="00E34228"/>
    <w:rsid w:val="00E344AA"/>
    <w:rsid w:val="00E34AE0"/>
    <w:rsid w:val="00E35A0B"/>
    <w:rsid w:val="00E36A44"/>
    <w:rsid w:val="00E40027"/>
    <w:rsid w:val="00E40F7A"/>
    <w:rsid w:val="00E41024"/>
    <w:rsid w:val="00E41A04"/>
    <w:rsid w:val="00E41E40"/>
    <w:rsid w:val="00E428FF"/>
    <w:rsid w:val="00E42B4A"/>
    <w:rsid w:val="00E430C4"/>
    <w:rsid w:val="00E43471"/>
    <w:rsid w:val="00E44819"/>
    <w:rsid w:val="00E45A77"/>
    <w:rsid w:val="00E45CC8"/>
    <w:rsid w:val="00E473E7"/>
    <w:rsid w:val="00E47D23"/>
    <w:rsid w:val="00E50FA7"/>
    <w:rsid w:val="00E52120"/>
    <w:rsid w:val="00E527DB"/>
    <w:rsid w:val="00E52A96"/>
    <w:rsid w:val="00E52BCA"/>
    <w:rsid w:val="00E53673"/>
    <w:rsid w:val="00E5433A"/>
    <w:rsid w:val="00E54CE6"/>
    <w:rsid w:val="00E54D58"/>
    <w:rsid w:val="00E552ED"/>
    <w:rsid w:val="00E558B9"/>
    <w:rsid w:val="00E56A2B"/>
    <w:rsid w:val="00E56A9B"/>
    <w:rsid w:val="00E56CC2"/>
    <w:rsid w:val="00E60187"/>
    <w:rsid w:val="00E605A2"/>
    <w:rsid w:val="00E60FAA"/>
    <w:rsid w:val="00E62207"/>
    <w:rsid w:val="00E62BB1"/>
    <w:rsid w:val="00E639A8"/>
    <w:rsid w:val="00E63E2E"/>
    <w:rsid w:val="00E64548"/>
    <w:rsid w:val="00E667F3"/>
    <w:rsid w:val="00E67D25"/>
    <w:rsid w:val="00E67E1C"/>
    <w:rsid w:val="00E700C1"/>
    <w:rsid w:val="00E70D30"/>
    <w:rsid w:val="00E70E2E"/>
    <w:rsid w:val="00E7103A"/>
    <w:rsid w:val="00E71663"/>
    <w:rsid w:val="00E71783"/>
    <w:rsid w:val="00E72E14"/>
    <w:rsid w:val="00E732BC"/>
    <w:rsid w:val="00E73CF6"/>
    <w:rsid w:val="00E73F90"/>
    <w:rsid w:val="00E74E4A"/>
    <w:rsid w:val="00E75245"/>
    <w:rsid w:val="00E76FA9"/>
    <w:rsid w:val="00E76FAB"/>
    <w:rsid w:val="00E7710C"/>
    <w:rsid w:val="00E77508"/>
    <w:rsid w:val="00E803D5"/>
    <w:rsid w:val="00E804C5"/>
    <w:rsid w:val="00E808FC"/>
    <w:rsid w:val="00E80A43"/>
    <w:rsid w:val="00E80D8D"/>
    <w:rsid w:val="00E80DD2"/>
    <w:rsid w:val="00E82160"/>
    <w:rsid w:val="00E824B8"/>
    <w:rsid w:val="00E82EB1"/>
    <w:rsid w:val="00E83ECB"/>
    <w:rsid w:val="00E84406"/>
    <w:rsid w:val="00E84878"/>
    <w:rsid w:val="00E870BF"/>
    <w:rsid w:val="00E871F5"/>
    <w:rsid w:val="00E87D21"/>
    <w:rsid w:val="00E90347"/>
    <w:rsid w:val="00E907D8"/>
    <w:rsid w:val="00E9095C"/>
    <w:rsid w:val="00E90977"/>
    <w:rsid w:val="00E90A76"/>
    <w:rsid w:val="00E912DE"/>
    <w:rsid w:val="00E91309"/>
    <w:rsid w:val="00E91C92"/>
    <w:rsid w:val="00E92010"/>
    <w:rsid w:val="00E9248D"/>
    <w:rsid w:val="00E92F4C"/>
    <w:rsid w:val="00E945A6"/>
    <w:rsid w:val="00E95B3F"/>
    <w:rsid w:val="00E95B7B"/>
    <w:rsid w:val="00E95EA0"/>
    <w:rsid w:val="00E96D9D"/>
    <w:rsid w:val="00E97BAC"/>
    <w:rsid w:val="00EA1813"/>
    <w:rsid w:val="00EA24B2"/>
    <w:rsid w:val="00EA293D"/>
    <w:rsid w:val="00EA3448"/>
    <w:rsid w:val="00EA43C5"/>
    <w:rsid w:val="00EA43EB"/>
    <w:rsid w:val="00EA5EED"/>
    <w:rsid w:val="00EA6056"/>
    <w:rsid w:val="00EA6069"/>
    <w:rsid w:val="00EA6A52"/>
    <w:rsid w:val="00EA721D"/>
    <w:rsid w:val="00EA76F5"/>
    <w:rsid w:val="00EA7B3B"/>
    <w:rsid w:val="00EA7E3F"/>
    <w:rsid w:val="00EA7E81"/>
    <w:rsid w:val="00EB1576"/>
    <w:rsid w:val="00EB184D"/>
    <w:rsid w:val="00EB2082"/>
    <w:rsid w:val="00EB2230"/>
    <w:rsid w:val="00EB2536"/>
    <w:rsid w:val="00EB3E70"/>
    <w:rsid w:val="00EB4636"/>
    <w:rsid w:val="00EB4F77"/>
    <w:rsid w:val="00EB5733"/>
    <w:rsid w:val="00EB7272"/>
    <w:rsid w:val="00EC1934"/>
    <w:rsid w:val="00EC2719"/>
    <w:rsid w:val="00EC2C99"/>
    <w:rsid w:val="00EC5CFF"/>
    <w:rsid w:val="00ED06C9"/>
    <w:rsid w:val="00ED19EC"/>
    <w:rsid w:val="00ED29B3"/>
    <w:rsid w:val="00ED2E30"/>
    <w:rsid w:val="00ED395D"/>
    <w:rsid w:val="00ED45A0"/>
    <w:rsid w:val="00ED4C30"/>
    <w:rsid w:val="00ED5730"/>
    <w:rsid w:val="00ED6056"/>
    <w:rsid w:val="00ED63E0"/>
    <w:rsid w:val="00ED6998"/>
    <w:rsid w:val="00ED776B"/>
    <w:rsid w:val="00EE0486"/>
    <w:rsid w:val="00EE1547"/>
    <w:rsid w:val="00EE198F"/>
    <w:rsid w:val="00EE26C1"/>
    <w:rsid w:val="00EE28FD"/>
    <w:rsid w:val="00EE3140"/>
    <w:rsid w:val="00EE38A0"/>
    <w:rsid w:val="00EE5950"/>
    <w:rsid w:val="00EE7609"/>
    <w:rsid w:val="00EE7967"/>
    <w:rsid w:val="00EF0F32"/>
    <w:rsid w:val="00EF1508"/>
    <w:rsid w:val="00EF1F8B"/>
    <w:rsid w:val="00EF2C53"/>
    <w:rsid w:val="00EF4126"/>
    <w:rsid w:val="00EF42FF"/>
    <w:rsid w:val="00EF4F04"/>
    <w:rsid w:val="00EF5082"/>
    <w:rsid w:val="00EF6A3C"/>
    <w:rsid w:val="00EF6C9B"/>
    <w:rsid w:val="00EF732B"/>
    <w:rsid w:val="00F0019E"/>
    <w:rsid w:val="00F00200"/>
    <w:rsid w:val="00F0111E"/>
    <w:rsid w:val="00F01441"/>
    <w:rsid w:val="00F01862"/>
    <w:rsid w:val="00F02238"/>
    <w:rsid w:val="00F034F9"/>
    <w:rsid w:val="00F046F3"/>
    <w:rsid w:val="00F04C12"/>
    <w:rsid w:val="00F0573A"/>
    <w:rsid w:val="00F05B39"/>
    <w:rsid w:val="00F05BCC"/>
    <w:rsid w:val="00F05BE0"/>
    <w:rsid w:val="00F07772"/>
    <w:rsid w:val="00F0795E"/>
    <w:rsid w:val="00F07D13"/>
    <w:rsid w:val="00F10C20"/>
    <w:rsid w:val="00F10D8B"/>
    <w:rsid w:val="00F1123A"/>
    <w:rsid w:val="00F11436"/>
    <w:rsid w:val="00F11BC2"/>
    <w:rsid w:val="00F12215"/>
    <w:rsid w:val="00F12842"/>
    <w:rsid w:val="00F13968"/>
    <w:rsid w:val="00F13FDB"/>
    <w:rsid w:val="00F1408D"/>
    <w:rsid w:val="00F144C2"/>
    <w:rsid w:val="00F15540"/>
    <w:rsid w:val="00F16089"/>
    <w:rsid w:val="00F1641F"/>
    <w:rsid w:val="00F17022"/>
    <w:rsid w:val="00F209DF"/>
    <w:rsid w:val="00F20BA9"/>
    <w:rsid w:val="00F20F5B"/>
    <w:rsid w:val="00F23082"/>
    <w:rsid w:val="00F24200"/>
    <w:rsid w:val="00F24E4A"/>
    <w:rsid w:val="00F25B79"/>
    <w:rsid w:val="00F2619B"/>
    <w:rsid w:val="00F261FB"/>
    <w:rsid w:val="00F26BCA"/>
    <w:rsid w:val="00F27269"/>
    <w:rsid w:val="00F276C1"/>
    <w:rsid w:val="00F276EC"/>
    <w:rsid w:val="00F3012A"/>
    <w:rsid w:val="00F302BB"/>
    <w:rsid w:val="00F3059B"/>
    <w:rsid w:val="00F30808"/>
    <w:rsid w:val="00F30CDB"/>
    <w:rsid w:val="00F31402"/>
    <w:rsid w:val="00F3164A"/>
    <w:rsid w:val="00F31DAD"/>
    <w:rsid w:val="00F325D1"/>
    <w:rsid w:val="00F32E26"/>
    <w:rsid w:val="00F33078"/>
    <w:rsid w:val="00F33A2E"/>
    <w:rsid w:val="00F34341"/>
    <w:rsid w:val="00F34678"/>
    <w:rsid w:val="00F34AA0"/>
    <w:rsid w:val="00F3597D"/>
    <w:rsid w:val="00F3601A"/>
    <w:rsid w:val="00F36A79"/>
    <w:rsid w:val="00F3762E"/>
    <w:rsid w:val="00F400EB"/>
    <w:rsid w:val="00F40CC2"/>
    <w:rsid w:val="00F41856"/>
    <w:rsid w:val="00F41A0C"/>
    <w:rsid w:val="00F42612"/>
    <w:rsid w:val="00F42A0D"/>
    <w:rsid w:val="00F43343"/>
    <w:rsid w:val="00F439A8"/>
    <w:rsid w:val="00F44272"/>
    <w:rsid w:val="00F44924"/>
    <w:rsid w:val="00F44BA0"/>
    <w:rsid w:val="00F44EBB"/>
    <w:rsid w:val="00F45520"/>
    <w:rsid w:val="00F457D1"/>
    <w:rsid w:val="00F46497"/>
    <w:rsid w:val="00F47072"/>
    <w:rsid w:val="00F471C0"/>
    <w:rsid w:val="00F47662"/>
    <w:rsid w:val="00F479F0"/>
    <w:rsid w:val="00F501F8"/>
    <w:rsid w:val="00F505D7"/>
    <w:rsid w:val="00F50A7D"/>
    <w:rsid w:val="00F50CCB"/>
    <w:rsid w:val="00F52E12"/>
    <w:rsid w:val="00F5315B"/>
    <w:rsid w:val="00F541A4"/>
    <w:rsid w:val="00F54E90"/>
    <w:rsid w:val="00F5612E"/>
    <w:rsid w:val="00F57C87"/>
    <w:rsid w:val="00F57DA9"/>
    <w:rsid w:val="00F601E6"/>
    <w:rsid w:val="00F60659"/>
    <w:rsid w:val="00F6114C"/>
    <w:rsid w:val="00F61980"/>
    <w:rsid w:val="00F61BA1"/>
    <w:rsid w:val="00F622A9"/>
    <w:rsid w:val="00F63EAC"/>
    <w:rsid w:val="00F644BE"/>
    <w:rsid w:val="00F64CC7"/>
    <w:rsid w:val="00F64E41"/>
    <w:rsid w:val="00F6505E"/>
    <w:rsid w:val="00F659A1"/>
    <w:rsid w:val="00F6620E"/>
    <w:rsid w:val="00F66834"/>
    <w:rsid w:val="00F6776C"/>
    <w:rsid w:val="00F67D8B"/>
    <w:rsid w:val="00F70417"/>
    <w:rsid w:val="00F707B7"/>
    <w:rsid w:val="00F70858"/>
    <w:rsid w:val="00F70ADA"/>
    <w:rsid w:val="00F70C25"/>
    <w:rsid w:val="00F714F9"/>
    <w:rsid w:val="00F71914"/>
    <w:rsid w:val="00F72F6E"/>
    <w:rsid w:val="00F739F5"/>
    <w:rsid w:val="00F7429F"/>
    <w:rsid w:val="00F7470A"/>
    <w:rsid w:val="00F75001"/>
    <w:rsid w:val="00F755F9"/>
    <w:rsid w:val="00F75E65"/>
    <w:rsid w:val="00F76F32"/>
    <w:rsid w:val="00F77566"/>
    <w:rsid w:val="00F80280"/>
    <w:rsid w:val="00F802C0"/>
    <w:rsid w:val="00F80585"/>
    <w:rsid w:val="00F80707"/>
    <w:rsid w:val="00F80A8C"/>
    <w:rsid w:val="00F811CF"/>
    <w:rsid w:val="00F82A53"/>
    <w:rsid w:val="00F82CD4"/>
    <w:rsid w:val="00F83001"/>
    <w:rsid w:val="00F83CB7"/>
    <w:rsid w:val="00F84E8A"/>
    <w:rsid w:val="00F850B4"/>
    <w:rsid w:val="00F85399"/>
    <w:rsid w:val="00F85505"/>
    <w:rsid w:val="00F85E21"/>
    <w:rsid w:val="00F86C7E"/>
    <w:rsid w:val="00F86EA7"/>
    <w:rsid w:val="00F87123"/>
    <w:rsid w:val="00F902DF"/>
    <w:rsid w:val="00F90DD0"/>
    <w:rsid w:val="00F9105A"/>
    <w:rsid w:val="00F913E0"/>
    <w:rsid w:val="00F91C30"/>
    <w:rsid w:val="00F91C97"/>
    <w:rsid w:val="00F925EC"/>
    <w:rsid w:val="00F9301D"/>
    <w:rsid w:val="00F934D9"/>
    <w:rsid w:val="00F93650"/>
    <w:rsid w:val="00F9375A"/>
    <w:rsid w:val="00F944C6"/>
    <w:rsid w:val="00F947FA"/>
    <w:rsid w:val="00F95030"/>
    <w:rsid w:val="00F95436"/>
    <w:rsid w:val="00F95921"/>
    <w:rsid w:val="00F959A8"/>
    <w:rsid w:val="00F95E22"/>
    <w:rsid w:val="00F96476"/>
    <w:rsid w:val="00F9753F"/>
    <w:rsid w:val="00FA06C1"/>
    <w:rsid w:val="00FA0EE9"/>
    <w:rsid w:val="00FA1026"/>
    <w:rsid w:val="00FA12B5"/>
    <w:rsid w:val="00FA2DD4"/>
    <w:rsid w:val="00FA2EB7"/>
    <w:rsid w:val="00FA310E"/>
    <w:rsid w:val="00FA39D9"/>
    <w:rsid w:val="00FA44C2"/>
    <w:rsid w:val="00FA4709"/>
    <w:rsid w:val="00FA5440"/>
    <w:rsid w:val="00FA5A96"/>
    <w:rsid w:val="00FA6984"/>
    <w:rsid w:val="00FA6E78"/>
    <w:rsid w:val="00FA7C7D"/>
    <w:rsid w:val="00FB0136"/>
    <w:rsid w:val="00FB13DA"/>
    <w:rsid w:val="00FB1659"/>
    <w:rsid w:val="00FB1EB4"/>
    <w:rsid w:val="00FB1FA9"/>
    <w:rsid w:val="00FB3658"/>
    <w:rsid w:val="00FB3B0E"/>
    <w:rsid w:val="00FB59C9"/>
    <w:rsid w:val="00FB5BC2"/>
    <w:rsid w:val="00FB62CF"/>
    <w:rsid w:val="00FB68C5"/>
    <w:rsid w:val="00FB7035"/>
    <w:rsid w:val="00FB7A2C"/>
    <w:rsid w:val="00FB7A74"/>
    <w:rsid w:val="00FC11B3"/>
    <w:rsid w:val="00FC13F1"/>
    <w:rsid w:val="00FC1E7E"/>
    <w:rsid w:val="00FC2E4A"/>
    <w:rsid w:val="00FC3503"/>
    <w:rsid w:val="00FC362D"/>
    <w:rsid w:val="00FC36E4"/>
    <w:rsid w:val="00FC5486"/>
    <w:rsid w:val="00FC5FDD"/>
    <w:rsid w:val="00FC6773"/>
    <w:rsid w:val="00FC67C9"/>
    <w:rsid w:val="00FC6E59"/>
    <w:rsid w:val="00FC7C02"/>
    <w:rsid w:val="00FD03C2"/>
    <w:rsid w:val="00FD1158"/>
    <w:rsid w:val="00FD1732"/>
    <w:rsid w:val="00FD29B7"/>
    <w:rsid w:val="00FD2B0D"/>
    <w:rsid w:val="00FD2D2C"/>
    <w:rsid w:val="00FD4C8B"/>
    <w:rsid w:val="00FD63DF"/>
    <w:rsid w:val="00FD669F"/>
    <w:rsid w:val="00FD72A0"/>
    <w:rsid w:val="00FD78E0"/>
    <w:rsid w:val="00FD7939"/>
    <w:rsid w:val="00FD7ECD"/>
    <w:rsid w:val="00FE053F"/>
    <w:rsid w:val="00FE0A22"/>
    <w:rsid w:val="00FE0AA1"/>
    <w:rsid w:val="00FE1115"/>
    <w:rsid w:val="00FE138A"/>
    <w:rsid w:val="00FE167F"/>
    <w:rsid w:val="00FE1845"/>
    <w:rsid w:val="00FE3423"/>
    <w:rsid w:val="00FE37EA"/>
    <w:rsid w:val="00FE3DE0"/>
    <w:rsid w:val="00FE4117"/>
    <w:rsid w:val="00FE467B"/>
    <w:rsid w:val="00FE51FE"/>
    <w:rsid w:val="00FE6102"/>
    <w:rsid w:val="00FE626E"/>
    <w:rsid w:val="00FE7250"/>
    <w:rsid w:val="00FE7338"/>
    <w:rsid w:val="00FE7F17"/>
    <w:rsid w:val="00FF0947"/>
    <w:rsid w:val="00FF1A60"/>
    <w:rsid w:val="00FF1E17"/>
    <w:rsid w:val="00FF1EB4"/>
    <w:rsid w:val="00FF1F24"/>
    <w:rsid w:val="00FF30A4"/>
    <w:rsid w:val="00FF3B74"/>
    <w:rsid w:val="00FF3B77"/>
    <w:rsid w:val="00FF49CE"/>
    <w:rsid w:val="00FF52E3"/>
    <w:rsid w:val="00FF53CE"/>
    <w:rsid w:val="00FF65BD"/>
    <w:rsid w:val="00FF6772"/>
    <w:rsid w:val="00FF6FEB"/>
    <w:rsid w:val="00FF7004"/>
    <w:rsid w:val="00FF70F1"/>
    <w:rsid w:val="00FF73D9"/>
    <w:rsid w:val="00FF7843"/>
    <w:rsid w:val="00FF7FA9"/>
    <w:rsid w:val="01035C3C"/>
    <w:rsid w:val="028705FE"/>
    <w:rsid w:val="036B4971"/>
    <w:rsid w:val="04005FA1"/>
    <w:rsid w:val="054E514F"/>
    <w:rsid w:val="05A70A0D"/>
    <w:rsid w:val="05AC0574"/>
    <w:rsid w:val="05BC419D"/>
    <w:rsid w:val="06C61066"/>
    <w:rsid w:val="06D70337"/>
    <w:rsid w:val="06F227DE"/>
    <w:rsid w:val="07680BC8"/>
    <w:rsid w:val="07FB6F8C"/>
    <w:rsid w:val="08D11305"/>
    <w:rsid w:val="091B3835"/>
    <w:rsid w:val="09E84E10"/>
    <w:rsid w:val="0A70684A"/>
    <w:rsid w:val="0A951F6E"/>
    <w:rsid w:val="0B6E1848"/>
    <w:rsid w:val="0BFA53E6"/>
    <w:rsid w:val="0C7F72BD"/>
    <w:rsid w:val="0D844120"/>
    <w:rsid w:val="0D9E60D7"/>
    <w:rsid w:val="0EC7073F"/>
    <w:rsid w:val="0F3B2F67"/>
    <w:rsid w:val="0F9A500F"/>
    <w:rsid w:val="114555CA"/>
    <w:rsid w:val="116077A0"/>
    <w:rsid w:val="11E25FD6"/>
    <w:rsid w:val="11FB3784"/>
    <w:rsid w:val="12427DF1"/>
    <w:rsid w:val="12BA5DE6"/>
    <w:rsid w:val="13FF2FB9"/>
    <w:rsid w:val="15E76A24"/>
    <w:rsid w:val="165C2BC0"/>
    <w:rsid w:val="16AA162C"/>
    <w:rsid w:val="16CB43D6"/>
    <w:rsid w:val="173F3753"/>
    <w:rsid w:val="174801F6"/>
    <w:rsid w:val="17827F02"/>
    <w:rsid w:val="182E7070"/>
    <w:rsid w:val="183F1D1A"/>
    <w:rsid w:val="19F97358"/>
    <w:rsid w:val="1A553748"/>
    <w:rsid w:val="1A6754AF"/>
    <w:rsid w:val="1AE3378E"/>
    <w:rsid w:val="1AFA6EBD"/>
    <w:rsid w:val="1BF61DE9"/>
    <w:rsid w:val="1C2D6E04"/>
    <w:rsid w:val="1C5D0427"/>
    <w:rsid w:val="1C7B3169"/>
    <w:rsid w:val="1C8336FA"/>
    <w:rsid w:val="1C933E4A"/>
    <w:rsid w:val="1FBB5F2E"/>
    <w:rsid w:val="206977D9"/>
    <w:rsid w:val="21A613C7"/>
    <w:rsid w:val="223733C1"/>
    <w:rsid w:val="224E294F"/>
    <w:rsid w:val="226C214F"/>
    <w:rsid w:val="22854FFE"/>
    <w:rsid w:val="22E31283"/>
    <w:rsid w:val="2348000B"/>
    <w:rsid w:val="257A2AD3"/>
    <w:rsid w:val="25AB26B2"/>
    <w:rsid w:val="25B75DFC"/>
    <w:rsid w:val="25BB7DA5"/>
    <w:rsid w:val="2617522C"/>
    <w:rsid w:val="2B9844B8"/>
    <w:rsid w:val="2CC827E0"/>
    <w:rsid w:val="2F2F348A"/>
    <w:rsid w:val="2FAF694F"/>
    <w:rsid w:val="300D3295"/>
    <w:rsid w:val="30274823"/>
    <w:rsid w:val="302D729E"/>
    <w:rsid w:val="308D7334"/>
    <w:rsid w:val="313145D4"/>
    <w:rsid w:val="31C07988"/>
    <w:rsid w:val="31E57E30"/>
    <w:rsid w:val="34514DEA"/>
    <w:rsid w:val="34A5067E"/>
    <w:rsid w:val="34CC3D50"/>
    <w:rsid w:val="35645814"/>
    <w:rsid w:val="359441D9"/>
    <w:rsid w:val="36682807"/>
    <w:rsid w:val="37F86297"/>
    <w:rsid w:val="38077A24"/>
    <w:rsid w:val="39822E25"/>
    <w:rsid w:val="39A33E38"/>
    <w:rsid w:val="39D5078C"/>
    <w:rsid w:val="39E30BB5"/>
    <w:rsid w:val="39F775D0"/>
    <w:rsid w:val="3A874C86"/>
    <w:rsid w:val="3AB70F8D"/>
    <w:rsid w:val="3BD261FC"/>
    <w:rsid w:val="3E2E2B5F"/>
    <w:rsid w:val="3E546CEB"/>
    <w:rsid w:val="3F657D6E"/>
    <w:rsid w:val="4000724E"/>
    <w:rsid w:val="401C19E8"/>
    <w:rsid w:val="418827F6"/>
    <w:rsid w:val="421440A0"/>
    <w:rsid w:val="427914F2"/>
    <w:rsid w:val="42926285"/>
    <w:rsid w:val="42DA0C6E"/>
    <w:rsid w:val="43920409"/>
    <w:rsid w:val="43AA0DB5"/>
    <w:rsid w:val="43AB748D"/>
    <w:rsid w:val="44FA1BC9"/>
    <w:rsid w:val="450966EF"/>
    <w:rsid w:val="4526648A"/>
    <w:rsid w:val="45412657"/>
    <w:rsid w:val="45527213"/>
    <w:rsid w:val="465877C4"/>
    <w:rsid w:val="476612EE"/>
    <w:rsid w:val="4769333A"/>
    <w:rsid w:val="478B4272"/>
    <w:rsid w:val="47EA5B27"/>
    <w:rsid w:val="484771DF"/>
    <w:rsid w:val="48BD6E6E"/>
    <w:rsid w:val="48F15695"/>
    <w:rsid w:val="495F4D4E"/>
    <w:rsid w:val="49782573"/>
    <w:rsid w:val="4A1C5E76"/>
    <w:rsid w:val="4B396733"/>
    <w:rsid w:val="4B3A2F93"/>
    <w:rsid w:val="4CDF200B"/>
    <w:rsid w:val="4D8818A4"/>
    <w:rsid w:val="4DC64796"/>
    <w:rsid w:val="4DCD5378"/>
    <w:rsid w:val="4EAD7AD0"/>
    <w:rsid w:val="4ECA24BB"/>
    <w:rsid w:val="4FBF2B30"/>
    <w:rsid w:val="50070AD0"/>
    <w:rsid w:val="51854483"/>
    <w:rsid w:val="524A1ECB"/>
    <w:rsid w:val="540957A8"/>
    <w:rsid w:val="542A299E"/>
    <w:rsid w:val="54491131"/>
    <w:rsid w:val="54E831A5"/>
    <w:rsid w:val="580249E9"/>
    <w:rsid w:val="5A4159A9"/>
    <w:rsid w:val="5A633C89"/>
    <w:rsid w:val="5B696393"/>
    <w:rsid w:val="5B7B1804"/>
    <w:rsid w:val="5B7D7635"/>
    <w:rsid w:val="5C475F9E"/>
    <w:rsid w:val="5C7D31D8"/>
    <w:rsid w:val="5D684457"/>
    <w:rsid w:val="5EAE747B"/>
    <w:rsid w:val="5EEE5CC7"/>
    <w:rsid w:val="5F34520E"/>
    <w:rsid w:val="5FF5570A"/>
    <w:rsid w:val="601445A3"/>
    <w:rsid w:val="601C5B46"/>
    <w:rsid w:val="606A15ED"/>
    <w:rsid w:val="629209AD"/>
    <w:rsid w:val="641C5084"/>
    <w:rsid w:val="643A375C"/>
    <w:rsid w:val="65D90B98"/>
    <w:rsid w:val="66313589"/>
    <w:rsid w:val="6698440D"/>
    <w:rsid w:val="676E702E"/>
    <w:rsid w:val="67F10FCD"/>
    <w:rsid w:val="69826A39"/>
    <w:rsid w:val="6AFB752E"/>
    <w:rsid w:val="6C0A331C"/>
    <w:rsid w:val="6D0D797F"/>
    <w:rsid w:val="6D881C70"/>
    <w:rsid w:val="6E0C11B0"/>
    <w:rsid w:val="6E2C43B1"/>
    <w:rsid w:val="6E3C0C9C"/>
    <w:rsid w:val="6E446298"/>
    <w:rsid w:val="6E673F14"/>
    <w:rsid w:val="6FDD6381"/>
    <w:rsid w:val="6FF81729"/>
    <w:rsid w:val="74AA237E"/>
    <w:rsid w:val="76B1326F"/>
    <w:rsid w:val="7750345B"/>
    <w:rsid w:val="775E5C88"/>
    <w:rsid w:val="7849732E"/>
    <w:rsid w:val="7B4A52E9"/>
    <w:rsid w:val="7D4D5A35"/>
    <w:rsid w:val="7DA75CF8"/>
    <w:rsid w:val="7DF37ED1"/>
    <w:rsid w:val="7E572F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99"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85"/>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5"/>
    <w:link w:val="86"/>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6">
    <w:name w:val="heading 3"/>
    <w:basedOn w:val="1"/>
    <w:next w:val="1"/>
    <w:link w:val="70"/>
    <w:qFormat/>
    <w:uiPriority w:val="0"/>
    <w:pPr>
      <w:keepNext/>
      <w:keepLines/>
      <w:spacing w:before="260" w:after="260" w:line="416" w:lineRule="auto"/>
      <w:outlineLvl w:val="2"/>
    </w:pPr>
    <w:rPr>
      <w:b/>
      <w:bCs/>
      <w:sz w:val="32"/>
      <w:szCs w:val="32"/>
    </w:rPr>
  </w:style>
  <w:style w:type="paragraph" w:styleId="7">
    <w:name w:val="heading 4"/>
    <w:basedOn w:val="1"/>
    <w:next w:val="1"/>
    <w:link w:val="55"/>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87"/>
    <w:qFormat/>
    <w:uiPriority w:val="0"/>
    <w:pPr>
      <w:keepNext/>
      <w:keepLines/>
      <w:adjustRightInd w:val="0"/>
      <w:spacing w:before="280" w:after="290" w:line="376" w:lineRule="atLeast"/>
      <w:textAlignment w:val="baseline"/>
      <w:outlineLvl w:val="4"/>
    </w:pPr>
    <w:rPr>
      <w:b/>
      <w:kern w:val="0"/>
      <w:sz w:val="28"/>
      <w:szCs w:val="20"/>
    </w:rPr>
  </w:style>
  <w:style w:type="paragraph" w:styleId="9">
    <w:name w:val="heading 6"/>
    <w:basedOn w:val="1"/>
    <w:next w:val="5"/>
    <w:link w:val="88"/>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52"/>
    <w:qFormat/>
    <w:uiPriority w:val="0"/>
    <w:pPr>
      <w:keepNext/>
      <w:keepLines/>
      <w:spacing w:before="240" w:after="64" w:line="320" w:lineRule="auto"/>
      <w:outlineLvl w:val="6"/>
    </w:pPr>
    <w:rPr>
      <w:b/>
      <w:sz w:val="24"/>
      <w:szCs w:val="20"/>
    </w:rPr>
  </w:style>
  <w:style w:type="paragraph" w:styleId="11">
    <w:name w:val="heading 8"/>
    <w:basedOn w:val="1"/>
    <w:next w:val="5"/>
    <w:link w:val="89"/>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53"/>
    <w:qFormat/>
    <w:uiPriority w:val="0"/>
    <w:pPr>
      <w:keepNext/>
      <w:keepLines/>
      <w:spacing w:before="240" w:after="64" w:line="320" w:lineRule="auto"/>
      <w:outlineLvl w:val="8"/>
    </w:pPr>
    <w:rPr>
      <w:rFonts w:ascii="Arial" w:hAnsi="Arial" w:eastAsia="黑体"/>
      <w:szCs w:val="20"/>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styleId="5">
    <w:name w:val="Normal Indent"/>
    <w:basedOn w:val="1"/>
    <w:link w:val="57"/>
    <w:qFormat/>
    <w:uiPriority w:val="0"/>
    <w:pPr>
      <w:ind w:firstLine="420"/>
    </w:pPr>
    <w:rPr>
      <w:szCs w:val="20"/>
    </w:rPr>
  </w:style>
  <w:style w:type="paragraph" w:styleId="13">
    <w:name w:val="toc 7"/>
    <w:basedOn w:val="1"/>
    <w:next w:val="1"/>
    <w:unhideWhenUsed/>
    <w:qFormat/>
    <w:uiPriority w:val="39"/>
    <w:pPr>
      <w:ind w:left="1260"/>
      <w:jc w:val="left"/>
    </w:pPr>
    <w:rPr>
      <w:rFonts w:ascii="Calibri" w:hAnsi="Calibri"/>
      <w:sz w:val="18"/>
      <w:szCs w:val="18"/>
    </w:rPr>
  </w:style>
  <w:style w:type="paragraph" w:styleId="14">
    <w:name w:val="caption"/>
    <w:basedOn w:val="1"/>
    <w:next w:val="1"/>
    <w:link w:val="76"/>
    <w:qFormat/>
    <w:uiPriority w:val="0"/>
    <w:rPr>
      <w:rFonts w:ascii="Arial" w:hAnsi="Arial" w:eastAsia="黑体"/>
      <w:sz w:val="20"/>
      <w:szCs w:val="20"/>
    </w:rPr>
  </w:style>
  <w:style w:type="paragraph" w:styleId="15">
    <w:name w:val="Document Map"/>
    <w:basedOn w:val="1"/>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sz w:val="24"/>
      <w:szCs w:val="20"/>
    </w:rPr>
  </w:style>
  <w:style w:type="paragraph" w:styleId="17">
    <w:name w:val="annotation text"/>
    <w:basedOn w:val="1"/>
    <w:link w:val="69"/>
    <w:semiHidden/>
    <w:qFormat/>
    <w:uiPriority w:val="99"/>
    <w:pPr>
      <w:jc w:val="left"/>
    </w:pPr>
  </w:style>
  <w:style w:type="paragraph" w:styleId="18">
    <w:name w:val="Body Text 3"/>
    <w:basedOn w:val="1"/>
    <w:qFormat/>
    <w:uiPriority w:val="0"/>
    <w:pPr>
      <w:spacing w:after="120"/>
    </w:pPr>
    <w:rPr>
      <w:sz w:val="16"/>
      <w:szCs w:val="16"/>
    </w:rPr>
  </w:style>
  <w:style w:type="paragraph" w:styleId="19">
    <w:name w:val="Body Text"/>
    <w:basedOn w:val="1"/>
    <w:qFormat/>
    <w:uiPriority w:val="0"/>
    <w:pPr>
      <w:spacing w:line="360" w:lineRule="auto"/>
    </w:pPr>
    <w:rPr>
      <w:szCs w:val="20"/>
    </w:rPr>
  </w:style>
  <w:style w:type="paragraph" w:styleId="20">
    <w:name w:val="Body Text Indent"/>
    <w:basedOn w:val="1"/>
    <w:link w:val="62"/>
    <w:qFormat/>
    <w:uiPriority w:val="99"/>
    <w:pPr>
      <w:ind w:firstLine="830" w:firstLineChars="352"/>
    </w:pPr>
    <w:rPr>
      <w:rFonts w:ascii="仿宋_GB2312" w:eastAsia="仿宋_GB2312"/>
      <w:sz w:val="32"/>
      <w:szCs w:val="20"/>
    </w:rPr>
  </w:style>
  <w:style w:type="paragraph" w:styleId="21">
    <w:name w:val="toc 5"/>
    <w:basedOn w:val="1"/>
    <w:next w:val="1"/>
    <w:unhideWhenUsed/>
    <w:qFormat/>
    <w:uiPriority w:val="39"/>
    <w:pPr>
      <w:ind w:left="840"/>
      <w:jc w:val="left"/>
    </w:pPr>
    <w:rPr>
      <w:rFonts w:ascii="Calibri" w:hAnsi="Calibri"/>
      <w:sz w:val="18"/>
      <w:szCs w:val="18"/>
    </w:rPr>
  </w:style>
  <w:style w:type="paragraph" w:styleId="22">
    <w:name w:val="toc 3"/>
    <w:basedOn w:val="1"/>
    <w:next w:val="1"/>
    <w:qFormat/>
    <w:uiPriority w:val="39"/>
    <w:pPr>
      <w:tabs>
        <w:tab w:val="left" w:pos="900"/>
        <w:tab w:val="left" w:pos="1080"/>
      </w:tabs>
      <w:ind w:left="100" w:leftChars="100"/>
    </w:pPr>
    <w:rPr>
      <w:rFonts w:ascii="宋体" w:hAnsi="宋体"/>
      <w:iCs/>
    </w:rPr>
  </w:style>
  <w:style w:type="paragraph" w:styleId="23">
    <w:name w:val="Plain Text"/>
    <w:basedOn w:val="1"/>
    <w:link w:val="66"/>
    <w:qFormat/>
    <w:uiPriority w:val="0"/>
    <w:rPr>
      <w:rFonts w:ascii="宋体" w:hAnsi="Courier New" w:cs="Courier New"/>
      <w:szCs w:val="21"/>
    </w:rPr>
  </w:style>
  <w:style w:type="paragraph" w:styleId="24">
    <w:name w:val="toc 8"/>
    <w:basedOn w:val="1"/>
    <w:next w:val="1"/>
    <w:qFormat/>
    <w:uiPriority w:val="39"/>
    <w:pPr>
      <w:ind w:left="1470"/>
      <w:jc w:val="left"/>
    </w:pPr>
    <w:rPr>
      <w:rFonts w:ascii="Calibri" w:hAnsi="Calibri"/>
      <w:sz w:val="18"/>
      <w:szCs w:val="18"/>
    </w:rPr>
  </w:style>
  <w:style w:type="paragraph" w:styleId="25">
    <w:name w:val="index 3"/>
    <w:basedOn w:val="1"/>
    <w:next w:val="1"/>
    <w:semiHidden/>
    <w:qFormat/>
    <w:uiPriority w:val="0"/>
    <w:pPr>
      <w:ind w:left="400" w:leftChars="400"/>
    </w:pPr>
  </w:style>
  <w:style w:type="paragraph" w:styleId="26">
    <w:name w:val="Date"/>
    <w:basedOn w:val="1"/>
    <w:next w:val="1"/>
    <w:qFormat/>
    <w:uiPriority w:val="0"/>
    <w:rPr>
      <w:rFonts w:ascii="宋体" w:hAnsi="Courier New"/>
      <w:b/>
      <w:sz w:val="48"/>
      <w:szCs w:val="20"/>
    </w:rPr>
  </w:style>
  <w:style w:type="paragraph" w:styleId="27">
    <w:name w:val="Body Text Indent 2"/>
    <w:basedOn w:val="1"/>
    <w:link w:val="91"/>
    <w:qFormat/>
    <w:uiPriority w:val="0"/>
    <w:pPr>
      <w:spacing w:after="120" w:line="480" w:lineRule="auto"/>
      <w:ind w:left="420" w:leftChars="200"/>
    </w:pPr>
  </w:style>
  <w:style w:type="paragraph" w:styleId="28">
    <w:name w:val="Balloon Text"/>
    <w:basedOn w:val="1"/>
    <w:link w:val="61"/>
    <w:semiHidden/>
    <w:qFormat/>
    <w:uiPriority w:val="0"/>
    <w:rPr>
      <w:sz w:val="18"/>
      <w:szCs w:val="18"/>
    </w:rPr>
  </w:style>
  <w:style w:type="paragraph" w:styleId="29">
    <w:name w:val="footer"/>
    <w:basedOn w:val="1"/>
    <w:link w:val="79"/>
    <w:qFormat/>
    <w:uiPriority w:val="0"/>
    <w:pPr>
      <w:tabs>
        <w:tab w:val="center" w:pos="4153"/>
        <w:tab w:val="right" w:pos="8306"/>
      </w:tabs>
      <w:snapToGrid w:val="0"/>
      <w:jc w:val="left"/>
    </w:pPr>
    <w:rPr>
      <w:sz w:val="18"/>
      <w:szCs w:val="18"/>
    </w:rPr>
  </w:style>
  <w:style w:type="paragraph" w:styleId="30">
    <w:name w:val="header"/>
    <w:basedOn w:val="1"/>
    <w:link w:val="58"/>
    <w:qFormat/>
    <w:uiPriority w:val="0"/>
    <w:pPr>
      <w:pBdr>
        <w:bottom w:val="single" w:color="auto" w:sz="6" w:space="1"/>
      </w:pBdr>
      <w:tabs>
        <w:tab w:val="center" w:pos="4153"/>
        <w:tab w:val="right" w:pos="8306"/>
      </w:tabs>
      <w:snapToGrid w:val="0"/>
      <w:jc w:val="center"/>
    </w:pPr>
    <w:rPr>
      <w:rFonts w:hAnsi="宋体"/>
      <w:color w:val="000000"/>
      <w:sz w:val="18"/>
      <w:szCs w:val="18"/>
    </w:rPr>
  </w:style>
  <w:style w:type="paragraph" w:styleId="31">
    <w:name w:val="toc 1"/>
    <w:basedOn w:val="1"/>
    <w:next w:val="1"/>
    <w:qFormat/>
    <w:uiPriority w:val="39"/>
    <w:pPr>
      <w:tabs>
        <w:tab w:val="right" w:leader="dot" w:pos="8280"/>
      </w:tabs>
      <w:spacing w:line="360" w:lineRule="auto"/>
    </w:pPr>
    <w:rPr>
      <w:rFonts w:ascii="宋体" w:hAnsi="宋体"/>
      <w:b/>
      <w:sz w:val="22"/>
      <w:szCs w:val="21"/>
    </w:rPr>
  </w:style>
  <w:style w:type="paragraph" w:styleId="32">
    <w:name w:val="toc 4"/>
    <w:basedOn w:val="1"/>
    <w:next w:val="1"/>
    <w:unhideWhenUsed/>
    <w:qFormat/>
    <w:uiPriority w:val="39"/>
    <w:pPr>
      <w:ind w:left="630"/>
      <w:jc w:val="left"/>
    </w:pPr>
    <w:rPr>
      <w:rFonts w:ascii="Calibri" w:hAnsi="Calibri"/>
      <w:sz w:val="18"/>
      <w:szCs w:val="18"/>
    </w:rPr>
  </w:style>
  <w:style w:type="paragraph" w:styleId="33">
    <w:name w:val="index heading"/>
    <w:basedOn w:val="1"/>
    <w:next w:val="34"/>
    <w:semiHidden/>
    <w:qFormat/>
    <w:uiPriority w:val="0"/>
    <w:rPr>
      <w:szCs w:val="20"/>
    </w:rPr>
  </w:style>
  <w:style w:type="paragraph" w:styleId="34">
    <w:name w:val="index 1"/>
    <w:basedOn w:val="1"/>
    <w:next w:val="1"/>
    <w:semiHidden/>
    <w:qFormat/>
    <w:uiPriority w:val="0"/>
    <w:pPr>
      <w:tabs>
        <w:tab w:val="left" w:pos="7740"/>
      </w:tabs>
      <w:jc w:val="center"/>
    </w:pPr>
    <w:rPr>
      <w:rFonts w:ascii="仿宋" w:hAnsi="仿宋" w:eastAsia="仿宋"/>
      <w:b/>
      <w:sz w:val="28"/>
      <w:szCs w:val="28"/>
    </w:rPr>
  </w:style>
  <w:style w:type="paragraph" w:styleId="35">
    <w:name w:val="toc 6"/>
    <w:basedOn w:val="1"/>
    <w:next w:val="1"/>
    <w:unhideWhenUsed/>
    <w:qFormat/>
    <w:uiPriority w:val="39"/>
    <w:pPr>
      <w:ind w:left="1050"/>
      <w:jc w:val="left"/>
    </w:pPr>
    <w:rPr>
      <w:rFonts w:ascii="Calibri" w:hAnsi="Calibri"/>
      <w:sz w:val="18"/>
      <w:szCs w:val="18"/>
    </w:rPr>
  </w:style>
  <w:style w:type="paragraph" w:styleId="36">
    <w:name w:val="Body Text Indent 3"/>
    <w:basedOn w:val="1"/>
    <w:qFormat/>
    <w:uiPriority w:val="0"/>
    <w:pPr>
      <w:spacing w:line="360" w:lineRule="auto"/>
      <w:ind w:firstLine="420" w:firstLineChars="200"/>
    </w:pPr>
    <w:rPr>
      <w:szCs w:val="20"/>
    </w:rPr>
  </w:style>
  <w:style w:type="paragraph" w:styleId="37">
    <w:name w:val="toc 2"/>
    <w:basedOn w:val="1"/>
    <w:next w:val="1"/>
    <w:qFormat/>
    <w:uiPriority w:val="39"/>
    <w:pPr>
      <w:tabs>
        <w:tab w:val="left" w:pos="840"/>
        <w:tab w:val="right" w:leader="dot" w:pos="8302"/>
      </w:tabs>
      <w:spacing w:line="360" w:lineRule="auto"/>
      <w:ind w:left="210" w:leftChars="100"/>
      <w:jc w:val="left"/>
    </w:pPr>
    <w:rPr>
      <w:rFonts w:ascii="黑体" w:hAnsi="宋体"/>
      <w:smallCaps/>
      <w:kern w:val="44"/>
      <w:szCs w:val="21"/>
    </w:rPr>
  </w:style>
  <w:style w:type="paragraph" w:styleId="38">
    <w:name w:val="toc 9"/>
    <w:basedOn w:val="1"/>
    <w:next w:val="1"/>
    <w:unhideWhenUsed/>
    <w:qFormat/>
    <w:uiPriority w:val="39"/>
    <w:pPr>
      <w:ind w:left="1680"/>
      <w:jc w:val="left"/>
    </w:pPr>
    <w:rPr>
      <w:rFonts w:ascii="Calibri" w:hAnsi="Calibri"/>
      <w:sz w:val="18"/>
      <w:szCs w:val="18"/>
    </w:rPr>
  </w:style>
  <w:style w:type="paragraph" w:styleId="39">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40">
    <w:name w:val="Title"/>
    <w:basedOn w:val="1"/>
    <w:link w:val="90"/>
    <w:qFormat/>
    <w:uiPriority w:val="0"/>
    <w:pPr>
      <w:spacing w:before="240" w:after="60"/>
      <w:jc w:val="center"/>
      <w:outlineLvl w:val="0"/>
    </w:pPr>
    <w:rPr>
      <w:rFonts w:ascii="Arial" w:hAnsi="Arial"/>
      <w:b/>
      <w:bCs/>
      <w:sz w:val="32"/>
      <w:szCs w:val="32"/>
    </w:rPr>
  </w:style>
  <w:style w:type="paragraph" w:styleId="41">
    <w:name w:val="annotation subject"/>
    <w:basedOn w:val="17"/>
    <w:next w:val="17"/>
    <w:semiHidden/>
    <w:qFormat/>
    <w:uiPriority w:val="0"/>
    <w:rPr>
      <w:b/>
      <w:bCs/>
    </w:rPr>
  </w:style>
  <w:style w:type="paragraph" w:styleId="42">
    <w:name w:val="Body Text First Indent"/>
    <w:basedOn w:val="19"/>
    <w:qFormat/>
    <w:uiPriority w:val="0"/>
    <w:pPr>
      <w:spacing w:after="120" w:line="240" w:lineRule="auto"/>
      <w:ind w:firstLine="420" w:firstLineChars="100"/>
    </w:pPr>
    <w:rPr>
      <w:szCs w:val="24"/>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qFormat/>
    <w:uiPriority w:val="0"/>
    <w:rPr>
      <w:rFonts w:ascii="Tahoma" w:hAnsi="Tahoma" w:eastAsia="宋体"/>
      <w:b/>
      <w:bCs/>
      <w:spacing w:val="10"/>
      <w:sz w:val="24"/>
      <w:lang w:val="en-US" w:eastAsia="zh-CN" w:bidi="ar-SA"/>
    </w:rPr>
  </w:style>
  <w:style w:type="character" w:styleId="47">
    <w:name w:val="page number"/>
    <w:basedOn w:val="45"/>
    <w:qFormat/>
    <w:uiPriority w:val="0"/>
  </w:style>
  <w:style w:type="character" w:styleId="48">
    <w:name w:val="Hyperlink"/>
    <w:qFormat/>
    <w:uiPriority w:val="99"/>
    <w:rPr>
      <w:color w:val="0000FF"/>
      <w:u w:val="single"/>
    </w:rPr>
  </w:style>
  <w:style w:type="character" w:styleId="49">
    <w:name w:val="annotation reference"/>
    <w:semiHidden/>
    <w:qFormat/>
    <w:uiPriority w:val="0"/>
    <w:rPr>
      <w:sz w:val="21"/>
      <w:szCs w:val="21"/>
    </w:rPr>
  </w:style>
  <w:style w:type="paragraph" w:customStyle="1" w:styleId="50">
    <w:name w:val="表格文字"/>
    <w:basedOn w:val="1"/>
    <w:qFormat/>
    <w:uiPriority w:val="0"/>
    <w:pPr>
      <w:spacing w:before="25" w:after="25"/>
      <w:jc w:val="left"/>
    </w:pPr>
    <w:rPr>
      <w:bCs/>
      <w:spacing w:val="10"/>
      <w:kern w:val="0"/>
      <w:sz w:val="24"/>
      <w:szCs w:val="20"/>
    </w:rPr>
  </w:style>
  <w:style w:type="character" w:customStyle="1" w:styleId="51">
    <w:name w:val="已访问的超链接1"/>
    <w:qFormat/>
    <w:uiPriority w:val="0"/>
    <w:rPr>
      <w:color w:val="800080"/>
      <w:u w:val="single"/>
    </w:rPr>
  </w:style>
  <w:style w:type="character" w:customStyle="1" w:styleId="52">
    <w:name w:val="标题 7 Char"/>
    <w:link w:val="10"/>
    <w:qFormat/>
    <w:locked/>
    <w:uiPriority w:val="0"/>
    <w:rPr>
      <w:b/>
      <w:kern w:val="2"/>
      <w:sz w:val="24"/>
    </w:rPr>
  </w:style>
  <w:style w:type="character" w:customStyle="1" w:styleId="53">
    <w:name w:val="标题 9 Char"/>
    <w:link w:val="12"/>
    <w:qFormat/>
    <w:locked/>
    <w:uiPriority w:val="0"/>
    <w:rPr>
      <w:rFonts w:ascii="Arial" w:hAnsi="Arial" w:eastAsia="黑体"/>
      <w:kern w:val="2"/>
      <w:sz w:val="21"/>
    </w:rPr>
  </w:style>
  <w:style w:type="character" w:customStyle="1" w:styleId="54">
    <w:name w:val="标题 3 Char1"/>
    <w:qFormat/>
    <w:locked/>
    <w:uiPriority w:val="0"/>
    <w:rPr>
      <w:rFonts w:ascii="宋体" w:hAnsi="Times New Roman"/>
    </w:rPr>
  </w:style>
  <w:style w:type="character" w:customStyle="1" w:styleId="55">
    <w:name w:val="标题 4 Char"/>
    <w:link w:val="7"/>
    <w:qFormat/>
    <w:locked/>
    <w:uiPriority w:val="0"/>
    <w:rPr>
      <w:rFonts w:ascii="Arial" w:hAnsi="Arial" w:eastAsia="黑体"/>
      <w:b/>
      <w:bCs/>
      <w:kern w:val="2"/>
      <w:sz w:val="28"/>
      <w:szCs w:val="28"/>
    </w:rPr>
  </w:style>
  <w:style w:type="character" w:customStyle="1" w:styleId="56">
    <w:name w:val="Char Char8"/>
    <w:qFormat/>
    <w:uiPriority w:val="0"/>
    <w:rPr>
      <w:rFonts w:ascii="宋体" w:hAnsi="Courier New" w:eastAsia="宋体"/>
      <w:kern w:val="2"/>
      <w:sz w:val="21"/>
      <w:lang w:val="en-US" w:eastAsia="zh-CN" w:bidi="ar-SA"/>
    </w:rPr>
  </w:style>
  <w:style w:type="character" w:customStyle="1" w:styleId="57">
    <w:name w:val="正文缩进 Char"/>
    <w:link w:val="5"/>
    <w:qFormat/>
    <w:uiPriority w:val="0"/>
    <w:rPr>
      <w:rFonts w:eastAsia="宋体"/>
      <w:kern w:val="2"/>
      <w:sz w:val="21"/>
      <w:lang w:val="en-US" w:eastAsia="zh-CN" w:bidi="ar-SA"/>
    </w:rPr>
  </w:style>
  <w:style w:type="character" w:customStyle="1" w:styleId="58">
    <w:name w:val="页眉 Char"/>
    <w:link w:val="30"/>
    <w:qFormat/>
    <w:uiPriority w:val="0"/>
    <w:rPr>
      <w:rFonts w:hAnsi="宋体"/>
      <w:color w:val="000000"/>
      <w:kern w:val="2"/>
      <w:sz w:val="18"/>
      <w:szCs w:val="18"/>
    </w:rPr>
  </w:style>
  <w:style w:type="character" w:customStyle="1" w:styleId="59">
    <w:name w:val="正文 A Char Char"/>
    <w:link w:val="60"/>
    <w:qFormat/>
    <w:uiPriority w:val="0"/>
    <w:rPr>
      <w:rFonts w:ascii="仿宋_GB2312" w:hAnsi="Heiti SC Light" w:eastAsia="仿宋_GB2312"/>
      <w:kern w:val="2"/>
      <w:sz w:val="24"/>
      <w:lang w:val="en-US" w:eastAsia="zh-CN" w:bidi="ar-SA"/>
    </w:rPr>
  </w:style>
  <w:style w:type="paragraph" w:customStyle="1" w:styleId="60">
    <w:name w:val="正文 A"/>
    <w:link w:val="59"/>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61">
    <w:name w:val="批注框文本 Char"/>
    <w:link w:val="28"/>
    <w:semiHidden/>
    <w:qFormat/>
    <w:locked/>
    <w:uiPriority w:val="0"/>
    <w:rPr>
      <w:kern w:val="2"/>
      <w:sz w:val="18"/>
      <w:szCs w:val="18"/>
    </w:rPr>
  </w:style>
  <w:style w:type="character" w:customStyle="1" w:styleId="62">
    <w:name w:val="正文文本缩进 Char"/>
    <w:link w:val="20"/>
    <w:qFormat/>
    <w:uiPriority w:val="99"/>
    <w:rPr>
      <w:rFonts w:ascii="仿宋_GB2312" w:eastAsia="仿宋_GB2312"/>
      <w:kern w:val="2"/>
      <w:sz w:val="32"/>
    </w:rPr>
  </w:style>
  <w:style w:type="character" w:customStyle="1" w:styleId="63">
    <w:name w:val="xl25 Char"/>
    <w:link w:val="64"/>
    <w:qFormat/>
    <w:uiPriority w:val="0"/>
    <w:rPr>
      <w:rFonts w:ascii="宋体" w:hAnsi="宋体" w:eastAsia="宋体"/>
      <w:sz w:val="21"/>
      <w:szCs w:val="21"/>
      <w:lang w:val="en-US" w:eastAsia="zh-CN" w:bidi="ar-SA"/>
    </w:rPr>
  </w:style>
  <w:style w:type="paragraph" w:customStyle="1" w:styleId="64">
    <w:name w:val="xl25"/>
    <w:basedOn w:val="1"/>
    <w:link w:val="63"/>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65">
    <w:name w:val="font1"/>
    <w:qFormat/>
    <w:uiPriority w:val="0"/>
    <w:rPr>
      <w:sz w:val="18"/>
      <w:szCs w:val="18"/>
      <w:u w:val="none"/>
    </w:rPr>
  </w:style>
  <w:style w:type="character" w:customStyle="1" w:styleId="66">
    <w:name w:val="纯文本 Char"/>
    <w:link w:val="23"/>
    <w:qFormat/>
    <w:uiPriority w:val="0"/>
    <w:rPr>
      <w:rFonts w:ascii="宋体" w:hAnsi="Courier New" w:eastAsia="宋体" w:cs="Courier New"/>
      <w:kern w:val="2"/>
      <w:sz w:val="21"/>
      <w:szCs w:val="21"/>
      <w:lang w:val="en-US" w:eastAsia="zh-CN" w:bidi="ar-SA"/>
    </w:rPr>
  </w:style>
  <w:style w:type="character" w:customStyle="1" w:styleId="67">
    <w:name w:val="标题 2 Char"/>
    <w:qFormat/>
    <w:uiPriority w:val="0"/>
    <w:rPr>
      <w:rFonts w:ascii="Arial" w:hAnsi="Arial" w:eastAsia="黑体"/>
      <w:b/>
      <w:bCs/>
      <w:kern w:val="2"/>
      <w:sz w:val="32"/>
      <w:szCs w:val="32"/>
      <w:lang w:val="en-US" w:eastAsia="zh-CN" w:bidi="ar-SA"/>
    </w:rPr>
  </w:style>
  <w:style w:type="character" w:customStyle="1" w:styleId="68">
    <w:name w:val="纯文本 Char1"/>
    <w:qFormat/>
    <w:uiPriority w:val="0"/>
    <w:rPr>
      <w:rFonts w:ascii="宋体" w:hAnsi="Courier New" w:eastAsia="宋体" w:cs="Times New Roman"/>
      <w:kern w:val="0"/>
      <w:sz w:val="20"/>
      <w:szCs w:val="20"/>
    </w:rPr>
  </w:style>
  <w:style w:type="character" w:customStyle="1" w:styleId="69">
    <w:name w:val="批注文字 Char"/>
    <w:link w:val="17"/>
    <w:semiHidden/>
    <w:qFormat/>
    <w:uiPriority w:val="99"/>
    <w:rPr>
      <w:kern w:val="2"/>
      <w:sz w:val="21"/>
      <w:szCs w:val="24"/>
    </w:rPr>
  </w:style>
  <w:style w:type="character" w:customStyle="1" w:styleId="70">
    <w:name w:val="标题 3 Char"/>
    <w:link w:val="6"/>
    <w:qFormat/>
    <w:uiPriority w:val="0"/>
    <w:rPr>
      <w:rFonts w:eastAsia="宋体"/>
      <w:b/>
      <w:bCs/>
      <w:kern w:val="2"/>
      <w:sz w:val="32"/>
      <w:szCs w:val="32"/>
      <w:lang w:val="en-US" w:eastAsia="zh-CN" w:bidi="ar-SA"/>
    </w:rPr>
  </w:style>
  <w:style w:type="character" w:customStyle="1" w:styleId="71">
    <w:name w:val="mark8"/>
    <w:qFormat/>
    <w:uiPriority w:val="0"/>
    <w:rPr>
      <w:b/>
      <w:bCs/>
      <w:sz w:val="21"/>
      <w:szCs w:val="21"/>
    </w:rPr>
  </w:style>
  <w:style w:type="character" w:customStyle="1" w:styleId="72">
    <w:name w:val="列出段落 Char"/>
    <w:link w:val="73"/>
    <w:qFormat/>
    <w:uiPriority w:val="0"/>
    <w:rPr>
      <w:rFonts w:ascii="Calibri" w:hAnsi="Calibri"/>
      <w:kern w:val="2"/>
      <w:sz w:val="21"/>
      <w:szCs w:val="22"/>
    </w:rPr>
  </w:style>
  <w:style w:type="paragraph" w:styleId="73">
    <w:name w:val="List Paragraph"/>
    <w:basedOn w:val="1"/>
    <w:link w:val="72"/>
    <w:qFormat/>
    <w:uiPriority w:val="0"/>
    <w:pPr>
      <w:ind w:firstLine="420" w:firstLineChars="200"/>
    </w:pPr>
    <w:rPr>
      <w:rFonts w:ascii="Calibri" w:hAnsi="Calibri"/>
      <w:szCs w:val="22"/>
    </w:rPr>
  </w:style>
  <w:style w:type="character" w:customStyle="1" w:styleId="74">
    <w:name w:val="Char Char10"/>
    <w:qFormat/>
    <w:uiPriority w:val="0"/>
    <w:rPr>
      <w:rFonts w:eastAsia="宋体"/>
      <w:kern w:val="2"/>
      <w:sz w:val="18"/>
      <w:szCs w:val="18"/>
      <w:lang w:val="en-US" w:eastAsia="zh-CN" w:bidi="ar-SA"/>
    </w:rPr>
  </w:style>
  <w:style w:type="character" w:customStyle="1" w:styleId="75">
    <w:name w:val="nine-11"/>
    <w:qFormat/>
    <w:uiPriority w:val="0"/>
    <w:rPr>
      <w:rFonts w:hint="default"/>
      <w:sz w:val="18"/>
      <w:szCs w:val="18"/>
    </w:rPr>
  </w:style>
  <w:style w:type="character" w:customStyle="1" w:styleId="76">
    <w:name w:val="题注 Char"/>
    <w:link w:val="14"/>
    <w:qFormat/>
    <w:uiPriority w:val="0"/>
    <w:rPr>
      <w:rFonts w:ascii="Arial" w:hAnsi="Arial" w:eastAsia="黑体" w:cs="Arial"/>
      <w:kern w:val="2"/>
    </w:rPr>
  </w:style>
  <w:style w:type="character" w:customStyle="1" w:styleId="77">
    <w:name w:val="mark"/>
    <w:basedOn w:val="45"/>
    <w:qFormat/>
    <w:uiPriority w:val="0"/>
  </w:style>
  <w:style w:type="character" w:customStyle="1" w:styleId="78">
    <w:name w:val="Char Char3"/>
    <w:qFormat/>
    <w:uiPriority w:val="0"/>
    <w:rPr>
      <w:rFonts w:eastAsia="宋体"/>
      <w:kern w:val="2"/>
      <w:sz w:val="18"/>
      <w:lang w:val="en-US" w:eastAsia="zh-CN" w:bidi="ar-SA"/>
    </w:rPr>
  </w:style>
  <w:style w:type="character" w:customStyle="1" w:styleId="79">
    <w:name w:val="页脚 Char"/>
    <w:link w:val="29"/>
    <w:qFormat/>
    <w:uiPriority w:val="0"/>
    <w:rPr>
      <w:rFonts w:eastAsia="宋体"/>
      <w:kern w:val="2"/>
      <w:sz w:val="18"/>
      <w:szCs w:val="18"/>
      <w:lang w:val="en-US" w:eastAsia="zh-CN" w:bidi="ar-SA"/>
    </w:rPr>
  </w:style>
  <w:style w:type="character" w:customStyle="1" w:styleId="80">
    <w:name w:val="font31"/>
    <w:qFormat/>
    <w:uiPriority w:val="0"/>
    <w:rPr>
      <w:rFonts w:hint="eastAsia" w:ascii="宋体" w:hAnsi="宋体" w:eastAsia="宋体" w:cs="宋体"/>
      <w:color w:val="000000"/>
      <w:sz w:val="20"/>
      <w:szCs w:val="20"/>
      <w:u w:val="none"/>
    </w:rPr>
  </w:style>
  <w:style w:type="character" w:customStyle="1" w:styleId="81">
    <w:name w:val="Font Style17"/>
    <w:qFormat/>
    <w:uiPriority w:val="0"/>
    <w:rPr>
      <w:rFonts w:ascii="黑体" w:eastAsia="黑体" w:cs="黑体"/>
      <w:sz w:val="28"/>
      <w:szCs w:val="28"/>
    </w:rPr>
  </w:style>
  <w:style w:type="character" w:customStyle="1" w:styleId="82">
    <w:name w:val="标题 1 Char"/>
    <w:qFormat/>
    <w:uiPriority w:val="0"/>
    <w:rPr>
      <w:rFonts w:ascii="Times New Roman" w:hAnsi="Times New Roman" w:eastAsia="宋体" w:cs="Times New Roman"/>
      <w:b/>
      <w:bCs/>
      <w:kern w:val="44"/>
      <w:sz w:val="44"/>
      <w:szCs w:val="44"/>
    </w:rPr>
  </w:style>
  <w:style w:type="character" w:customStyle="1" w:styleId="83">
    <w:name w:val="List Paragraph Char"/>
    <w:link w:val="84"/>
    <w:qFormat/>
    <w:locked/>
    <w:uiPriority w:val="0"/>
    <w:rPr>
      <w:rFonts w:ascii="Calibri" w:hAnsi="Calibri"/>
      <w:kern w:val="2"/>
      <w:sz w:val="21"/>
      <w:szCs w:val="22"/>
    </w:rPr>
  </w:style>
  <w:style w:type="paragraph" w:customStyle="1" w:styleId="84">
    <w:name w:val="列出段落2"/>
    <w:basedOn w:val="1"/>
    <w:link w:val="83"/>
    <w:qFormat/>
    <w:uiPriority w:val="0"/>
    <w:pPr>
      <w:ind w:firstLine="420" w:firstLineChars="200"/>
    </w:pPr>
    <w:rPr>
      <w:rFonts w:ascii="Calibri" w:hAnsi="Calibri"/>
      <w:szCs w:val="22"/>
    </w:rPr>
  </w:style>
  <w:style w:type="character" w:customStyle="1" w:styleId="85">
    <w:name w:val="标题 1 Char1"/>
    <w:link w:val="3"/>
    <w:qFormat/>
    <w:locked/>
    <w:uiPriority w:val="0"/>
    <w:rPr>
      <w:b/>
      <w:bCs/>
      <w:kern w:val="44"/>
      <w:sz w:val="44"/>
      <w:szCs w:val="44"/>
    </w:rPr>
  </w:style>
  <w:style w:type="character" w:customStyle="1" w:styleId="86">
    <w:name w:val="标题 2 Char1"/>
    <w:link w:val="4"/>
    <w:qFormat/>
    <w:locked/>
    <w:uiPriority w:val="0"/>
    <w:rPr>
      <w:rFonts w:ascii="Arial" w:hAnsi="Arial" w:eastAsia="黑体"/>
      <w:b/>
      <w:bCs/>
      <w:kern w:val="2"/>
      <w:sz w:val="32"/>
      <w:szCs w:val="32"/>
    </w:rPr>
  </w:style>
  <w:style w:type="character" w:customStyle="1" w:styleId="87">
    <w:name w:val="标题 5 Char"/>
    <w:link w:val="8"/>
    <w:qFormat/>
    <w:locked/>
    <w:uiPriority w:val="0"/>
    <w:rPr>
      <w:b/>
      <w:sz w:val="28"/>
    </w:rPr>
  </w:style>
  <w:style w:type="character" w:customStyle="1" w:styleId="88">
    <w:name w:val="标题 6 Char"/>
    <w:link w:val="9"/>
    <w:qFormat/>
    <w:locked/>
    <w:uiPriority w:val="0"/>
    <w:rPr>
      <w:rFonts w:ascii="Arial" w:hAnsi="Arial" w:eastAsia="黑体"/>
      <w:b/>
      <w:kern w:val="2"/>
      <w:sz w:val="24"/>
    </w:rPr>
  </w:style>
  <w:style w:type="character" w:customStyle="1" w:styleId="89">
    <w:name w:val="标题 8 Char"/>
    <w:link w:val="11"/>
    <w:qFormat/>
    <w:locked/>
    <w:uiPriority w:val="0"/>
    <w:rPr>
      <w:rFonts w:ascii="Arial" w:hAnsi="Arial" w:eastAsia="黑体"/>
      <w:kern w:val="2"/>
      <w:sz w:val="24"/>
    </w:rPr>
  </w:style>
  <w:style w:type="character" w:customStyle="1" w:styleId="90">
    <w:name w:val="标题 Char"/>
    <w:link w:val="40"/>
    <w:qFormat/>
    <w:uiPriority w:val="0"/>
    <w:rPr>
      <w:rFonts w:ascii="Arial" w:hAnsi="Arial" w:cs="Arial"/>
      <w:b/>
      <w:bCs/>
      <w:kern w:val="2"/>
      <w:sz w:val="32"/>
      <w:szCs w:val="32"/>
    </w:rPr>
  </w:style>
  <w:style w:type="character" w:customStyle="1" w:styleId="91">
    <w:name w:val="正文文本缩进 2 Char"/>
    <w:link w:val="27"/>
    <w:qFormat/>
    <w:uiPriority w:val="0"/>
    <w:rPr>
      <w:kern w:val="2"/>
      <w:sz w:val="21"/>
      <w:szCs w:val="24"/>
    </w:rPr>
  </w:style>
  <w:style w:type="character" w:customStyle="1" w:styleId="92">
    <w:name w:val="表标题 Char Char"/>
    <w:link w:val="93"/>
    <w:qFormat/>
    <w:uiPriority w:val="0"/>
    <w:rPr>
      <w:b/>
    </w:rPr>
  </w:style>
  <w:style w:type="paragraph" w:customStyle="1" w:styleId="93">
    <w:name w:val="表标题"/>
    <w:basedOn w:val="5"/>
    <w:link w:val="92"/>
    <w:qFormat/>
    <w:uiPriority w:val="0"/>
    <w:pPr>
      <w:adjustRightInd w:val="0"/>
      <w:snapToGrid w:val="0"/>
      <w:spacing w:before="62" w:after="62"/>
      <w:ind w:firstLine="0"/>
      <w:jc w:val="center"/>
    </w:pPr>
    <w:rPr>
      <w:b/>
      <w:kern w:val="0"/>
      <w:sz w:val="20"/>
    </w:rPr>
  </w:style>
  <w:style w:type="paragraph" w:customStyle="1" w:styleId="9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5">
    <w:name w:val="_Style 4"/>
    <w:basedOn w:val="1"/>
    <w:qFormat/>
    <w:uiPriority w:val="0"/>
    <w:pPr>
      <w:spacing w:beforeLines="50" w:afterLines="50"/>
    </w:pPr>
  </w:style>
  <w:style w:type="paragraph" w:customStyle="1" w:styleId="96">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7">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98">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99">
    <w:name w:val="办公自动化专用标题"/>
    <w:basedOn w:val="40"/>
    <w:qFormat/>
    <w:uiPriority w:val="0"/>
    <w:pPr>
      <w:spacing w:line="560" w:lineRule="atLeast"/>
    </w:pPr>
    <w:rPr>
      <w:rFonts w:ascii="宋体"/>
      <w:bCs w:val="0"/>
      <w:sz w:val="44"/>
      <w:szCs w:val="20"/>
    </w:rPr>
  </w:style>
  <w:style w:type="paragraph" w:customStyle="1" w:styleId="100">
    <w:name w:val="Char3"/>
    <w:basedOn w:val="1"/>
    <w:qFormat/>
    <w:uiPriority w:val="0"/>
  </w:style>
  <w:style w:type="paragraph" w:customStyle="1" w:styleId="101">
    <w:name w:val="表格"/>
    <w:basedOn w:val="1"/>
    <w:qFormat/>
    <w:uiPriority w:val="0"/>
    <w:pPr>
      <w:jc w:val="center"/>
    </w:pPr>
    <w:rPr>
      <w:rFonts w:ascii="宋体"/>
      <w:b/>
      <w:szCs w:val="20"/>
    </w:rPr>
  </w:style>
  <w:style w:type="paragraph" w:customStyle="1" w:styleId="102">
    <w:name w:val="Char Char3 Char Char"/>
    <w:basedOn w:val="1"/>
    <w:qFormat/>
    <w:uiPriority w:val="0"/>
    <w:pPr>
      <w:spacing w:line="360" w:lineRule="auto"/>
      <w:ind w:firstLine="200" w:firstLineChars="200"/>
    </w:pPr>
    <w:rPr>
      <w:rFonts w:ascii="宋体" w:hAnsi="宋体" w:cs="宋体"/>
      <w:sz w:val="24"/>
    </w:rPr>
  </w:style>
  <w:style w:type="paragraph" w:customStyle="1" w:styleId="103">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04">
    <w:name w:val="p0"/>
    <w:basedOn w:val="1"/>
    <w:qFormat/>
    <w:uiPriority w:val="0"/>
    <w:pPr>
      <w:widowControl/>
    </w:pPr>
    <w:rPr>
      <w:kern w:val="0"/>
      <w:szCs w:val="21"/>
    </w:rPr>
  </w:style>
  <w:style w:type="paragraph" w:customStyle="1" w:styleId="105">
    <w:name w:val="图框内的文字"/>
    <w:basedOn w:val="1"/>
    <w:qFormat/>
    <w:uiPriority w:val="0"/>
    <w:pPr>
      <w:jc w:val="center"/>
    </w:pPr>
    <w:rPr>
      <w:position w:val="6"/>
      <w:szCs w:val="20"/>
    </w:rPr>
  </w:style>
  <w:style w:type="paragraph" w:customStyle="1" w:styleId="106">
    <w:name w:val="默认段落字体 Para Char"/>
    <w:basedOn w:val="1"/>
    <w:qFormat/>
    <w:uiPriority w:val="0"/>
    <w:rPr>
      <w:rFonts w:ascii="宋体" w:hAnsi="宋体"/>
      <w:b/>
      <w:sz w:val="28"/>
      <w:szCs w:val="28"/>
    </w:rPr>
  </w:style>
  <w:style w:type="paragraph" w:customStyle="1" w:styleId="107">
    <w:name w:val="font12"/>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08">
    <w:name w:val="字元 字元"/>
    <w:basedOn w:val="1"/>
    <w:qFormat/>
    <w:uiPriority w:val="0"/>
    <w:pPr>
      <w:spacing w:line="360" w:lineRule="auto"/>
      <w:ind w:firstLine="200" w:firstLineChars="200"/>
    </w:pPr>
    <w:rPr>
      <w:rFonts w:ascii="宋体" w:hAnsi="宋体" w:cs="宋体"/>
      <w:sz w:val="24"/>
    </w:rPr>
  </w:style>
  <w:style w:type="paragraph" w:customStyle="1" w:styleId="109">
    <w:name w:val="正文段落"/>
    <w:basedOn w:val="1"/>
    <w:qFormat/>
    <w:uiPriority w:val="0"/>
    <w:pPr>
      <w:widowControl/>
      <w:spacing w:after="40" w:line="360" w:lineRule="auto"/>
      <w:ind w:firstLine="200" w:firstLineChars="200"/>
    </w:pPr>
    <w:rPr>
      <w:kern w:val="0"/>
      <w:sz w:val="24"/>
    </w:rPr>
  </w:style>
  <w:style w:type="paragraph" w:customStyle="1" w:styleId="110">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11">
    <w:name w:val="Char Char2 Char"/>
    <w:basedOn w:val="1"/>
    <w:qFormat/>
    <w:uiPriority w:val="0"/>
    <w:rPr>
      <w:rFonts w:ascii="宋体" w:hAnsi="宋体"/>
      <w:b/>
      <w:sz w:val="28"/>
      <w:szCs w:val="28"/>
    </w:rPr>
  </w:style>
  <w:style w:type="paragraph" w:customStyle="1" w:styleId="112">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13">
    <w:name w:val="Char Char"/>
    <w:basedOn w:val="1"/>
    <w:qFormat/>
    <w:uiPriority w:val="0"/>
    <w:rPr>
      <w:rFonts w:ascii="宋体" w:hAnsi="宋体"/>
      <w:b/>
      <w:sz w:val="28"/>
      <w:szCs w:val="28"/>
    </w:rPr>
  </w:style>
  <w:style w:type="paragraph" w:customStyle="1" w:styleId="114">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5">
    <w:name w:val="题注5"/>
    <w:basedOn w:val="1"/>
    <w:next w:val="14"/>
    <w:qFormat/>
    <w:uiPriority w:val="0"/>
    <w:pPr>
      <w:jc w:val="center"/>
    </w:pPr>
    <w:rPr>
      <w:b/>
      <w:color w:val="000000"/>
      <w:sz w:val="24"/>
      <w:szCs w:val="21"/>
    </w:rPr>
  </w:style>
  <w:style w:type="paragraph" w:customStyle="1" w:styleId="11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117">
    <w:name w:val="题注4"/>
    <w:basedOn w:val="1"/>
    <w:next w:val="14"/>
    <w:qFormat/>
    <w:uiPriority w:val="0"/>
    <w:pPr>
      <w:ind w:left="-132" w:leftChars="-64" w:right="-105" w:rightChars="-50" w:hanging="2"/>
      <w:jc w:val="center"/>
    </w:pPr>
    <w:rPr>
      <w:b/>
      <w:color w:val="FF0000"/>
      <w:szCs w:val="21"/>
      <w:lang w:val="en-GB"/>
    </w:rPr>
  </w:style>
  <w:style w:type="paragraph" w:customStyle="1" w:styleId="118">
    <w:name w:val="文档正文"/>
    <w:basedOn w:val="1"/>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11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120">
    <w:name w:val="列出段落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121">
    <w:name w:val="font6"/>
    <w:basedOn w:val="1"/>
    <w:qFormat/>
    <w:uiPriority w:val="0"/>
    <w:pPr>
      <w:widowControl/>
      <w:spacing w:before="100" w:beforeAutospacing="1" w:after="100" w:afterAutospacing="1"/>
      <w:jc w:val="left"/>
    </w:pPr>
    <w:rPr>
      <w:rFonts w:eastAsia="Arial Unicode MS"/>
      <w:kern w:val="0"/>
      <w:sz w:val="24"/>
    </w:rPr>
  </w:style>
  <w:style w:type="paragraph" w:customStyle="1" w:styleId="122">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2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24">
    <w:name w:val="Char Char Char Char Char Char Char Char Char"/>
    <w:basedOn w:val="1"/>
    <w:qFormat/>
    <w:uiPriority w:val="0"/>
    <w:rPr>
      <w:sz w:val="28"/>
    </w:rPr>
  </w:style>
  <w:style w:type="paragraph" w:customStyle="1" w:styleId="125">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6">
    <w:name w:val="Char Char Char Char Char Char Char"/>
    <w:basedOn w:val="1"/>
    <w:qFormat/>
    <w:uiPriority w:val="0"/>
    <w:pPr>
      <w:tabs>
        <w:tab w:val="left" w:pos="425"/>
      </w:tabs>
      <w:ind w:left="425" w:hanging="425"/>
    </w:pPr>
    <w:rPr>
      <w:rFonts w:eastAsia="仿宋_GB2312"/>
      <w:kern w:val="24"/>
      <w:sz w:val="24"/>
    </w:rPr>
  </w:style>
  <w:style w:type="paragraph" w:customStyle="1" w:styleId="127">
    <w:name w:val="font9"/>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28">
    <w:name w:val="font11"/>
    <w:basedOn w:val="1"/>
    <w:qFormat/>
    <w:uiPriority w:val="0"/>
    <w:pPr>
      <w:widowControl/>
      <w:spacing w:before="100" w:beforeAutospacing="1" w:after="100" w:afterAutospacing="1"/>
      <w:jc w:val="left"/>
    </w:pPr>
    <w:rPr>
      <w:rFonts w:eastAsia="Arial Unicode MS"/>
      <w:color w:val="000000"/>
      <w:kern w:val="0"/>
      <w:szCs w:val="21"/>
    </w:rPr>
  </w:style>
  <w:style w:type="paragraph" w:customStyle="1" w:styleId="12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30">
    <w:name w:val="样式1"/>
    <w:basedOn w:val="7"/>
    <w:qFormat/>
    <w:uiPriority w:val="0"/>
    <w:pPr>
      <w:spacing w:line="416" w:lineRule="auto"/>
      <w:ind w:left="560" w:leftChars="200"/>
    </w:pPr>
    <w:rPr>
      <w:rFonts w:ascii="宋体"/>
      <w:bCs w:val="0"/>
      <w:color w:val="FF0000"/>
    </w:rPr>
  </w:style>
  <w:style w:type="paragraph" w:customStyle="1" w:styleId="13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132">
    <w:name w:val="Char1 Char Char Char"/>
    <w:basedOn w:val="1"/>
    <w:qFormat/>
    <w:uiPriority w:val="0"/>
    <w:pPr>
      <w:numPr>
        <w:ilvl w:val="0"/>
        <w:numId w:val="2"/>
      </w:numPr>
    </w:pPr>
    <w:rPr>
      <w:sz w:val="24"/>
    </w:rPr>
  </w:style>
  <w:style w:type="paragraph" w:customStyle="1" w:styleId="133">
    <w:name w:val="正文1"/>
    <w:qFormat/>
    <w:uiPriority w:val="0"/>
    <w:pPr>
      <w:widowControl w:val="0"/>
      <w:jc w:val="both"/>
    </w:pPr>
    <w:rPr>
      <w:rFonts w:ascii="Times New Roman" w:hAnsi="Times New Roman" w:eastAsia="宋体" w:cs="Times New Roman"/>
      <w:lang w:val="en-US" w:eastAsia="zh-CN" w:bidi="ar-SA"/>
    </w:rPr>
  </w:style>
  <w:style w:type="paragraph" w:customStyle="1" w:styleId="134">
    <w:name w:val="font8"/>
    <w:basedOn w:val="1"/>
    <w:qFormat/>
    <w:uiPriority w:val="0"/>
    <w:pPr>
      <w:widowControl/>
      <w:spacing w:before="100" w:beforeAutospacing="1" w:after="100" w:afterAutospacing="1"/>
      <w:jc w:val="left"/>
    </w:pPr>
    <w:rPr>
      <w:rFonts w:hint="eastAsia" w:ascii="宋体" w:hAnsi="宋体" w:cs="Arial Unicode MS"/>
      <w:kern w:val="0"/>
      <w:sz w:val="28"/>
      <w:szCs w:val="28"/>
    </w:rPr>
  </w:style>
  <w:style w:type="paragraph" w:customStyle="1" w:styleId="135">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136">
    <w:name w:val="font10"/>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3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3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3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140">
    <w:name w:val="List Paragraph1"/>
    <w:basedOn w:val="1"/>
    <w:qFormat/>
    <w:uiPriority w:val="0"/>
    <w:pPr>
      <w:ind w:firstLine="420" w:firstLineChars="200"/>
    </w:pPr>
    <w:rPr>
      <w:rFonts w:ascii="Calibri" w:hAnsi="Calibri" w:cs="黑体"/>
      <w:szCs w:val="22"/>
    </w:rPr>
  </w:style>
  <w:style w:type="paragraph" w:customStyle="1" w:styleId="14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142">
    <w:name w:val="正文 + 宋体"/>
    <w:basedOn w:val="1"/>
    <w:qFormat/>
    <w:uiPriority w:val="0"/>
    <w:pPr>
      <w:numPr>
        <w:ilvl w:val="0"/>
        <w:numId w:val="3"/>
      </w:numPr>
      <w:autoSpaceDE w:val="0"/>
      <w:autoSpaceDN w:val="0"/>
      <w:spacing w:line="360" w:lineRule="auto"/>
    </w:pPr>
    <w:rPr>
      <w:rFonts w:ascii="宋体" w:hAnsi="宋体"/>
      <w:szCs w:val="21"/>
    </w:rPr>
  </w:style>
  <w:style w:type="paragraph" w:customStyle="1" w:styleId="143">
    <w:name w:val="Char Char Char1 Char Char Char Char Char Char Char"/>
    <w:basedOn w:val="1"/>
    <w:qFormat/>
    <w:uiPriority w:val="0"/>
    <w:rPr>
      <w:rFonts w:ascii="Arial" w:hAnsi="Arial" w:cs="Arial"/>
      <w:sz w:val="20"/>
      <w:szCs w:val="20"/>
    </w:rPr>
  </w:style>
  <w:style w:type="paragraph" w:customStyle="1" w:styleId="144">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145">
    <w:name w:val="_Style 2"/>
    <w:basedOn w:val="1"/>
    <w:qFormat/>
    <w:uiPriority w:val="34"/>
    <w:pPr>
      <w:ind w:firstLine="420" w:firstLineChars="200"/>
    </w:pPr>
  </w:style>
  <w:style w:type="paragraph" w:customStyle="1" w:styleId="146">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147">
    <w:name w:val="列举"/>
    <w:basedOn w:val="1"/>
    <w:qFormat/>
    <w:uiPriority w:val="0"/>
    <w:pPr>
      <w:numPr>
        <w:ilvl w:val="0"/>
        <w:numId w:val="4"/>
      </w:numPr>
      <w:spacing w:line="360" w:lineRule="auto"/>
    </w:pPr>
    <w:rPr>
      <w:rFonts w:ascii="宋体"/>
    </w:rPr>
  </w:style>
  <w:style w:type="table" w:customStyle="1" w:styleId="148">
    <w:name w:val="网格型1"/>
    <w:basedOn w:val="4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9">
    <w:name w:val="Placeholder Text"/>
    <w:semiHidden/>
    <w:qFormat/>
    <w:uiPriority w:val="99"/>
    <w:rPr>
      <w:color w:val="808080"/>
    </w:rPr>
  </w:style>
  <w:style w:type="paragraph" w:customStyle="1" w:styleId="150">
    <w:name w:val="样式 样式 标题 4Alt+41.1.1.1 Heading 4bulletblbbH44h4H41h41H42... + 自动..."/>
    <w:basedOn w:val="1"/>
    <w:qFormat/>
    <w:uiPriority w:val="0"/>
    <w:pPr>
      <w:keepNext/>
      <w:keepLines/>
      <w:numPr>
        <w:ilvl w:val="3"/>
        <w:numId w:val="5"/>
      </w:numPr>
      <w:spacing w:before="120" w:after="120" w:line="376" w:lineRule="auto"/>
      <w:outlineLvl w:val="3"/>
    </w:pPr>
    <w:rPr>
      <w:rFonts w:ascii="宋体" w:hAnsi="宋体" w:eastAsia="黑体"/>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DE51DB-101A-4BFA-B8A2-A91F8A5E5B9D}">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48</Pages>
  <Words>20361</Words>
  <Characters>21451</Characters>
  <Lines>196</Lines>
  <Paragraphs>55</Paragraphs>
  <TotalTime>3</TotalTime>
  <ScaleCrop>false</ScaleCrop>
  <LinksUpToDate>false</LinksUpToDate>
  <CharactersWithSpaces>24831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2017-11-24T01:24:00Z</dcterms:created>
  <dc:creator>ibm</dc:creator>
  <cp:lastModifiedBy>Administrator</cp:lastModifiedBy>
  <cp:lastPrinted>2016-12-28T09:38:00Z</cp:lastPrinted>
  <dcterms:modified xsi:type="dcterms:W3CDTF">2022-06-08T08:58:50Z</dcterms:modified>
  <dc:title>第三部分  政府采购规范文本</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958561446096443CA77D9A05DD725A50</vt:lpwstr>
  </property>
</Properties>
</file>