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auto"/>
          <w:sz w:val="32"/>
        </w:rPr>
      </w:pPr>
      <w:bookmarkStart w:id="0" w:name="_Toc491658631"/>
    </w:p>
    <w:p>
      <w:pPr>
        <w:pStyle w:val="23"/>
        <w:widowControl/>
        <w:adjustRightInd w:val="0"/>
        <w:snapToGrid w:val="0"/>
        <w:spacing w:line="360" w:lineRule="auto"/>
        <w:jc w:val="left"/>
        <w:rPr>
          <w:rFonts w:ascii="黑体" w:eastAsia="黑体"/>
          <w:bCs/>
          <w:color w:val="auto"/>
          <w:sz w:val="32"/>
        </w:rPr>
      </w:pPr>
      <w:r>
        <w:rPr>
          <w:rFonts w:hint="eastAsia" w:ascii="黑体" w:eastAsia="黑体"/>
          <w:bCs/>
          <w:color w:val="auto"/>
          <w:sz w:val="32"/>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jc w:val="center"/>
        <w:rPr>
          <w:rFonts w:ascii="黑体" w:eastAsia="黑体"/>
          <w:bCs/>
          <w:color w:val="auto"/>
          <w:sz w:val="52"/>
          <w:szCs w:val="52"/>
        </w:rPr>
      </w:pPr>
      <w:r>
        <w:rPr>
          <w:rFonts w:hint="eastAsia" w:ascii="黑体" w:eastAsia="黑体"/>
          <w:bCs/>
          <w:color w:val="auto"/>
          <w:sz w:val="52"/>
          <w:szCs w:val="52"/>
        </w:rPr>
        <w:t>公开招标</w:t>
      </w:r>
    </w:p>
    <w:p>
      <w:pPr>
        <w:pStyle w:val="23"/>
        <w:widowControl/>
        <w:adjustRightInd w:val="0"/>
        <w:snapToGrid w:val="0"/>
        <w:spacing w:line="360" w:lineRule="auto"/>
        <w:jc w:val="center"/>
        <w:rPr>
          <w:rFonts w:ascii="黑体" w:eastAsia="黑体"/>
          <w:bCs/>
          <w:color w:val="auto"/>
          <w:sz w:val="72"/>
          <w:szCs w:val="72"/>
        </w:rPr>
      </w:pPr>
    </w:p>
    <w:p>
      <w:pPr>
        <w:pStyle w:val="23"/>
        <w:widowControl/>
        <w:adjustRightInd w:val="0"/>
        <w:snapToGrid w:val="0"/>
        <w:spacing w:line="360" w:lineRule="auto"/>
        <w:jc w:val="center"/>
        <w:rPr>
          <w:rFonts w:ascii="黑体" w:eastAsia="黑体"/>
          <w:bCs/>
          <w:color w:val="auto"/>
          <w:sz w:val="36"/>
        </w:rPr>
      </w:pPr>
      <w:r>
        <w:rPr>
          <w:rFonts w:hint="eastAsia" w:ascii="黑体" w:eastAsia="黑体"/>
          <w:bCs/>
          <w:color w:val="auto"/>
          <w:sz w:val="72"/>
        </w:rPr>
        <w:t>招  标  文  件</w:t>
      </w:r>
    </w:p>
    <w:p>
      <w:pPr>
        <w:pStyle w:val="23"/>
        <w:widowControl/>
        <w:adjustRightInd w:val="0"/>
        <w:snapToGrid w:val="0"/>
        <w:spacing w:line="360" w:lineRule="auto"/>
        <w:jc w:val="center"/>
        <w:rPr>
          <w:rFonts w:ascii="黑体" w:hAnsi="黑体" w:eastAsia="黑体"/>
          <w:bCs/>
          <w:color w:val="auto"/>
          <w:sz w:val="24"/>
          <w:szCs w:val="24"/>
          <w:bdr w:val="single" w:color="auto" w:sz="4" w:space="0"/>
        </w:rPr>
      </w:pP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rPr>
          <w:rFonts w:ascii="黑体" w:eastAsia="黑体"/>
          <w:bCs/>
          <w:color w:val="auto"/>
          <w:sz w:val="52"/>
          <w:szCs w:val="52"/>
        </w:rPr>
      </w:pPr>
    </w:p>
    <w:p>
      <w:pPr>
        <w:pStyle w:val="23"/>
        <w:widowControl/>
        <w:adjustRightInd w:val="0"/>
        <w:snapToGrid w:val="0"/>
        <w:rPr>
          <w:rFonts w:ascii="黑体" w:eastAsia="黑体"/>
          <w:bCs/>
          <w:color w:val="auto"/>
          <w:sz w:val="52"/>
          <w:szCs w:val="52"/>
        </w:rPr>
      </w:pPr>
    </w:p>
    <w:p>
      <w:pPr>
        <w:pStyle w:val="23"/>
        <w:widowControl/>
        <w:adjustRightInd w:val="0"/>
        <w:snapToGrid w:val="0"/>
        <w:rPr>
          <w:rFonts w:ascii="黑体" w:eastAsia="黑体"/>
          <w:bCs/>
          <w:color w:val="auto"/>
          <w:sz w:val="52"/>
          <w:szCs w:val="52"/>
        </w:rPr>
      </w:pPr>
    </w:p>
    <w:p>
      <w:pPr>
        <w:pStyle w:val="23"/>
        <w:widowControl/>
        <w:adjustRightInd w:val="0"/>
        <w:snapToGrid w:val="0"/>
        <w:rPr>
          <w:rFonts w:ascii="黑体" w:eastAsia="黑体"/>
          <w:bCs/>
          <w:color w:val="auto"/>
          <w:sz w:val="52"/>
          <w:szCs w:val="52"/>
        </w:rPr>
      </w:pPr>
    </w:p>
    <w:tbl>
      <w:tblPr>
        <w:tblStyle w:val="46"/>
        <w:tblW w:w="8897" w:type="dxa"/>
        <w:tblInd w:w="0" w:type="dxa"/>
        <w:tblLayout w:type="fixed"/>
        <w:tblCellMar>
          <w:top w:w="0" w:type="dxa"/>
          <w:left w:w="108" w:type="dxa"/>
          <w:bottom w:w="0" w:type="dxa"/>
          <w:right w:w="108" w:type="dxa"/>
        </w:tblCellMar>
      </w:tblPr>
      <w:tblGrid>
        <w:gridCol w:w="1951"/>
        <w:gridCol w:w="284"/>
        <w:gridCol w:w="6662"/>
      </w:tblGrid>
      <w:tr>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rPr>
            </w:pPr>
            <w:r>
              <w:rPr>
                <w:rFonts w:hint="eastAsia" w:hAnsi="宋体"/>
                <w:b/>
                <w:bCs/>
                <w:color w:val="auto"/>
                <w:sz w:val="28"/>
                <w:szCs w:val="28"/>
              </w:rPr>
              <w:t>项目编号</w:t>
            </w:r>
          </w:p>
        </w:tc>
        <w:tc>
          <w:tcPr>
            <w:tcW w:w="284" w:type="dxa"/>
          </w:tcPr>
          <w:p>
            <w:pPr>
              <w:pStyle w:val="23"/>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23"/>
              <w:widowControl/>
              <w:adjustRightInd w:val="0"/>
              <w:snapToGrid w:val="0"/>
              <w:spacing w:line="360" w:lineRule="auto"/>
              <w:jc w:val="left"/>
              <w:rPr>
                <w:rFonts w:hAnsi="宋体"/>
                <w:b/>
                <w:color w:val="auto"/>
                <w:sz w:val="28"/>
                <w:szCs w:val="28"/>
              </w:rPr>
            </w:pPr>
            <w:r>
              <w:rPr>
                <w:rFonts w:hint="eastAsia" w:hAnsi="宋体"/>
                <w:b/>
                <w:color w:val="auto"/>
                <w:sz w:val="28"/>
                <w:szCs w:val="28"/>
              </w:rPr>
              <w:t>YXCG-20220602</w:t>
            </w:r>
          </w:p>
        </w:tc>
      </w:tr>
      <w:tr>
        <w:tblPrEx>
          <w:tblCellMar>
            <w:top w:w="0" w:type="dxa"/>
            <w:left w:w="108" w:type="dxa"/>
            <w:bottom w:w="0" w:type="dxa"/>
            <w:right w:w="108" w:type="dxa"/>
          </w:tblCellMar>
        </w:tblPrEx>
        <w:trPr>
          <w:trHeight w:val="77" w:hRule="atLeast"/>
        </w:trPr>
        <w:tc>
          <w:tcPr>
            <w:tcW w:w="1951" w:type="dxa"/>
          </w:tcPr>
          <w:p>
            <w:pPr>
              <w:pStyle w:val="23"/>
              <w:widowControl/>
              <w:adjustRightInd w:val="0"/>
              <w:snapToGrid w:val="0"/>
              <w:spacing w:line="360" w:lineRule="auto"/>
              <w:jc w:val="distribute"/>
              <w:rPr>
                <w:rFonts w:hAnsi="宋体"/>
                <w:b/>
                <w:bCs/>
                <w:color w:val="auto"/>
                <w:sz w:val="28"/>
                <w:szCs w:val="28"/>
              </w:rPr>
            </w:pPr>
            <w:r>
              <w:rPr>
                <w:rFonts w:hint="eastAsia" w:hAnsi="宋体"/>
                <w:b/>
                <w:bCs/>
                <w:color w:val="auto"/>
                <w:sz w:val="28"/>
                <w:szCs w:val="28"/>
              </w:rPr>
              <w:t>项目名称</w:t>
            </w:r>
          </w:p>
        </w:tc>
        <w:tc>
          <w:tcPr>
            <w:tcW w:w="284" w:type="dxa"/>
          </w:tcPr>
          <w:p>
            <w:pPr>
              <w:pStyle w:val="23"/>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23"/>
              <w:widowControl/>
              <w:adjustRightInd w:val="0"/>
              <w:snapToGrid w:val="0"/>
              <w:spacing w:line="360" w:lineRule="auto"/>
              <w:rPr>
                <w:rFonts w:hAnsi="宋体"/>
                <w:b/>
                <w:bCs/>
                <w:color w:val="auto"/>
                <w:sz w:val="28"/>
                <w:szCs w:val="28"/>
              </w:rPr>
            </w:pPr>
            <w:r>
              <w:rPr>
                <w:rFonts w:hint="eastAsia" w:hAnsi="宋体"/>
                <w:b/>
                <w:bCs/>
                <w:color w:val="auto"/>
                <w:sz w:val="28"/>
                <w:szCs w:val="28"/>
              </w:rPr>
              <w:t>2022年医院网络安全等级保护测评及重要时期网络安全保障服务项目</w:t>
            </w:r>
          </w:p>
        </w:tc>
      </w:tr>
      <w:tr>
        <w:tblPrEx>
          <w:tblCellMar>
            <w:top w:w="0" w:type="dxa"/>
            <w:left w:w="108" w:type="dxa"/>
            <w:bottom w:w="0" w:type="dxa"/>
            <w:right w:w="108" w:type="dxa"/>
          </w:tblCellMar>
        </w:tblPrEx>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rPr>
            </w:pPr>
            <w:r>
              <w:rPr>
                <w:rFonts w:hint="eastAsia" w:hAnsi="宋体"/>
                <w:b/>
                <w:bCs/>
                <w:color w:val="auto"/>
                <w:sz w:val="28"/>
                <w:szCs w:val="28"/>
              </w:rPr>
              <w:t>采购人</w:t>
            </w:r>
          </w:p>
        </w:tc>
        <w:tc>
          <w:tcPr>
            <w:tcW w:w="284" w:type="dxa"/>
          </w:tcPr>
          <w:p>
            <w:pPr>
              <w:pStyle w:val="23"/>
              <w:widowControl/>
              <w:adjustRightInd w:val="0"/>
              <w:snapToGrid w:val="0"/>
              <w:spacing w:line="360" w:lineRule="auto"/>
              <w:jc w:val="left"/>
              <w:rPr>
                <w:rFonts w:hAnsi="宋体"/>
                <w:b/>
                <w:bCs/>
                <w:color w:val="auto"/>
                <w:sz w:val="28"/>
                <w:szCs w:val="28"/>
              </w:rPr>
            </w:pPr>
            <w:r>
              <w:rPr>
                <w:rFonts w:hint="eastAsia" w:hAnsi="宋体"/>
                <w:b/>
                <w:bCs/>
                <w:color w:val="auto"/>
                <w:sz w:val="28"/>
                <w:szCs w:val="28"/>
              </w:rPr>
              <w:t>：</w:t>
            </w:r>
          </w:p>
        </w:tc>
        <w:tc>
          <w:tcPr>
            <w:tcW w:w="6662" w:type="dxa"/>
            <w:vAlign w:val="center"/>
          </w:tcPr>
          <w:p>
            <w:pPr>
              <w:pStyle w:val="23"/>
              <w:widowControl/>
              <w:adjustRightInd w:val="0"/>
              <w:snapToGrid w:val="0"/>
              <w:spacing w:line="360" w:lineRule="auto"/>
              <w:rPr>
                <w:rFonts w:hAnsi="宋体"/>
                <w:b/>
                <w:bCs/>
                <w:color w:val="auto"/>
                <w:sz w:val="28"/>
                <w:szCs w:val="28"/>
              </w:rPr>
            </w:pPr>
            <w:r>
              <w:rPr>
                <w:rFonts w:hint="eastAsia" w:hAnsi="宋体"/>
                <w:b/>
                <w:bCs/>
                <w:color w:val="auto"/>
                <w:sz w:val="28"/>
                <w:szCs w:val="28"/>
              </w:rPr>
              <w:t>阳江市人民医院</w:t>
            </w:r>
          </w:p>
        </w:tc>
      </w:tr>
      <w:tr>
        <w:tblPrEx>
          <w:tblCellMar>
            <w:top w:w="0" w:type="dxa"/>
            <w:left w:w="108" w:type="dxa"/>
            <w:bottom w:w="0" w:type="dxa"/>
            <w:right w:w="108" w:type="dxa"/>
          </w:tblCellMar>
        </w:tblPrEx>
        <w:trPr>
          <w:trHeight w:val="77" w:hRule="atLeast"/>
        </w:trPr>
        <w:tc>
          <w:tcPr>
            <w:tcW w:w="1951" w:type="dxa"/>
            <w:vAlign w:val="center"/>
          </w:tcPr>
          <w:p>
            <w:pPr>
              <w:pStyle w:val="23"/>
              <w:widowControl/>
              <w:adjustRightInd w:val="0"/>
              <w:snapToGrid w:val="0"/>
              <w:spacing w:line="360" w:lineRule="auto"/>
              <w:jc w:val="distribute"/>
              <w:rPr>
                <w:rFonts w:hAnsi="宋体"/>
                <w:b/>
                <w:bCs/>
                <w:color w:val="auto"/>
                <w:sz w:val="28"/>
                <w:szCs w:val="28"/>
              </w:rPr>
            </w:pPr>
            <w:r>
              <w:rPr>
                <w:rFonts w:hint="eastAsia" w:hAnsi="宋体"/>
                <w:b/>
                <w:color w:val="auto"/>
                <w:sz w:val="28"/>
                <w:szCs w:val="28"/>
              </w:rPr>
              <w:t>采购代理机构</w:t>
            </w:r>
          </w:p>
        </w:tc>
        <w:tc>
          <w:tcPr>
            <w:tcW w:w="284" w:type="dxa"/>
          </w:tcPr>
          <w:p>
            <w:pPr>
              <w:pStyle w:val="23"/>
              <w:widowControl/>
              <w:adjustRightInd w:val="0"/>
              <w:snapToGrid w:val="0"/>
              <w:spacing w:line="360" w:lineRule="auto"/>
              <w:jc w:val="left"/>
              <w:rPr>
                <w:rFonts w:hAnsi="宋体"/>
                <w:b/>
                <w:color w:val="auto"/>
                <w:sz w:val="28"/>
                <w:szCs w:val="28"/>
              </w:rPr>
            </w:pPr>
            <w:r>
              <w:rPr>
                <w:rFonts w:hint="eastAsia" w:hAnsi="宋体"/>
                <w:b/>
                <w:color w:val="auto"/>
                <w:sz w:val="28"/>
                <w:szCs w:val="28"/>
              </w:rPr>
              <w:t>：</w:t>
            </w:r>
          </w:p>
        </w:tc>
        <w:tc>
          <w:tcPr>
            <w:tcW w:w="6662" w:type="dxa"/>
            <w:vAlign w:val="center"/>
          </w:tcPr>
          <w:p>
            <w:pPr>
              <w:pStyle w:val="23"/>
              <w:widowControl/>
              <w:adjustRightInd w:val="0"/>
              <w:snapToGrid w:val="0"/>
              <w:spacing w:line="360" w:lineRule="auto"/>
              <w:rPr>
                <w:rFonts w:hAnsi="宋体"/>
                <w:b/>
                <w:bCs/>
                <w:color w:val="auto"/>
                <w:sz w:val="28"/>
                <w:szCs w:val="28"/>
              </w:rPr>
            </w:pPr>
            <w:r>
              <w:rPr>
                <w:rFonts w:hint="eastAsia" w:hAnsi="宋体"/>
                <w:b/>
                <w:bCs/>
                <w:color w:val="auto"/>
                <w:sz w:val="28"/>
                <w:szCs w:val="28"/>
              </w:rPr>
              <w:t>广东业信采购招标有限公司</w:t>
            </w:r>
          </w:p>
        </w:tc>
      </w:tr>
    </w:tbl>
    <w:p>
      <w:pPr>
        <w:pStyle w:val="23"/>
        <w:widowControl/>
        <w:adjustRightInd w:val="0"/>
        <w:snapToGrid w:val="0"/>
        <w:spacing w:line="360" w:lineRule="auto"/>
        <w:jc w:val="center"/>
        <w:rPr>
          <w:rFonts w:ascii="黑体" w:eastAsia="黑体"/>
          <w:bCs/>
          <w:color w:val="auto"/>
          <w:sz w:val="24"/>
        </w:rPr>
      </w:pPr>
    </w:p>
    <w:p>
      <w:pPr>
        <w:pStyle w:val="23"/>
        <w:widowControl/>
        <w:adjustRightInd w:val="0"/>
        <w:snapToGrid w:val="0"/>
        <w:spacing w:line="360" w:lineRule="auto"/>
        <w:jc w:val="center"/>
        <w:rPr>
          <w:rFonts w:ascii="黑体" w:eastAsia="黑体"/>
          <w:bCs/>
          <w:color w:val="auto"/>
          <w:sz w:val="24"/>
        </w:rPr>
      </w:pPr>
      <w:r>
        <w:rPr>
          <w:rFonts w:hint="eastAsia" w:ascii="黑体" w:eastAsia="黑体"/>
          <w:bCs/>
          <w:color w:val="auto"/>
          <w:sz w:val="24"/>
        </w:rPr>
        <w:t>二○二二年六月</w:t>
      </w:r>
    </w:p>
    <w:p>
      <w:pPr>
        <w:spacing w:beforeLines="50" w:afterLines="50" w:line="360" w:lineRule="atLeast"/>
        <w:jc w:val="center"/>
        <w:rPr>
          <w:rFonts w:ascii="宋体" w:hAnsi="宋体"/>
          <w:b/>
          <w:color w:val="auto"/>
          <w:sz w:val="36"/>
        </w:rPr>
      </w:pPr>
      <w:r>
        <w:rPr>
          <w:rFonts w:hint="eastAsia" w:ascii="宋体" w:hAnsi="宋体"/>
          <w:b/>
          <w:color w:val="auto"/>
          <w:sz w:val="36"/>
        </w:rPr>
        <w:t>温馨提示：特别注意事项</w:t>
      </w:r>
    </w:p>
    <w:p>
      <w:pPr>
        <w:numPr>
          <w:ilvl w:val="0"/>
          <w:numId w:val="21"/>
        </w:numPr>
        <w:spacing w:line="440" w:lineRule="exact"/>
        <w:ind w:left="454" w:hanging="454"/>
        <w:rPr>
          <w:rFonts w:ascii="宋体" w:hAnsi="宋体"/>
          <w:color w:val="auto"/>
          <w:szCs w:val="21"/>
        </w:rPr>
      </w:pPr>
      <w:r>
        <w:rPr>
          <w:rFonts w:ascii="宋体" w:hAnsi="宋体"/>
          <w:color w:val="auto"/>
          <w:szCs w:val="21"/>
        </w:rPr>
        <w:t>请供应商特别留意招标文件上注明的投标截止和开标时间，逾期送达或邮寄送达的投标文件</w:t>
      </w:r>
      <w:r>
        <w:rPr>
          <w:rFonts w:hint="eastAsia" w:ascii="宋体" w:hAnsi="宋体"/>
          <w:color w:val="auto"/>
          <w:szCs w:val="21"/>
        </w:rPr>
        <w:t>，招标采购单位</w:t>
      </w:r>
      <w:r>
        <w:rPr>
          <w:rFonts w:ascii="宋体" w:hAnsi="宋体"/>
          <w:color w:val="auto"/>
          <w:szCs w:val="21"/>
        </w:rPr>
        <w:t>恕不接收。因此，请供应商适当提前到达</w:t>
      </w:r>
      <w:r>
        <w:rPr>
          <w:rFonts w:hint="eastAsia" w:ascii="宋体" w:hAnsi="宋体"/>
          <w:color w:val="auto"/>
          <w:szCs w:val="21"/>
        </w:rPr>
        <w:t>开标现场</w:t>
      </w:r>
      <w:r>
        <w:rPr>
          <w:rFonts w:ascii="宋体" w:hAnsi="宋体"/>
          <w:color w:val="auto"/>
          <w:szCs w:val="21"/>
        </w:rPr>
        <w:t>。</w:t>
      </w:r>
    </w:p>
    <w:p>
      <w:pPr>
        <w:numPr>
          <w:ilvl w:val="0"/>
          <w:numId w:val="21"/>
        </w:numPr>
        <w:spacing w:line="440" w:lineRule="exact"/>
        <w:ind w:left="454" w:hanging="454"/>
        <w:rPr>
          <w:rFonts w:ascii="宋体" w:hAnsi="宋体"/>
          <w:color w:val="auto"/>
          <w:szCs w:val="21"/>
        </w:rPr>
      </w:pPr>
      <w:r>
        <w:rPr>
          <w:rFonts w:ascii="宋体" w:hAnsi="宋体"/>
          <w:b/>
          <w:color w:val="auto"/>
          <w:szCs w:val="21"/>
          <w:u w:val="single"/>
        </w:rPr>
        <w:t>招标文件中标有“★”的</w:t>
      </w:r>
      <w:r>
        <w:rPr>
          <w:rFonts w:hint="eastAsia" w:ascii="宋体" w:hAnsi="宋体"/>
          <w:b/>
          <w:color w:val="auto"/>
          <w:szCs w:val="21"/>
          <w:u w:val="single"/>
        </w:rPr>
        <w:t>条款</w:t>
      </w:r>
      <w:r>
        <w:rPr>
          <w:rFonts w:ascii="宋体" w:hAnsi="宋体"/>
          <w:b/>
          <w:color w:val="auto"/>
          <w:szCs w:val="21"/>
          <w:u w:val="single"/>
        </w:rPr>
        <w:t>，</w:t>
      </w:r>
      <w:r>
        <w:rPr>
          <w:rFonts w:hint="eastAsia" w:ascii="宋体" w:hAnsi="宋体"/>
          <w:b/>
          <w:color w:val="auto"/>
          <w:szCs w:val="21"/>
          <w:u w:val="single"/>
        </w:rPr>
        <w:t>供应商</w:t>
      </w:r>
      <w:r>
        <w:rPr>
          <w:rFonts w:ascii="宋体" w:hAnsi="宋体"/>
          <w:b/>
          <w:color w:val="auto"/>
          <w:szCs w:val="21"/>
          <w:u w:val="single"/>
        </w:rPr>
        <w:t>必须一一响应</w:t>
      </w:r>
      <w:r>
        <w:rPr>
          <w:rFonts w:ascii="宋体" w:hAnsi="宋体"/>
          <w:color w:val="auto"/>
          <w:szCs w:val="21"/>
        </w:rPr>
        <w:t>。</w:t>
      </w:r>
      <w:r>
        <w:rPr>
          <w:rFonts w:ascii="宋体" w:hAnsi="宋体"/>
          <w:b/>
          <w:color w:val="auto"/>
          <w:szCs w:val="21"/>
          <w:u w:val="single"/>
        </w:rPr>
        <w:t>若有一项带“★”的指标要求未响应或不满足，</w:t>
      </w:r>
      <w:r>
        <w:rPr>
          <w:rFonts w:hint="eastAsia" w:ascii="宋体" w:hAnsi="宋体"/>
          <w:b/>
          <w:color w:val="auto"/>
          <w:szCs w:val="21"/>
          <w:u w:val="single"/>
        </w:rPr>
        <w:t>其投标</w:t>
      </w:r>
      <w:r>
        <w:rPr>
          <w:rFonts w:ascii="宋体" w:hAnsi="宋体"/>
          <w:b/>
          <w:color w:val="auto"/>
          <w:szCs w:val="21"/>
          <w:u w:val="single"/>
        </w:rPr>
        <w:t>将按无效投标处理。</w:t>
      </w:r>
    </w:p>
    <w:p>
      <w:pPr>
        <w:numPr>
          <w:ilvl w:val="0"/>
          <w:numId w:val="21"/>
        </w:numPr>
        <w:spacing w:line="440" w:lineRule="exact"/>
        <w:ind w:left="454" w:hanging="454"/>
        <w:rPr>
          <w:rFonts w:ascii="宋体" w:hAnsi="宋体"/>
          <w:color w:val="auto"/>
          <w:szCs w:val="21"/>
        </w:rPr>
      </w:pPr>
      <w:r>
        <w:rPr>
          <w:rFonts w:ascii="宋体" w:hAnsi="宋体"/>
          <w:color w:val="auto"/>
          <w:szCs w:val="21"/>
        </w:rPr>
        <w:t>请正确填写《开标一览表》，</w:t>
      </w:r>
      <w:r>
        <w:rPr>
          <w:rFonts w:hint="eastAsia" w:ascii="宋体" w:hAnsi="宋体"/>
          <w:color w:val="auto"/>
          <w:szCs w:val="21"/>
        </w:rPr>
        <w:t>如</w:t>
      </w:r>
      <w:r>
        <w:rPr>
          <w:rFonts w:ascii="宋体" w:hAnsi="宋体"/>
          <w:color w:val="auto"/>
          <w:szCs w:val="21"/>
        </w:rPr>
        <w:t>含有</w:t>
      </w:r>
      <w:r>
        <w:rPr>
          <w:rFonts w:hint="eastAsia" w:ascii="宋体" w:hAnsi="宋体"/>
          <w:color w:val="auto"/>
          <w:szCs w:val="21"/>
        </w:rPr>
        <w:t>包组</w:t>
      </w:r>
      <w:r>
        <w:rPr>
          <w:rFonts w:ascii="宋体" w:hAnsi="宋体"/>
          <w:color w:val="auto"/>
          <w:szCs w:val="21"/>
        </w:rPr>
        <w:t>的投标项目</w:t>
      </w:r>
      <w:r>
        <w:rPr>
          <w:rFonts w:hint="eastAsia" w:ascii="宋体" w:hAnsi="宋体"/>
          <w:color w:val="auto"/>
          <w:szCs w:val="21"/>
        </w:rPr>
        <w:t>建议</w:t>
      </w:r>
      <w:r>
        <w:rPr>
          <w:rFonts w:ascii="宋体" w:hAnsi="宋体"/>
          <w:color w:val="auto"/>
          <w:szCs w:val="21"/>
        </w:rPr>
        <w:t>分开报价，</w:t>
      </w:r>
      <w:r>
        <w:rPr>
          <w:rFonts w:hint="eastAsia" w:ascii="宋体" w:hAnsi="宋体"/>
          <w:color w:val="auto"/>
          <w:szCs w:val="21"/>
        </w:rPr>
        <w:t>报价要求详见招标文件《开标一览表》</w:t>
      </w:r>
      <w:r>
        <w:rPr>
          <w:rFonts w:ascii="宋体" w:hAnsi="宋体"/>
          <w:color w:val="auto"/>
          <w:szCs w:val="21"/>
        </w:rPr>
        <w:t>。</w:t>
      </w:r>
    </w:p>
    <w:p>
      <w:pPr>
        <w:numPr>
          <w:ilvl w:val="0"/>
          <w:numId w:val="21"/>
        </w:numPr>
        <w:spacing w:line="440" w:lineRule="exact"/>
        <w:ind w:left="454" w:hanging="454"/>
        <w:rPr>
          <w:rFonts w:ascii="宋体" w:hAnsi="宋体"/>
          <w:color w:val="auto"/>
          <w:szCs w:val="21"/>
        </w:rPr>
      </w:pPr>
      <w:r>
        <w:rPr>
          <w:rFonts w:ascii="宋体" w:hAnsi="宋体"/>
          <w:color w:val="auto"/>
          <w:szCs w:val="21"/>
        </w:rPr>
        <w:t>请仔细检查《投标函》、《开标一览表》、</w:t>
      </w:r>
      <w:r>
        <w:rPr>
          <w:rFonts w:hint="eastAsia" w:ascii="宋体" w:hAnsi="宋体"/>
          <w:color w:val="auto"/>
          <w:szCs w:val="21"/>
        </w:rPr>
        <w:t>《法定代表人（负责人）证明书》、</w:t>
      </w:r>
      <w:r>
        <w:rPr>
          <w:rFonts w:ascii="宋体" w:hAnsi="宋体"/>
          <w:color w:val="auto"/>
          <w:szCs w:val="21"/>
        </w:rPr>
        <w:t>《</w:t>
      </w:r>
      <w:r>
        <w:rPr>
          <w:rFonts w:hint="eastAsia" w:ascii="宋体" w:hAnsi="宋体"/>
          <w:color w:val="auto"/>
          <w:szCs w:val="21"/>
        </w:rPr>
        <w:t>法定代表人（负责人）</w:t>
      </w:r>
      <w:r>
        <w:rPr>
          <w:rFonts w:ascii="宋体" w:hAnsi="宋体"/>
          <w:color w:val="auto"/>
          <w:szCs w:val="21"/>
        </w:rPr>
        <w:t>授权书》等重要格式文件是否有按要求盖公章或签名</w:t>
      </w:r>
      <w:r>
        <w:rPr>
          <w:rFonts w:hint="eastAsia" w:ascii="宋体" w:hAnsi="宋体" w:cs="Tahoma"/>
          <w:b/>
          <w:bCs/>
          <w:color w:val="auto"/>
          <w:szCs w:val="21"/>
        </w:rPr>
        <w:t>。</w:t>
      </w:r>
    </w:p>
    <w:p>
      <w:pPr>
        <w:numPr>
          <w:ilvl w:val="0"/>
          <w:numId w:val="21"/>
        </w:numPr>
        <w:spacing w:line="440" w:lineRule="exact"/>
        <w:ind w:left="454" w:hanging="454"/>
        <w:rPr>
          <w:rFonts w:ascii="宋体" w:hAnsi="宋体"/>
          <w:color w:val="auto"/>
          <w:szCs w:val="21"/>
        </w:rPr>
      </w:pPr>
      <w:r>
        <w:rPr>
          <w:rFonts w:hint="eastAsia" w:ascii="宋体" w:hAnsi="宋体"/>
          <w:color w:val="auto"/>
          <w:szCs w:val="21"/>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rPr>
      </w:pPr>
      <w:r>
        <w:rPr>
          <w:rFonts w:ascii="宋体" w:hAnsi="宋体"/>
          <w:color w:val="auto"/>
          <w:szCs w:val="21"/>
        </w:rPr>
        <w:t>建议将投标文件按</w:t>
      </w:r>
      <w:r>
        <w:rPr>
          <w:rFonts w:hint="eastAsia" w:ascii="宋体" w:hAnsi="宋体"/>
          <w:color w:val="auto"/>
          <w:szCs w:val="21"/>
        </w:rPr>
        <w:t>目录格式</w:t>
      </w:r>
      <w:r>
        <w:rPr>
          <w:rFonts w:ascii="宋体" w:hAnsi="宋体"/>
          <w:color w:val="auto"/>
          <w:szCs w:val="21"/>
        </w:rPr>
        <w:t>顺序编制页码。</w:t>
      </w:r>
    </w:p>
    <w:p>
      <w:pPr>
        <w:numPr>
          <w:ilvl w:val="0"/>
          <w:numId w:val="21"/>
        </w:numPr>
        <w:spacing w:line="440" w:lineRule="exact"/>
        <w:ind w:left="454" w:hanging="454"/>
        <w:rPr>
          <w:rFonts w:ascii="宋体" w:hAnsi="宋体"/>
          <w:color w:val="auto"/>
          <w:szCs w:val="21"/>
        </w:rPr>
      </w:pPr>
      <w:r>
        <w:rPr>
          <w:rFonts w:hint="eastAsia" w:ascii="宋体" w:hAnsi="宋体"/>
          <w:color w:val="auto"/>
          <w:szCs w:val="21"/>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auto"/>
          <w:szCs w:val="21"/>
        </w:rPr>
      </w:pPr>
      <w:r>
        <w:rPr>
          <w:rFonts w:hint="eastAsia" w:ascii="宋体" w:hAnsi="宋体"/>
          <w:b/>
          <w:color w:val="auto"/>
          <w:szCs w:val="21"/>
        </w:rPr>
        <w:t>投标人请注意区分投标保证金及招标代理服务费收款</w:t>
      </w:r>
      <w:r>
        <w:rPr>
          <w:rFonts w:hint="eastAsia" w:ascii="宋体" w:hAnsi="宋体"/>
          <w:b/>
          <w:color w:val="auto"/>
        </w:rPr>
        <w:t>账号</w:t>
      </w:r>
      <w:r>
        <w:rPr>
          <w:rFonts w:hint="eastAsia" w:ascii="宋体" w:hAnsi="宋体"/>
          <w:b/>
          <w:color w:val="auto"/>
          <w:szCs w:val="21"/>
        </w:rPr>
        <w:t>的区别</w:t>
      </w:r>
      <w:r>
        <w:rPr>
          <w:rFonts w:hint="eastAsia" w:ascii="宋体" w:hAnsi="宋体"/>
          <w:color w:val="auto"/>
          <w:szCs w:val="21"/>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auto"/>
          <w:szCs w:val="21"/>
          <w:lang w:val="zh-CN"/>
        </w:rPr>
      </w:pPr>
      <w:r>
        <w:rPr>
          <w:rFonts w:hint="eastAsia" w:ascii="宋体" w:hAnsi="宋体"/>
          <w:color w:val="auto"/>
          <w:szCs w:val="21"/>
        </w:rPr>
        <w:t>我司</w:t>
      </w:r>
      <w:r>
        <w:rPr>
          <w:rFonts w:ascii="宋体" w:hAnsi="宋体"/>
          <w:color w:val="auto"/>
          <w:szCs w:val="21"/>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rPr>
        <w:t>不同</w:t>
      </w:r>
      <w:r>
        <w:rPr>
          <w:rFonts w:ascii="宋体" w:hAnsi="宋体"/>
          <w:color w:val="auto"/>
          <w:szCs w:val="21"/>
        </w:rPr>
        <w:t>投标</w:t>
      </w:r>
      <w:r>
        <w:rPr>
          <w:rFonts w:hint="eastAsia" w:ascii="宋体" w:hAnsi="宋体"/>
          <w:color w:val="auto"/>
          <w:szCs w:val="21"/>
        </w:rPr>
        <w:t>方案</w:t>
      </w:r>
      <w:r>
        <w:rPr>
          <w:rFonts w:ascii="宋体" w:hAnsi="宋体"/>
          <w:color w:val="auto"/>
          <w:szCs w:val="21"/>
        </w:rPr>
        <w:t>的，</w:t>
      </w:r>
      <w:r>
        <w:rPr>
          <w:rFonts w:hint="eastAsia" w:ascii="宋体" w:hAnsi="宋体"/>
          <w:color w:val="auto"/>
          <w:szCs w:val="21"/>
        </w:rPr>
        <w:t>评标委员会</w:t>
      </w:r>
      <w:r>
        <w:rPr>
          <w:rFonts w:ascii="宋体" w:hAnsi="宋体"/>
          <w:color w:val="auto"/>
          <w:szCs w:val="21"/>
        </w:rPr>
        <w:t>将</w:t>
      </w:r>
      <w:r>
        <w:rPr>
          <w:rFonts w:hint="eastAsia" w:ascii="宋体" w:hAnsi="宋体"/>
          <w:color w:val="auto"/>
          <w:szCs w:val="21"/>
        </w:rPr>
        <w:t>对其投标</w:t>
      </w:r>
      <w:r>
        <w:rPr>
          <w:rFonts w:ascii="宋体" w:hAnsi="宋体"/>
          <w:color w:val="auto"/>
          <w:szCs w:val="21"/>
        </w:rPr>
        <w:t>按无效投标处理</w:t>
      </w:r>
      <w:r>
        <w:rPr>
          <w:rFonts w:hint="eastAsia" w:ascii="宋体" w:hAnsi="宋体"/>
          <w:color w:val="auto"/>
          <w:szCs w:val="21"/>
        </w:rPr>
        <w:t>（如有特殊要求的除外）。</w:t>
      </w:r>
    </w:p>
    <w:p>
      <w:pPr>
        <w:pStyle w:val="23"/>
        <w:widowControl/>
        <w:adjustRightInd w:val="0"/>
        <w:snapToGrid w:val="0"/>
        <w:spacing w:line="440" w:lineRule="exact"/>
        <w:ind w:firstLine="413" w:firstLineChars="196"/>
        <w:rPr>
          <w:rFonts w:ascii="黑体" w:eastAsia="黑体"/>
          <w:bCs/>
          <w:color w:val="auto"/>
          <w:sz w:val="30"/>
          <w:szCs w:val="30"/>
        </w:rPr>
      </w:pPr>
      <w:r>
        <w:rPr>
          <w:rFonts w:hint="eastAsia" w:hAnsi="宋体" w:cs="仿宋_GB2312"/>
          <w:b/>
          <w:bCs/>
          <w:color w:val="auto"/>
          <w:lang w:val="zh-CN"/>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auto"/>
          <w:sz w:val="30"/>
          <w:szCs w:val="30"/>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auto"/>
          <w:szCs w:val="21"/>
        </w:rPr>
      </w:pPr>
      <w:r>
        <w:rPr>
          <w:rFonts w:ascii="宋体" w:hAnsi="宋体"/>
          <w:bCs/>
          <w:color w:val="auto"/>
          <w:szCs w:val="21"/>
        </w:rPr>
        <w:tab/>
      </w:r>
      <w:r>
        <w:rPr>
          <w:rFonts w:ascii="宋体" w:hAnsi="宋体"/>
          <w:bCs/>
          <w:color w:val="auto"/>
          <w:szCs w:val="21"/>
        </w:rPr>
        <w:tab/>
      </w: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left"/>
        <w:rPr>
          <w:rFonts w:ascii="宋体" w:hAnsi="宋体"/>
          <w:bCs/>
          <w:color w:val="auto"/>
          <w:szCs w:val="21"/>
        </w:rPr>
      </w:pPr>
    </w:p>
    <w:p>
      <w:pPr>
        <w:tabs>
          <w:tab w:val="left" w:pos="2400"/>
          <w:tab w:val="center" w:pos="4479"/>
        </w:tabs>
        <w:jc w:val="center"/>
        <w:rPr>
          <w:rFonts w:ascii="宋体" w:hAnsi="宋体"/>
          <w:b/>
          <w:bCs/>
          <w:color w:val="auto"/>
          <w:sz w:val="32"/>
          <w:szCs w:val="32"/>
        </w:rPr>
      </w:pPr>
      <w:r>
        <w:rPr>
          <w:rFonts w:hint="eastAsia" w:ascii="宋体" w:hAnsi="宋体"/>
          <w:b/>
          <w:bCs/>
          <w:color w:val="auto"/>
          <w:sz w:val="32"/>
          <w:szCs w:val="32"/>
        </w:rPr>
        <w:t>目   录</w:t>
      </w:r>
    </w:p>
    <w:p>
      <w:pPr>
        <w:pStyle w:val="3"/>
        <w:numPr>
          <w:ilvl w:val="0"/>
          <w:numId w:val="0"/>
        </w:numPr>
        <w:spacing w:beforeLines="0" w:line="240" w:lineRule="auto"/>
        <w:rPr>
          <w:color w:val="auto"/>
        </w:rPr>
      </w:pPr>
    </w:p>
    <w:p>
      <w:pPr>
        <w:pStyle w:val="30"/>
        <w:tabs>
          <w:tab w:val="right" w:leader="dot" w:pos="8959"/>
          <w:tab w:val="clear" w:pos="8949"/>
        </w:tabs>
      </w:pPr>
      <w:r>
        <w:rPr>
          <w:b w:val="0"/>
          <w:bCs w:val="0"/>
          <w:caps w:val="0"/>
          <w:color w:val="auto"/>
        </w:rPr>
        <w:fldChar w:fldCharType="begin"/>
      </w:r>
      <w:r>
        <w:rPr>
          <w:b w:val="0"/>
          <w:bCs w:val="0"/>
          <w:caps w:val="0"/>
          <w:color w:val="auto"/>
        </w:rPr>
        <w:instrText xml:space="preserve"> TOC \o "1-3" \h \z \u </w:instrText>
      </w:r>
      <w:r>
        <w:rPr>
          <w:b w:val="0"/>
          <w:bCs w:val="0"/>
          <w:caps w:val="0"/>
          <w:color w:val="auto"/>
        </w:rPr>
        <w:fldChar w:fldCharType="separate"/>
      </w:r>
      <w:r>
        <w:rPr>
          <w:bCs w:val="0"/>
          <w:caps w:val="0"/>
          <w:color w:val="auto"/>
        </w:rPr>
        <w:fldChar w:fldCharType="begin"/>
      </w:r>
      <w:r>
        <w:rPr>
          <w:bCs w:val="0"/>
          <w:caps w:val="0"/>
        </w:rPr>
        <w:instrText xml:space="preserve"> HYPERLINK \l _Toc10399 </w:instrText>
      </w:r>
      <w:r>
        <w:rPr>
          <w:bCs w:val="0"/>
          <w:caps w:val="0"/>
        </w:rPr>
        <w:fldChar w:fldCharType="separate"/>
      </w:r>
      <w:r>
        <w:rPr>
          <w:rFonts w:hint="eastAsia"/>
        </w:rPr>
        <w:t>第一部分 投标邀请函</w:t>
      </w:r>
      <w:r>
        <w:tab/>
      </w:r>
      <w:r>
        <w:fldChar w:fldCharType="begin"/>
      </w:r>
      <w:r>
        <w:instrText xml:space="preserve"> PAGEREF _Toc10399 \h </w:instrText>
      </w:r>
      <w:r>
        <w:fldChar w:fldCharType="separate"/>
      </w:r>
      <w:r>
        <w:t>5</w:t>
      </w:r>
      <w:r>
        <w:fldChar w:fldCharType="end"/>
      </w:r>
      <w:r>
        <w:rPr>
          <w:bCs w:val="0"/>
          <w:caps w:val="0"/>
          <w:color w:val="auto"/>
        </w:rPr>
        <w:fldChar w:fldCharType="end"/>
      </w:r>
    </w:p>
    <w:p>
      <w:pPr>
        <w:pStyle w:val="30"/>
        <w:tabs>
          <w:tab w:val="right" w:leader="dot" w:pos="8959"/>
          <w:tab w:val="clear" w:pos="8949"/>
        </w:tabs>
      </w:pPr>
      <w:r>
        <w:rPr>
          <w:bCs/>
          <w:caps/>
          <w:color w:val="auto"/>
          <w:szCs w:val="21"/>
        </w:rPr>
        <w:fldChar w:fldCharType="begin"/>
      </w:r>
      <w:r>
        <w:rPr>
          <w:bCs/>
          <w:caps/>
          <w:szCs w:val="21"/>
        </w:rPr>
        <w:instrText xml:space="preserve"> HYPERLINK \l _Toc20156 </w:instrText>
      </w:r>
      <w:r>
        <w:rPr>
          <w:bCs/>
          <w:caps/>
          <w:szCs w:val="21"/>
        </w:rPr>
        <w:fldChar w:fldCharType="separate"/>
      </w:r>
      <w:r>
        <w:rPr>
          <w:rFonts w:hint="eastAsia"/>
        </w:rPr>
        <w:t>第二部分 采购项目内容</w:t>
      </w:r>
      <w:r>
        <w:tab/>
      </w:r>
      <w:r>
        <w:fldChar w:fldCharType="begin"/>
      </w:r>
      <w:r>
        <w:instrText xml:space="preserve"> PAGEREF _Toc20156 \h </w:instrText>
      </w:r>
      <w:r>
        <w:fldChar w:fldCharType="separate"/>
      </w:r>
      <w:r>
        <w:t>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_Toc13835 </w:instrText>
      </w:r>
      <w:r>
        <w:rPr>
          <w:bCs/>
          <w:caps/>
          <w:szCs w:val="21"/>
        </w:rPr>
        <w:fldChar w:fldCharType="separate"/>
      </w:r>
      <w:r>
        <w:rPr>
          <w:kern w:val="0"/>
        </w:rPr>
        <w:t xml:space="preserve">A  </w:t>
      </w:r>
      <w:r>
        <w:rPr>
          <w:rFonts w:hint="eastAsia"/>
          <w:kern w:val="0"/>
        </w:rPr>
        <w:t>商务要求</w:t>
      </w:r>
      <w:r>
        <w:tab/>
      </w:r>
      <w:r>
        <w:fldChar w:fldCharType="begin"/>
      </w:r>
      <w:r>
        <w:instrText xml:space="preserve"> PAGEREF _Toc13835 \h </w:instrText>
      </w:r>
      <w:r>
        <w:fldChar w:fldCharType="separate"/>
      </w:r>
      <w:r>
        <w:t>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_Toc26968 </w:instrText>
      </w:r>
      <w:r>
        <w:rPr>
          <w:bCs/>
          <w:caps/>
          <w:szCs w:val="21"/>
        </w:rPr>
        <w:fldChar w:fldCharType="separate"/>
      </w:r>
      <w:r>
        <w:rPr>
          <w:rFonts w:hint="eastAsia"/>
          <w:kern w:val="0"/>
        </w:rPr>
        <w:t>B  技术要求</w:t>
      </w:r>
      <w:r>
        <w:tab/>
      </w:r>
      <w:r>
        <w:fldChar w:fldCharType="begin"/>
      </w:r>
      <w:r>
        <w:instrText xml:space="preserve"> PAGEREF _Toc26968 \h </w:instrText>
      </w:r>
      <w:r>
        <w:fldChar w:fldCharType="separate"/>
      </w:r>
      <w:r>
        <w:t>10</w:t>
      </w:r>
      <w:r>
        <w:fldChar w:fldCharType="end"/>
      </w:r>
      <w:r>
        <w:rPr>
          <w:bCs/>
          <w:caps/>
          <w:color w:val="auto"/>
          <w:szCs w:val="21"/>
        </w:rPr>
        <w:fldChar w:fldCharType="end"/>
      </w:r>
    </w:p>
    <w:p>
      <w:pPr>
        <w:pStyle w:val="30"/>
        <w:tabs>
          <w:tab w:val="right" w:leader="dot" w:pos="8959"/>
          <w:tab w:val="clear" w:pos="8949"/>
        </w:tabs>
      </w:pPr>
      <w:r>
        <w:rPr>
          <w:bCs/>
          <w:caps/>
          <w:color w:val="auto"/>
          <w:szCs w:val="21"/>
        </w:rPr>
        <w:fldChar w:fldCharType="begin"/>
      </w:r>
      <w:r>
        <w:rPr>
          <w:bCs/>
          <w:caps/>
          <w:szCs w:val="21"/>
        </w:rPr>
        <w:instrText xml:space="preserve"> HYPERLINK \l _Toc28982 </w:instrText>
      </w:r>
      <w:r>
        <w:rPr>
          <w:bCs/>
          <w:caps/>
          <w:szCs w:val="21"/>
        </w:rPr>
        <w:fldChar w:fldCharType="separate"/>
      </w:r>
      <w:r>
        <w:rPr>
          <w:rFonts w:hint="eastAsia"/>
        </w:rPr>
        <w:t>第三部分 投标人须知</w:t>
      </w:r>
      <w:r>
        <w:tab/>
      </w:r>
      <w:r>
        <w:fldChar w:fldCharType="begin"/>
      </w:r>
      <w:r>
        <w:instrText xml:space="preserve"> PAGEREF _Toc28982 \h </w:instrText>
      </w:r>
      <w:r>
        <w:fldChar w:fldCharType="separate"/>
      </w:r>
      <w:r>
        <w:t>27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_Toc7162 </w:instrText>
      </w:r>
      <w:r>
        <w:rPr>
          <w:bCs/>
          <w:caps/>
          <w:szCs w:val="21"/>
        </w:rPr>
        <w:fldChar w:fldCharType="separate"/>
      </w:r>
      <w:r>
        <w:rPr>
          <w:rFonts w:hint="eastAsia"/>
          <w:szCs w:val="21"/>
        </w:rPr>
        <w:t>投标人须知前附表</w:t>
      </w:r>
      <w:r>
        <w:tab/>
      </w:r>
      <w:r>
        <w:fldChar w:fldCharType="begin"/>
      </w:r>
      <w:r>
        <w:instrText xml:space="preserve"> PAGEREF _Toc7162 \h </w:instrText>
      </w:r>
      <w:r>
        <w:fldChar w:fldCharType="separate"/>
      </w:r>
      <w:r>
        <w:t>27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_Toc7556 </w:instrText>
      </w:r>
      <w:r>
        <w:rPr>
          <w:bCs/>
          <w:caps/>
          <w:szCs w:val="21"/>
        </w:rPr>
        <w:fldChar w:fldCharType="separate"/>
      </w:r>
      <w:r>
        <w:rPr>
          <w:rFonts w:hint="eastAsia"/>
        </w:rPr>
        <w:t>Ａ说明</w:t>
      </w:r>
      <w:r>
        <w:tab/>
      </w:r>
      <w:r>
        <w:fldChar w:fldCharType="begin"/>
      </w:r>
      <w:r>
        <w:instrText xml:space="preserve"> PAGEREF _Toc7556 \h </w:instrText>
      </w:r>
      <w:r>
        <w:fldChar w:fldCharType="separate"/>
      </w:r>
      <w:r>
        <w:t>28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_Toc30864 </w:instrText>
      </w:r>
      <w:r>
        <w:rPr>
          <w:bCs/>
          <w:caps/>
          <w:szCs w:val="21"/>
        </w:rPr>
        <w:fldChar w:fldCharType="separate"/>
      </w:r>
      <w:r>
        <w:rPr>
          <w:rFonts w:hint="default"/>
        </w:rPr>
        <w:t xml:space="preserve">1 </w:t>
      </w:r>
      <w:r>
        <w:rPr>
          <w:rFonts w:hint="eastAsia"/>
        </w:rPr>
        <w:t>适用范围和资金来源</w:t>
      </w:r>
      <w:r>
        <w:tab/>
      </w:r>
      <w:r>
        <w:fldChar w:fldCharType="begin"/>
      </w:r>
      <w:r>
        <w:instrText xml:space="preserve"> PAGEREF _Toc30864 \h </w:instrText>
      </w:r>
      <w:r>
        <w:fldChar w:fldCharType="separate"/>
      </w:r>
      <w:r>
        <w:t>28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_Toc22752 </w:instrText>
      </w:r>
      <w:r>
        <w:rPr>
          <w:bCs/>
          <w:caps/>
          <w:szCs w:val="21"/>
        </w:rPr>
        <w:fldChar w:fldCharType="separate"/>
      </w:r>
      <w:r>
        <w:rPr>
          <w:rFonts w:hint="default"/>
        </w:rPr>
        <w:t xml:space="preserve">2 </w:t>
      </w:r>
      <w:r>
        <w:rPr>
          <w:rFonts w:hint="eastAsia"/>
        </w:rPr>
        <w:t>定义</w:t>
      </w:r>
      <w:r>
        <w:tab/>
      </w:r>
      <w:r>
        <w:fldChar w:fldCharType="begin"/>
      </w:r>
      <w:r>
        <w:instrText xml:space="preserve"> PAGEREF _Toc22752 \h </w:instrText>
      </w:r>
      <w:r>
        <w:fldChar w:fldCharType="separate"/>
      </w:r>
      <w:r>
        <w:t>28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_Toc29253 </w:instrText>
      </w:r>
      <w:r>
        <w:rPr>
          <w:bCs/>
          <w:caps/>
          <w:szCs w:val="21"/>
        </w:rPr>
        <w:fldChar w:fldCharType="separate"/>
      </w:r>
      <w:r>
        <w:rPr>
          <w:rFonts w:hint="default"/>
        </w:rPr>
        <w:t xml:space="preserve">3 </w:t>
      </w:r>
      <w:r>
        <w:rPr>
          <w:rFonts w:hint="eastAsia"/>
        </w:rPr>
        <w:t>合格的投标人</w:t>
      </w:r>
      <w:r>
        <w:tab/>
      </w:r>
      <w:r>
        <w:fldChar w:fldCharType="begin"/>
      </w:r>
      <w:r>
        <w:instrText xml:space="preserve"> PAGEREF _Toc29253 \h </w:instrText>
      </w:r>
      <w:r>
        <w:fldChar w:fldCharType="separate"/>
      </w:r>
      <w:r>
        <w:t>28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_Toc2825 </w:instrText>
      </w:r>
      <w:r>
        <w:rPr>
          <w:bCs/>
          <w:caps/>
          <w:szCs w:val="21"/>
        </w:rPr>
        <w:fldChar w:fldCharType="separate"/>
      </w:r>
      <w:r>
        <w:rPr>
          <w:rFonts w:hint="default"/>
        </w:rPr>
        <w:t xml:space="preserve">4 </w:t>
      </w:r>
      <w:r>
        <w:rPr>
          <w:rFonts w:hint="eastAsia"/>
        </w:rPr>
        <w:t>投标费用</w:t>
      </w:r>
      <w:r>
        <w:tab/>
      </w:r>
      <w:r>
        <w:fldChar w:fldCharType="begin"/>
      </w:r>
      <w:r>
        <w:instrText xml:space="preserve"> PAGEREF _Toc2825 \h </w:instrText>
      </w:r>
      <w:r>
        <w:fldChar w:fldCharType="separate"/>
      </w:r>
      <w:r>
        <w:t>28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_Toc5652 </w:instrText>
      </w:r>
      <w:r>
        <w:rPr>
          <w:bCs/>
          <w:caps/>
          <w:szCs w:val="21"/>
        </w:rPr>
        <w:fldChar w:fldCharType="separate"/>
      </w:r>
      <w:r>
        <w:rPr>
          <w:rFonts w:hint="eastAsia"/>
        </w:rPr>
        <w:t>Ｂ招标文件说明</w:t>
      </w:r>
      <w:r>
        <w:tab/>
      </w:r>
      <w:r>
        <w:fldChar w:fldCharType="begin"/>
      </w:r>
      <w:r>
        <w:instrText xml:space="preserve"> PAGEREF _Toc5652 \h </w:instrText>
      </w:r>
      <w:r>
        <w:fldChar w:fldCharType="separate"/>
      </w:r>
      <w:r>
        <w:t>29</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_Toc10337 </w:instrText>
      </w:r>
      <w:r>
        <w:rPr>
          <w:bCs/>
          <w:caps/>
          <w:szCs w:val="21"/>
        </w:rPr>
        <w:fldChar w:fldCharType="separate"/>
      </w:r>
      <w:r>
        <w:rPr>
          <w:rFonts w:hint="default"/>
        </w:rPr>
        <w:t xml:space="preserve">5 </w:t>
      </w:r>
      <w:r>
        <w:rPr>
          <w:rFonts w:hint="eastAsia"/>
        </w:rPr>
        <w:t>招标文件的构成</w:t>
      </w:r>
      <w:r>
        <w:tab/>
      </w:r>
      <w:r>
        <w:fldChar w:fldCharType="begin"/>
      </w:r>
      <w:r>
        <w:instrText xml:space="preserve"> PAGEREF _Toc10337 \h </w:instrText>
      </w:r>
      <w:r>
        <w:fldChar w:fldCharType="separate"/>
      </w:r>
      <w:r>
        <w:t>29</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_Toc31968 </w:instrText>
      </w:r>
      <w:r>
        <w:rPr>
          <w:bCs/>
          <w:caps/>
          <w:szCs w:val="21"/>
        </w:rPr>
        <w:fldChar w:fldCharType="separate"/>
      </w:r>
      <w:r>
        <w:rPr>
          <w:rFonts w:hint="default"/>
        </w:rPr>
        <w:t xml:space="preserve">6 </w:t>
      </w:r>
      <w:r>
        <w:rPr>
          <w:rFonts w:hint="eastAsia"/>
        </w:rPr>
        <w:t>招标文件的澄清、修改</w:t>
      </w:r>
      <w:r>
        <w:tab/>
      </w:r>
      <w:r>
        <w:fldChar w:fldCharType="begin"/>
      </w:r>
      <w:r>
        <w:instrText xml:space="preserve"> PAGEREF _Toc31968 \h </w:instrText>
      </w:r>
      <w:r>
        <w:fldChar w:fldCharType="separate"/>
      </w:r>
      <w:r>
        <w:t>29</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_Toc11294 </w:instrText>
      </w:r>
      <w:r>
        <w:rPr>
          <w:bCs/>
          <w:caps/>
          <w:szCs w:val="21"/>
        </w:rPr>
        <w:fldChar w:fldCharType="separate"/>
      </w:r>
      <w:r>
        <w:rPr>
          <w:rFonts w:hint="eastAsia"/>
        </w:rPr>
        <w:t>Ｃ投标文件的编制</w:t>
      </w:r>
      <w:r>
        <w:tab/>
      </w:r>
      <w:r>
        <w:fldChar w:fldCharType="begin"/>
      </w:r>
      <w:r>
        <w:instrText xml:space="preserve"> PAGEREF _Toc11294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_Toc27491 </w:instrText>
      </w:r>
      <w:r>
        <w:rPr>
          <w:bCs/>
          <w:caps/>
          <w:szCs w:val="21"/>
        </w:rPr>
        <w:fldChar w:fldCharType="separate"/>
      </w:r>
      <w:r>
        <w:rPr>
          <w:rFonts w:hint="default"/>
        </w:rPr>
        <w:t xml:space="preserve">7 </w:t>
      </w:r>
      <w:r>
        <w:rPr>
          <w:rFonts w:hint="eastAsia"/>
        </w:rPr>
        <w:t>要求</w:t>
      </w:r>
      <w:r>
        <w:tab/>
      </w:r>
      <w:r>
        <w:fldChar w:fldCharType="begin"/>
      </w:r>
      <w:r>
        <w:instrText xml:space="preserve"> PAGEREF _Toc27491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_Toc3336 </w:instrText>
      </w:r>
      <w:r>
        <w:rPr>
          <w:bCs/>
          <w:caps/>
          <w:szCs w:val="21"/>
        </w:rPr>
        <w:fldChar w:fldCharType="separate"/>
      </w:r>
      <w:r>
        <w:rPr>
          <w:rFonts w:hint="default"/>
        </w:rPr>
        <w:t xml:space="preserve">8 </w:t>
      </w:r>
      <w:r>
        <w:rPr>
          <w:rFonts w:hint="eastAsia"/>
        </w:rPr>
        <w:t>投标语言及计量单位</w:t>
      </w:r>
      <w:r>
        <w:tab/>
      </w:r>
      <w:r>
        <w:fldChar w:fldCharType="begin"/>
      </w:r>
      <w:r>
        <w:instrText xml:space="preserve"> PAGEREF _Toc3336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_Toc30317 </w:instrText>
      </w:r>
      <w:r>
        <w:rPr>
          <w:bCs/>
          <w:caps/>
          <w:szCs w:val="21"/>
        </w:rPr>
        <w:fldChar w:fldCharType="separate"/>
      </w:r>
      <w:r>
        <w:rPr>
          <w:rFonts w:hint="default"/>
        </w:rPr>
        <w:t xml:space="preserve">9 </w:t>
      </w:r>
      <w:r>
        <w:rPr>
          <w:rFonts w:hint="eastAsia"/>
        </w:rPr>
        <w:t>投标文件的构成</w:t>
      </w:r>
      <w:r>
        <w:tab/>
      </w:r>
      <w:r>
        <w:fldChar w:fldCharType="begin"/>
      </w:r>
      <w:r>
        <w:instrText xml:space="preserve"> PAGEREF _Toc30317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_Toc18734 </w:instrText>
      </w:r>
      <w:r>
        <w:rPr>
          <w:bCs/>
          <w:caps/>
          <w:szCs w:val="21"/>
        </w:rPr>
        <w:fldChar w:fldCharType="separate"/>
      </w:r>
      <w:r>
        <w:rPr>
          <w:rFonts w:hint="default"/>
        </w:rPr>
        <w:t xml:space="preserve">10 </w:t>
      </w:r>
      <w:r>
        <w:rPr>
          <w:rFonts w:hint="eastAsia"/>
        </w:rPr>
        <w:t>投标文件格式</w:t>
      </w:r>
      <w:r>
        <w:tab/>
      </w:r>
      <w:r>
        <w:fldChar w:fldCharType="begin"/>
      </w:r>
      <w:r>
        <w:instrText xml:space="preserve"> PAGEREF _Toc18734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_Toc30286 </w:instrText>
      </w:r>
      <w:r>
        <w:rPr>
          <w:bCs/>
          <w:caps/>
          <w:szCs w:val="21"/>
        </w:rPr>
        <w:fldChar w:fldCharType="separate"/>
      </w:r>
      <w:r>
        <w:rPr>
          <w:rFonts w:hint="default"/>
        </w:rPr>
        <w:t xml:space="preserve">11 </w:t>
      </w:r>
      <w:r>
        <w:rPr>
          <w:rFonts w:hint="eastAsia"/>
        </w:rPr>
        <w:t>资格证明文件</w:t>
      </w:r>
      <w:r>
        <w:tab/>
      </w:r>
      <w:r>
        <w:fldChar w:fldCharType="begin"/>
      </w:r>
      <w:r>
        <w:instrText xml:space="preserve"> PAGEREF _Toc30286 \h </w:instrText>
      </w:r>
      <w:r>
        <w:fldChar w:fldCharType="separate"/>
      </w:r>
      <w:r>
        <w:t>30</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_Toc18485 </w:instrText>
      </w:r>
      <w:r>
        <w:rPr>
          <w:bCs/>
          <w:caps/>
          <w:szCs w:val="21"/>
        </w:rPr>
        <w:fldChar w:fldCharType="separate"/>
      </w:r>
      <w:r>
        <w:rPr>
          <w:rFonts w:hint="default"/>
        </w:rPr>
        <w:t xml:space="preserve">12 </w:t>
      </w:r>
      <w:r>
        <w:rPr>
          <w:rFonts w:hint="eastAsia"/>
        </w:rPr>
        <w:t>货物和服务的证明文件</w:t>
      </w:r>
      <w:r>
        <w:tab/>
      </w:r>
      <w:r>
        <w:fldChar w:fldCharType="begin"/>
      </w:r>
      <w:r>
        <w:instrText xml:space="preserve"> PAGEREF _Toc18485 \h </w:instrText>
      </w:r>
      <w:r>
        <w:fldChar w:fldCharType="separate"/>
      </w:r>
      <w:r>
        <w:t>31</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_Toc10848 </w:instrText>
      </w:r>
      <w:r>
        <w:rPr>
          <w:bCs/>
          <w:caps/>
          <w:szCs w:val="21"/>
        </w:rPr>
        <w:fldChar w:fldCharType="separate"/>
      </w:r>
      <w:r>
        <w:rPr>
          <w:rFonts w:hint="default"/>
        </w:rPr>
        <w:t xml:space="preserve">13 </w:t>
      </w:r>
      <w:r>
        <w:rPr>
          <w:rFonts w:hint="eastAsia"/>
        </w:rPr>
        <w:t>投标报价与投标货币</w:t>
      </w:r>
      <w:r>
        <w:tab/>
      </w:r>
      <w:r>
        <w:fldChar w:fldCharType="begin"/>
      </w:r>
      <w:r>
        <w:instrText xml:space="preserve"> PAGEREF _Toc10848 \h </w:instrText>
      </w:r>
      <w:r>
        <w:fldChar w:fldCharType="separate"/>
      </w:r>
      <w:r>
        <w:t>31</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_Toc4397 </w:instrText>
      </w:r>
      <w:r>
        <w:rPr>
          <w:bCs/>
          <w:caps/>
          <w:szCs w:val="21"/>
        </w:rPr>
        <w:fldChar w:fldCharType="separate"/>
      </w:r>
      <w:r>
        <w:rPr>
          <w:rFonts w:hint="default"/>
        </w:rPr>
        <w:t xml:space="preserve">14 </w:t>
      </w:r>
      <w:r>
        <w:rPr>
          <w:rFonts w:hint="eastAsia"/>
        </w:rPr>
        <w:t>投标保证金</w:t>
      </w:r>
      <w:r>
        <w:tab/>
      </w:r>
      <w:r>
        <w:fldChar w:fldCharType="begin"/>
      </w:r>
      <w:r>
        <w:instrText xml:space="preserve"> PAGEREF _Toc4397 \h </w:instrText>
      </w:r>
      <w:r>
        <w:fldChar w:fldCharType="separate"/>
      </w:r>
      <w:r>
        <w:t>31</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_Toc13833 </w:instrText>
      </w:r>
      <w:r>
        <w:rPr>
          <w:bCs/>
          <w:caps/>
          <w:szCs w:val="21"/>
        </w:rPr>
        <w:fldChar w:fldCharType="separate"/>
      </w:r>
      <w:r>
        <w:rPr>
          <w:rFonts w:hint="default"/>
        </w:rPr>
        <w:t xml:space="preserve">15 </w:t>
      </w:r>
      <w:r>
        <w:rPr>
          <w:rFonts w:hint="eastAsia"/>
        </w:rPr>
        <w:t>投标有效期</w:t>
      </w:r>
      <w:r>
        <w:tab/>
      </w:r>
      <w:r>
        <w:fldChar w:fldCharType="begin"/>
      </w:r>
      <w:r>
        <w:instrText xml:space="preserve"> PAGEREF _Toc13833 \h </w:instrText>
      </w:r>
      <w:r>
        <w:fldChar w:fldCharType="separate"/>
      </w:r>
      <w:r>
        <w:t>32</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_Toc30744 </w:instrText>
      </w:r>
      <w:r>
        <w:rPr>
          <w:bCs/>
          <w:caps/>
          <w:szCs w:val="21"/>
        </w:rPr>
        <w:fldChar w:fldCharType="separate"/>
      </w:r>
      <w:r>
        <w:rPr>
          <w:rFonts w:hint="default"/>
        </w:rPr>
        <w:t xml:space="preserve">16 </w:t>
      </w:r>
      <w:r>
        <w:rPr>
          <w:rFonts w:hint="eastAsia"/>
        </w:rPr>
        <w:t>投标文件的签署及规定</w:t>
      </w:r>
      <w:r>
        <w:tab/>
      </w:r>
      <w:r>
        <w:fldChar w:fldCharType="begin"/>
      </w:r>
      <w:r>
        <w:instrText xml:space="preserve"> PAGEREF _Toc30744 \h </w:instrText>
      </w:r>
      <w:r>
        <w:fldChar w:fldCharType="separate"/>
      </w:r>
      <w:r>
        <w:t>32</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_Toc10931 </w:instrText>
      </w:r>
      <w:r>
        <w:rPr>
          <w:bCs/>
          <w:caps/>
          <w:szCs w:val="21"/>
        </w:rPr>
        <w:fldChar w:fldCharType="separate"/>
      </w:r>
      <w:r>
        <w:rPr>
          <w:rFonts w:hint="eastAsia"/>
        </w:rPr>
        <w:t>Ｄ投标文件的递交</w:t>
      </w:r>
      <w:r>
        <w:tab/>
      </w:r>
      <w:r>
        <w:fldChar w:fldCharType="begin"/>
      </w:r>
      <w:r>
        <w:instrText xml:space="preserve"> PAGEREF _Toc10931 \h </w:instrText>
      </w:r>
      <w:r>
        <w:fldChar w:fldCharType="separate"/>
      </w:r>
      <w:r>
        <w:t>33</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_Toc18556 </w:instrText>
      </w:r>
      <w:r>
        <w:rPr>
          <w:bCs/>
          <w:caps/>
          <w:szCs w:val="21"/>
        </w:rPr>
        <w:fldChar w:fldCharType="separate"/>
      </w:r>
      <w:r>
        <w:rPr>
          <w:rFonts w:hint="default" w:ascii="宋体" w:hAnsi="宋体"/>
        </w:rPr>
        <w:t xml:space="preserve">17 </w:t>
      </w:r>
      <w:r>
        <w:rPr>
          <w:rFonts w:hint="eastAsia"/>
        </w:rPr>
        <w:t>投标文件的密封和标记</w:t>
      </w:r>
      <w:r>
        <w:tab/>
      </w:r>
      <w:r>
        <w:fldChar w:fldCharType="begin"/>
      </w:r>
      <w:r>
        <w:instrText xml:space="preserve"> PAGEREF _Toc18556 \h </w:instrText>
      </w:r>
      <w:r>
        <w:fldChar w:fldCharType="separate"/>
      </w:r>
      <w:r>
        <w:t>33</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_Toc11907 </w:instrText>
      </w:r>
      <w:r>
        <w:rPr>
          <w:bCs/>
          <w:caps/>
          <w:szCs w:val="21"/>
        </w:rPr>
        <w:fldChar w:fldCharType="separate"/>
      </w:r>
      <w:r>
        <w:rPr>
          <w:rFonts w:hint="default"/>
        </w:rPr>
        <w:t xml:space="preserve">18 </w:t>
      </w:r>
      <w:r>
        <w:rPr>
          <w:rFonts w:hint="eastAsia"/>
        </w:rPr>
        <w:t>递交投标文件的时间、地点及截止时间</w:t>
      </w:r>
      <w:r>
        <w:tab/>
      </w:r>
      <w:r>
        <w:fldChar w:fldCharType="begin"/>
      </w:r>
      <w:r>
        <w:instrText xml:space="preserve"> PAGEREF _Toc11907 \h </w:instrText>
      </w:r>
      <w:r>
        <w:fldChar w:fldCharType="separate"/>
      </w:r>
      <w:r>
        <w:t>33</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_Toc23995 </w:instrText>
      </w:r>
      <w:r>
        <w:rPr>
          <w:bCs/>
          <w:caps/>
          <w:szCs w:val="21"/>
        </w:rPr>
        <w:fldChar w:fldCharType="separate"/>
      </w:r>
      <w:r>
        <w:rPr>
          <w:rFonts w:hint="default"/>
        </w:rPr>
        <w:t xml:space="preserve">19 </w:t>
      </w:r>
      <w:r>
        <w:rPr>
          <w:rFonts w:hint="eastAsia"/>
        </w:rPr>
        <w:t>迟交的投标文件</w:t>
      </w:r>
      <w:r>
        <w:tab/>
      </w:r>
      <w:r>
        <w:fldChar w:fldCharType="begin"/>
      </w:r>
      <w:r>
        <w:instrText xml:space="preserve"> PAGEREF _Toc23995 \h </w:instrText>
      </w:r>
      <w:r>
        <w:fldChar w:fldCharType="separate"/>
      </w:r>
      <w:r>
        <w:t>33</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_Toc3548 </w:instrText>
      </w:r>
      <w:r>
        <w:rPr>
          <w:bCs/>
          <w:caps/>
          <w:szCs w:val="21"/>
        </w:rPr>
        <w:fldChar w:fldCharType="separate"/>
      </w:r>
      <w:r>
        <w:rPr>
          <w:rFonts w:hint="default"/>
        </w:rPr>
        <w:t xml:space="preserve">20 </w:t>
      </w:r>
      <w:r>
        <w:rPr>
          <w:rFonts w:hint="eastAsia"/>
        </w:rPr>
        <w:t>投标文件的修改和撤回</w:t>
      </w:r>
      <w:r>
        <w:tab/>
      </w:r>
      <w:r>
        <w:fldChar w:fldCharType="begin"/>
      </w:r>
      <w:r>
        <w:instrText xml:space="preserve"> PAGEREF _Toc3548 \h </w:instrText>
      </w:r>
      <w:r>
        <w:fldChar w:fldCharType="separate"/>
      </w:r>
      <w:r>
        <w:t>33</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_Toc24333 </w:instrText>
      </w:r>
      <w:r>
        <w:rPr>
          <w:bCs/>
          <w:caps/>
          <w:szCs w:val="21"/>
        </w:rPr>
        <w:fldChar w:fldCharType="separate"/>
      </w:r>
      <w:r>
        <w:rPr>
          <w:rFonts w:hint="eastAsia"/>
        </w:rPr>
        <w:t>Ｅ开标和评标</w:t>
      </w:r>
      <w:r>
        <w:tab/>
      </w:r>
      <w:r>
        <w:fldChar w:fldCharType="begin"/>
      </w:r>
      <w:r>
        <w:instrText xml:space="preserve"> PAGEREF _Toc24333 \h </w:instrText>
      </w:r>
      <w:r>
        <w:fldChar w:fldCharType="separate"/>
      </w:r>
      <w:r>
        <w:t>34</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_Toc13811 </w:instrText>
      </w:r>
      <w:r>
        <w:rPr>
          <w:bCs/>
          <w:caps/>
          <w:szCs w:val="21"/>
        </w:rPr>
        <w:fldChar w:fldCharType="separate"/>
      </w:r>
      <w:r>
        <w:rPr>
          <w:rFonts w:hint="default"/>
        </w:rPr>
        <w:t xml:space="preserve">21 </w:t>
      </w:r>
      <w:r>
        <w:rPr>
          <w:rFonts w:hint="eastAsia"/>
        </w:rPr>
        <w:t>开标</w:t>
      </w:r>
      <w:r>
        <w:tab/>
      </w:r>
      <w:r>
        <w:fldChar w:fldCharType="begin"/>
      </w:r>
      <w:r>
        <w:instrText xml:space="preserve"> PAGEREF _Toc13811 \h </w:instrText>
      </w:r>
      <w:r>
        <w:fldChar w:fldCharType="separate"/>
      </w:r>
      <w:r>
        <w:t>34</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_Toc17475 </w:instrText>
      </w:r>
      <w:r>
        <w:rPr>
          <w:bCs/>
          <w:caps/>
          <w:szCs w:val="21"/>
        </w:rPr>
        <w:fldChar w:fldCharType="separate"/>
      </w:r>
      <w:r>
        <w:rPr>
          <w:rFonts w:hint="default" w:ascii="宋体" w:hAnsi="宋体"/>
        </w:rPr>
        <w:t xml:space="preserve">22 </w:t>
      </w:r>
      <w:r>
        <w:rPr>
          <w:rFonts w:hint="eastAsia"/>
        </w:rPr>
        <w:t>评标委员会</w:t>
      </w:r>
      <w:r>
        <w:tab/>
      </w:r>
      <w:r>
        <w:fldChar w:fldCharType="begin"/>
      </w:r>
      <w:r>
        <w:instrText xml:space="preserve"> PAGEREF _Toc17475 \h </w:instrText>
      </w:r>
      <w:r>
        <w:fldChar w:fldCharType="separate"/>
      </w:r>
      <w:r>
        <w:t>34</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_Toc18684 </w:instrText>
      </w:r>
      <w:r>
        <w:rPr>
          <w:bCs/>
          <w:caps/>
          <w:szCs w:val="21"/>
        </w:rPr>
        <w:fldChar w:fldCharType="separate"/>
      </w:r>
      <w:r>
        <w:rPr>
          <w:rFonts w:hint="default"/>
        </w:rPr>
        <w:t xml:space="preserve">23 </w:t>
      </w:r>
      <w:r>
        <w:rPr>
          <w:rFonts w:hint="eastAsia"/>
        </w:rPr>
        <w:t>对投标文件的初审和响应性的确定</w:t>
      </w:r>
      <w:r>
        <w:tab/>
      </w:r>
      <w:r>
        <w:fldChar w:fldCharType="begin"/>
      </w:r>
      <w:r>
        <w:instrText xml:space="preserve"> PAGEREF _Toc18684 \h </w:instrText>
      </w:r>
      <w:r>
        <w:fldChar w:fldCharType="separate"/>
      </w:r>
      <w:r>
        <w:t>34</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_Toc12743 </w:instrText>
      </w:r>
      <w:r>
        <w:rPr>
          <w:bCs/>
          <w:caps/>
          <w:szCs w:val="21"/>
        </w:rPr>
        <w:fldChar w:fldCharType="separate"/>
      </w:r>
      <w:r>
        <w:rPr>
          <w:rFonts w:hint="default"/>
        </w:rPr>
        <w:t xml:space="preserve">24 </w:t>
      </w:r>
      <w:r>
        <w:rPr>
          <w:rFonts w:hint="eastAsia"/>
        </w:rPr>
        <w:t>投标报价的审核</w:t>
      </w:r>
      <w:r>
        <w:tab/>
      </w:r>
      <w:r>
        <w:fldChar w:fldCharType="begin"/>
      </w:r>
      <w:r>
        <w:instrText xml:space="preserve"> PAGEREF _Toc12743 \h </w:instrText>
      </w:r>
      <w:r>
        <w:fldChar w:fldCharType="separate"/>
      </w:r>
      <w:r>
        <w:t>35</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_Toc16563 </w:instrText>
      </w:r>
      <w:r>
        <w:rPr>
          <w:bCs/>
          <w:caps/>
          <w:szCs w:val="21"/>
        </w:rPr>
        <w:fldChar w:fldCharType="separate"/>
      </w:r>
      <w:r>
        <w:rPr>
          <w:rFonts w:hint="default"/>
        </w:rPr>
        <w:t xml:space="preserve">25 </w:t>
      </w:r>
      <w:r>
        <w:rPr>
          <w:rFonts w:hint="eastAsia"/>
        </w:rPr>
        <w:t>询标及投标文件的澄清</w:t>
      </w:r>
      <w:r>
        <w:tab/>
      </w:r>
      <w:r>
        <w:fldChar w:fldCharType="begin"/>
      </w:r>
      <w:r>
        <w:instrText xml:space="preserve"> PAGEREF _Toc16563 \h </w:instrText>
      </w:r>
      <w:r>
        <w:fldChar w:fldCharType="separate"/>
      </w:r>
      <w:r>
        <w:t>35</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_Toc28019 </w:instrText>
      </w:r>
      <w:r>
        <w:rPr>
          <w:bCs/>
          <w:caps/>
          <w:szCs w:val="21"/>
        </w:rPr>
        <w:fldChar w:fldCharType="separate"/>
      </w:r>
      <w:r>
        <w:rPr>
          <w:rFonts w:hint="default"/>
        </w:rPr>
        <w:t xml:space="preserve">26 </w:t>
      </w:r>
      <w:r>
        <w:rPr>
          <w:rFonts w:hint="eastAsia"/>
        </w:rPr>
        <w:t>评标原则</w:t>
      </w:r>
      <w:r>
        <w:tab/>
      </w:r>
      <w:r>
        <w:fldChar w:fldCharType="begin"/>
      </w:r>
      <w:r>
        <w:instrText xml:space="preserve"> PAGEREF _Toc28019 \h </w:instrText>
      </w:r>
      <w:r>
        <w:fldChar w:fldCharType="separate"/>
      </w:r>
      <w:r>
        <w:t>35</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_Toc31321 </w:instrText>
      </w:r>
      <w:r>
        <w:rPr>
          <w:bCs/>
          <w:caps/>
          <w:szCs w:val="21"/>
        </w:rPr>
        <w:fldChar w:fldCharType="separate"/>
      </w:r>
      <w:r>
        <w:rPr>
          <w:rFonts w:hint="default"/>
        </w:rPr>
        <w:t xml:space="preserve">27 </w:t>
      </w:r>
      <w:r>
        <w:rPr>
          <w:rFonts w:hint="eastAsia"/>
        </w:rPr>
        <w:t>评标标准和办法</w:t>
      </w:r>
      <w:r>
        <w:tab/>
      </w:r>
      <w:r>
        <w:fldChar w:fldCharType="begin"/>
      </w:r>
      <w:r>
        <w:instrText xml:space="preserve"> PAGEREF _Toc31321 \h </w:instrText>
      </w:r>
      <w:r>
        <w:fldChar w:fldCharType="separate"/>
      </w:r>
      <w:r>
        <w:t>36</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_Toc31532 </w:instrText>
      </w:r>
      <w:r>
        <w:rPr>
          <w:bCs/>
          <w:caps/>
          <w:szCs w:val="21"/>
        </w:rPr>
        <w:fldChar w:fldCharType="separate"/>
      </w:r>
      <w:r>
        <w:rPr>
          <w:rFonts w:hint="default"/>
        </w:rPr>
        <w:t xml:space="preserve">28 </w:t>
      </w:r>
      <w:r>
        <w:rPr>
          <w:rFonts w:hint="eastAsia"/>
        </w:rPr>
        <w:t>评标注意事项</w:t>
      </w:r>
      <w:r>
        <w:tab/>
      </w:r>
      <w:r>
        <w:fldChar w:fldCharType="begin"/>
      </w:r>
      <w:r>
        <w:instrText xml:space="preserve"> PAGEREF _Toc31532 \h </w:instrText>
      </w:r>
      <w:r>
        <w:fldChar w:fldCharType="separate"/>
      </w:r>
      <w:r>
        <w:t>36</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_Toc8018 </w:instrText>
      </w:r>
      <w:r>
        <w:rPr>
          <w:bCs/>
          <w:caps/>
          <w:szCs w:val="21"/>
        </w:rPr>
        <w:fldChar w:fldCharType="separate"/>
      </w:r>
      <w:r>
        <w:rPr>
          <w:rFonts w:hint="default"/>
        </w:rPr>
        <w:t xml:space="preserve">29 </w:t>
      </w:r>
      <w:r>
        <w:rPr>
          <w:rFonts w:hint="eastAsia"/>
        </w:rPr>
        <w:t>接受和拒绝投标的权利</w:t>
      </w:r>
      <w:r>
        <w:tab/>
      </w:r>
      <w:r>
        <w:fldChar w:fldCharType="begin"/>
      </w:r>
      <w:r>
        <w:instrText xml:space="preserve"> PAGEREF _Toc8018 \h </w:instrText>
      </w:r>
      <w:r>
        <w:fldChar w:fldCharType="separate"/>
      </w:r>
      <w:r>
        <w:t>36</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_Toc10097 </w:instrText>
      </w:r>
      <w:r>
        <w:rPr>
          <w:bCs/>
          <w:caps/>
          <w:szCs w:val="21"/>
        </w:rPr>
        <w:fldChar w:fldCharType="separate"/>
      </w:r>
      <w:r>
        <w:rPr>
          <w:rFonts w:hint="default"/>
        </w:rPr>
        <w:t xml:space="preserve">30 </w:t>
      </w:r>
      <w:r>
        <w:rPr>
          <w:rFonts w:hint="eastAsia"/>
        </w:rPr>
        <w:t>发布中标结果公告和发放中标通知书</w:t>
      </w:r>
      <w:r>
        <w:tab/>
      </w:r>
      <w:r>
        <w:fldChar w:fldCharType="begin"/>
      </w:r>
      <w:r>
        <w:instrText xml:space="preserve"> PAGEREF _Toc10097 \h </w:instrText>
      </w:r>
      <w:r>
        <w:fldChar w:fldCharType="separate"/>
      </w:r>
      <w:r>
        <w:t>36</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_Toc14350 </w:instrText>
      </w:r>
      <w:r>
        <w:rPr>
          <w:bCs/>
          <w:caps/>
          <w:szCs w:val="21"/>
        </w:rPr>
        <w:fldChar w:fldCharType="separate"/>
      </w:r>
      <w:r>
        <w:rPr>
          <w:rFonts w:hint="default"/>
        </w:rPr>
        <w:t xml:space="preserve">31 </w:t>
      </w:r>
      <w:r>
        <w:rPr>
          <w:rFonts w:hint="eastAsia"/>
        </w:rPr>
        <w:t>投标人对中标结果的质疑、投诉</w:t>
      </w:r>
      <w:r>
        <w:tab/>
      </w:r>
      <w:r>
        <w:fldChar w:fldCharType="begin"/>
      </w:r>
      <w:r>
        <w:instrText xml:space="preserve"> PAGEREF _Toc14350 \h </w:instrText>
      </w:r>
      <w:r>
        <w:fldChar w:fldCharType="separate"/>
      </w:r>
      <w:r>
        <w:t>36</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_Toc14137 </w:instrText>
      </w:r>
      <w:r>
        <w:rPr>
          <w:bCs/>
          <w:caps/>
          <w:szCs w:val="21"/>
        </w:rPr>
        <w:fldChar w:fldCharType="separate"/>
      </w:r>
      <w:r>
        <w:rPr>
          <w:rFonts w:hint="eastAsia"/>
        </w:rPr>
        <w:t>Ｆ  授予合同</w:t>
      </w:r>
      <w:r>
        <w:tab/>
      </w:r>
      <w:r>
        <w:fldChar w:fldCharType="begin"/>
      </w:r>
      <w:r>
        <w:instrText xml:space="preserve"> PAGEREF _Toc14137 \h </w:instrText>
      </w:r>
      <w:r>
        <w:fldChar w:fldCharType="separate"/>
      </w:r>
      <w:r>
        <w:t>38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_Toc25317 </w:instrText>
      </w:r>
      <w:r>
        <w:rPr>
          <w:bCs/>
          <w:caps/>
          <w:szCs w:val="21"/>
        </w:rPr>
        <w:fldChar w:fldCharType="separate"/>
      </w:r>
      <w:r>
        <w:rPr>
          <w:rFonts w:hint="default"/>
        </w:rPr>
        <w:t xml:space="preserve">32 </w:t>
      </w:r>
      <w:r>
        <w:rPr>
          <w:rFonts w:hint="eastAsia"/>
        </w:rPr>
        <w:t>合同授予标准</w:t>
      </w:r>
      <w:r>
        <w:tab/>
      </w:r>
      <w:r>
        <w:fldChar w:fldCharType="begin"/>
      </w:r>
      <w:r>
        <w:instrText xml:space="preserve"> PAGEREF _Toc25317 \h </w:instrText>
      </w:r>
      <w:r>
        <w:fldChar w:fldCharType="separate"/>
      </w:r>
      <w:r>
        <w:t>38</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_Toc28621 </w:instrText>
      </w:r>
      <w:r>
        <w:rPr>
          <w:bCs/>
          <w:caps/>
          <w:szCs w:val="21"/>
        </w:rPr>
        <w:fldChar w:fldCharType="separate"/>
      </w:r>
      <w:r>
        <w:rPr>
          <w:rFonts w:hint="default"/>
        </w:rPr>
        <w:t xml:space="preserve">33 </w:t>
      </w:r>
      <w:r>
        <w:rPr>
          <w:rFonts w:hint="eastAsia"/>
        </w:rPr>
        <w:t>签订合同</w:t>
      </w:r>
      <w:r>
        <w:tab/>
      </w:r>
      <w:r>
        <w:fldChar w:fldCharType="begin"/>
      </w:r>
      <w:r>
        <w:instrText xml:space="preserve"> PAGEREF _Toc28621 \h </w:instrText>
      </w:r>
      <w:r>
        <w:fldChar w:fldCharType="separate"/>
      </w:r>
      <w:r>
        <w:t>38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_Toc14081 </w:instrText>
      </w:r>
      <w:r>
        <w:rPr>
          <w:bCs/>
          <w:caps/>
          <w:szCs w:val="21"/>
        </w:rPr>
        <w:fldChar w:fldCharType="separate"/>
      </w:r>
      <w:r>
        <w:t>G</w:t>
      </w:r>
      <w:r>
        <w:rPr>
          <w:rFonts w:hint="eastAsia"/>
        </w:rPr>
        <w:t>、政府采购政策</w:t>
      </w:r>
      <w:r>
        <w:tab/>
      </w:r>
      <w:r>
        <w:fldChar w:fldCharType="begin"/>
      </w:r>
      <w:r>
        <w:instrText xml:space="preserve"> PAGEREF _Toc14081 \h </w:instrText>
      </w:r>
      <w:r>
        <w:fldChar w:fldCharType="separate"/>
      </w:r>
      <w:r>
        <w:t>39</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_Toc32397 </w:instrText>
      </w:r>
      <w:r>
        <w:rPr>
          <w:bCs/>
          <w:caps/>
          <w:szCs w:val="21"/>
        </w:rPr>
        <w:fldChar w:fldCharType="separate"/>
      </w:r>
      <w:r>
        <w:rPr>
          <w:rFonts w:hint="eastAsia"/>
        </w:rPr>
        <w:t>H、评标细则</w:t>
      </w:r>
      <w:r>
        <w:tab/>
      </w:r>
      <w:r>
        <w:fldChar w:fldCharType="begin"/>
      </w:r>
      <w:r>
        <w:instrText xml:space="preserve"> PAGEREF _Toc32397 \h </w:instrText>
      </w:r>
      <w:r>
        <w:fldChar w:fldCharType="separate"/>
      </w:r>
      <w:r>
        <w:t>41</w:t>
      </w:r>
      <w:r>
        <w:fldChar w:fldCharType="end"/>
      </w:r>
      <w:r>
        <w:rPr>
          <w:bCs/>
          <w:caps/>
          <w:color w:val="auto"/>
          <w:szCs w:val="21"/>
        </w:rPr>
        <w:fldChar w:fldCharType="end"/>
      </w:r>
    </w:p>
    <w:p>
      <w:pPr>
        <w:pStyle w:val="30"/>
        <w:tabs>
          <w:tab w:val="right" w:leader="dot" w:pos="8959"/>
          <w:tab w:val="clear" w:pos="8949"/>
        </w:tabs>
      </w:pPr>
      <w:r>
        <w:rPr>
          <w:bCs/>
          <w:caps/>
          <w:color w:val="auto"/>
          <w:szCs w:val="21"/>
        </w:rPr>
        <w:fldChar w:fldCharType="begin"/>
      </w:r>
      <w:r>
        <w:rPr>
          <w:bCs/>
          <w:caps/>
          <w:szCs w:val="21"/>
        </w:rPr>
        <w:instrText xml:space="preserve"> HYPERLINK \l _Toc23453 </w:instrText>
      </w:r>
      <w:r>
        <w:rPr>
          <w:bCs/>
          <w:caps/>
          <w:szCs w:val="21"/>
        </w:rPr>
        <w:fldChar w:fldCharType="separate"/>
      </w:r>
      <w:r>
        <w:rPr>
          <w:rFonts w:hint="eastAsia"/>
        </w:rPr>
        <w:t>第四部分  采购项目合同（参考范本）</w:t>
      </w:r>
      <w:r>
        <w:tab/>
      </w:r>
      <w:r>
        <w:fldChar w:fldCharType="begin"/>
      </w:r>
      <w:r>
        <w:instrText xml:space="preserve"> PAGEREF _Toc23453 \h </w:instrText>
      </w:r>
      <w:r>
        <w:fldChar w:fldCharType="separate"/>
      </w:r>
      <w:r>
        <w:t>44</w:t>
      </w:r>
      <w:r>
        <w:fldChar w:fldCharType="end"/>
      </w:r>
      <w:r>
        <w:rPr>
          <w:bCs/>
          <w:caps/>
          <w:color w:val="auto"/>
          <w:szCs w:val="21"/>
        </w:rPr>
        <w:fldChar w:fldCharType="end"/>
      </w:r>
    </w:p>
    <w:p>
      <w:pPr>
        <w:pStyle w:val="30"/>
        <w:tabs>
          <w:tab w:val="right" w:leader="dot" w:pos="8959"/>
          <w:tab w:val="clear" w:pos="8949"/>
        </w:tabs>
      </w:pPr>
      <w:r>
        <w:rPr>
          <w:bCs/>
          <w:caps/>
          <w:color w:val="auto"/>
          <w:szCs w:val="21"/>
        </w:rPr>
        <w:fldChar w:fldCharType="begin"/>
      </w:r>
      <w:r>
        <w:rPr>
          <w:bCs/>
          <w:caps/>
          <w:szCs w:val="21"/>
        </w:rPr>
        <w:instrText xml:space="preserve"> HYPERLINK \l _Toc18367 </w:instrText>
      </w:r>
      <w:r>
        <w:rPr>
          <w:bCs/>
          <w:caps/>
          <w:szCs w:val="21"/>
        </w:rPr>
        <w:fldChar w:fldCharType="separate"/>
      </w:r>
      <w:r>
        <w:rPr>
          <w:rFonts w:hint="eastAsia"/>
        </w:rPr>
        <w:t>第五部分投标文件格式</w:t>
      </w:r>
      <w:r>
        <w:tab/>
      </w:r>
      <w:r>
        <w:fldChar w:fldCharType="begin"/>
      </w:r>
      <w:r>
        <w:instrText xml:space="preserve"> PAGEREF _Toc18367 \h </w:instrText>
      </w:r>
      <w:r>
        <w:fldChar w:fldCharType="separate"/>
      </w:r>
      <w:r>
        <w:t>47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_Toc24086 </w:instrText>
      </w:r>
      <w:r>
        <w:rPr>
          <w:bCs/>
          <w:caps/>
          <w:szCs w:val="21"/>
        </w:rPr>
        <w:fldChar w:fldCharType="separate"/>
      </w:r>
      <w:r>
        <w:rPr>
          <w:rFonts w:hint="eastAsia"/>
        </w:rPr>
        <w:t>资格审查封面格式</w:t>
      </w:r>
      <w:r>
        <w:tab/>
      </w:r>
      <w:r>
        <w:fldChar w:fldCharType="begin"/>
      </w:r>
      <w:r>
        <w:instrText xml:space="preserve"> PAGEREF _Toc24086 \h </w:instrText>
      </w:r>
      <w:r>
        <w:fldChar w:fldCharType="separate"/>
      </w:r>
      <w:r>
        <w:t>47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_Toc7374 </w:instrText>
      </w:r>
      <w:r>
        <w:rPr>
          <w:bCs/>
          <w:caps/>
          <w:szCs w:val="21"/>
        </w:rPr>
        <w:fldChar w:fldCharType="separate"/>
      </w:r>
      <w:r>
        <w:rPr>
          <w:rFonts w:hint="default"/>
        </w:rPr>
        <w:t xml:space="preserve">第一章 </w:t>
      </w:r>
      <w:r>
        <w:rPr>
          <w:rFonts w:hint="eastAsia"/>
        </w:rPr>
        <w:t>自查表</w:t>
      </w:r>
      <w:r>
        <w:tab/>
      </w:r>
      <w:r>
        <w:fldChar w:fldCharType="begin"/>
      </w:r>
      <w:r>
        <w:instrText xml:space="preserve"> PAGEREF _Toc7374 \h </w:instrText>
      </w:r>
      <w:r>
        <w:fldChar w:fldCharType="separate"/>
      </w:r>
      <w:r>
        <w:t>49</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_Toc26015 </w:instrText>
      </w:r>
      <w:r>
        <w:rPr>
          <w:bCs/>
          <w:caps/>
          <w:szCs w:val="21"/>
        </w:rPr>
        <w:fldChar w:fldCharType="separate"/>
      </w:r>
      <w:r>
        <w:rPr>
          <w:rFonts w:hint="eastAsia" w:ascii="宋体"/>
          <w:bCs w:val="0"/>
          <w:szCs w:val="21"/>
        </w:rPr>
        <w:t>资格性自查表</w:t>
      </w:r>
      <w:r>
        <w:tab/>
      </w:r>
      <w:r>
        <w:fldChar w:fldCharType="begin"/>
      </w:r>
      <w:r>
        <w:instrText xml:space="preserve"> PAGEREF _Toc26015 \h </w:instrText>
      </w:r>
      <w:r>
        <w:fldChar w:fldCharType="separate"/>
      </w:r>
      <w:r>
        <w:t>49</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_Toc7600 </w:instrText>
      </w:r>
      <w:r>
        <w:rPr>
          <w:bCs/>
          <w:caps/>
          <w:szCs w:val="21"/>
        </w:rPr>
        <w:fldChar w:fldCharType="separate"/>
      </w:r>
      <w:r>
        <w:rPr>
          <w:rFonts w:hint="eastAsia"/>
        </w:rPr>
        <w:t>（一）资格审查文件要求提交的有效证明文件</w:t>
      </w:r>
      <w:r>
        <w:tab/>
      </w:r>
      <w:r>
        <w:fldChar w:fldCharType="begin"/>
      </w:r>
      <w:r>
        <w:instrText xml:space="preserve"> PAGEREF _Toc7600 \h </w:instrText>
      </w:r>
      <w:r>
        <w:fldChar w:fldCharType="separate"/>
      </w:r>
      <w:r>
        <w:t>51</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_Toc6562 </w:instrText>
      </w:r>
      <w:r>
        <w:rPr>
          <w:bCs/>
          <w:caps/>
          <w:szCs w:val="21"/>
        </w:rPr>
        <w:fldChar w:fldCharType="separate"/>
      </w:r>
      <w:r>
        <w:rPr>
          <w:rFonts w:hint="eastAsia" w:hAnsi="黑体"/>
          <w:szCs w:val="21"/>
        </w:rPr>
        <w:t>（二）无重大违法记录声明函</w:t>
      </w:r>
      <w:r>
        <w:tab/>
      </w:r>
      <w:r>
        <w:fldChar w:fldCharType="begin"/>
      </w:r>
      <w:r>
        <w:instrText xml:space="preserve"> PAGEREF _Toc6562 \h </w:instrText>
      </w:r>
      <w:r>
        <w:fldChar w:fldCharType="separate"/>
      </w:r>
      <w:r>
        <w:t>52</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_Toc26185 </w:instrText>
      </w:r>
      <w:r>
        <w:rPr>
          <w:bCs/>
          <w:caps/>
          <w:szCs w:val="21"/>
        </w:rPr>
        <w:fldChar w:fldCharType="separate"/>
      </w:r>
      <w:r>
        <w:rPr>
          <w:rFonts w:hint="default"/>
        </w:rPr>
        <w:t xml:space="preserve">第二章 </w:t>
      </w:r>
      <w:r>
        <w:rPr>
          <w:rFonts w:hint="eastAsia"/>
        </w:rPr>
        <w:t>投标文件商务及技术部分</w:t>
      </w:r>
      <w:r>
        <w:tab/>
      </w:r>
      <w:r>
        <w:fldChar w:fldCharType="begin"/>
      </w:r>
      <w:r>
        <w:instrText xml:space="preserve"> PAGEREF _Toc26185 \h </w:instrText>
      </w:r>
      <w:r>
        <w:fldChar w:fldCharType="separate"/>
      </w:r>
      <w:r>
        <w:t>53</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_Toc30735 </w:instrText>
      </w:r>
      <w:r>
        <w:rPr>
          <w:bCs/>
          <w:caps/>
          <w:szCs w:val="21"/>
        </w:rPr>
        <w:fldChar w:fldCharType="separate"/>
      </w:r>
      <w:r>
        <w:rPr>
          <w:rFonts w:hint="eastAsia"/>
        </w:rPr>
        <w:t>商务及技术封面格式</w:t>
      </w:r>
      <w:r>
        <w:tab/>
      </w:r>
      <w:r>
        <w:fldChar w:fldCharType="begin"/>
      </w:r>
      <w:r>
        <w:instrText xml:space="preserve"> PAGEREF _Toc30735 \h </w:instrText>
      </w:r>
      <w:r>
        <w:fldChar w:fldCharType="separate"/>
      </w:r>
      <w:r>
        <w:t>53</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_Toc28668 </w:instrText>
      </w:r>
      <w:r>
        <w:rPr>
          <w:bCs/>
          <w:caps/>
          <w:szCs w:val="21"/>
        </w:rPr>
        <w:fldChar w:fldCharType="separate"/>
      </w:r>
      <w:r>
        <w:rPr>
          <w:rFonts w:hint="eastAsia" w:ascii="宋体"/>
          <w:bCs w:val="0"/>
          <w:szCs w:val="21"/>
        </w:rPr>
        <w:t>符合性自查表</w:t>
      </w:r>
      <w:r>
        <w:tab/>
      </w:r>
      <w:r>
        <w:fldChar w:fldCharType="begin"/>
      </w:r>
      <w:r>
        <w:instrText xml:space="preserve"> PAGEREF _Toc28668 \h </w:instrText>
      </w:r>
      <w:r>
        <w:fldChar w:fldCharType="separate"/>
      </w:r>
      <w:r>
        <w:t>55</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_Toc803 </w:instrText>
      </w:r>
      <w:r>
        <w:rPr>
          <w:bCs/>
          <w:caps/>
          <w:szCs w:val="21"/>
        </w:rPr>
        <w:fldChar w:fldCharType="separate"/>
      </w:r>
      <w:r>
        <w:rPr>
          <w:rFonts w:hint="eastAsia" w:ascii="宋体"/>
          <w:szCs w:val="21"/>
        </w:rPr>
        <w:t>评审项目投标资料表</w:t>
      </w:r>
      <w:r>
        <w:tab/>
      </w:r>
      <w:r>
        <w:fldChar w:fldCharType="begin"/>
      </w:r>
      <w:r>
        <w:instrText xml:space="preserve"> PAGEREF _Toc803 \h </w:instrText>
      </w:r>
      <w:r>
        <w:fldChar w:fldCharType="separate"/>
      </w:r>
      <w:r>
        <w:t>56</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_Toc4312 </w:instrText>
      </w:r>
      <w:r>
        <w:rPr>
          <w:bCs/>
          <w:caps/>
          <w:szCs w:val="21"/>
        </w:rPr>
        <w:fldChar w:fldCharType="separate"/>
      </w:r>
      <w:r>
        <w:rPr>
          <w:rFonts w:hint="eastAsia"/>
        </w:rPr>
        <w:t>（一）法定代表人（负责人）证明书</w:t>
      </w:r>
      <w:r>
        <w:tab/>
      </w:r>
      <w:r>
        <w:fldChar w:fldCharType="begin"/>
      </w:r>
      <w:r>
        <w:instrText xml:space="preserve"> PAGEREF _Toc4312 \h </w:instrText>
      </w:r>
      <w:r>
        <w:fldChar w:fldCharType="separate"/>
      </w:r>
      <w:r>
        <w:t>57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_Toc10862 </w:instrText>
      </w:r>
      <w:r>
        <w:rPr>
          <w:bCs/>
          <w:caps/>
          <w:szCs w:val="21"/>
        </w:rPr>
        <w:fldChar w:fldCharType="separate"/>
      </w:r>
      <w:r>
        <w:rPr>
          <w:rFonts w:hint="eastAsia"/>
        </w:rPr>
        <w:t>（二）法定代表人（负责人）授权书</w:t>
      </w:r>
      <w:r>
        <w:tab/>
      </w:r>
      <w:r>
        <w:fldChar w:fldCharType="begin"/>
      </w:r>
      <w:r>
        <w:instrText xml:space="preserve"> PAGEREF _Toc10862 \h </w:instrText>
      </w:r>
      <w:r>
        <w:fldChar w:fldCharType="separate"/>
      </w:r>
      <w:r>
        <w:t>58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_Toc3319 </w:instrText>
      </w:r>
      <w:r>
        <w:rPr>
          <w:bCs/>
          <w:caps/>
          <w:szCs w:val="21"/>
        </w:rPr>
        <w:fldChar w:fldCharType="separate"/>
      </w:r>
      <w:r>
        <w:rPr>
          <w:rFonts w:hint="eastAsia"/>
        </w:rPr>
        <w:t>附件一：投标函</w:t>
      </w:r>
      <w:r>
        <w:tab/>
      </w:r>
      <w:r>
        <w:fldChar w:fldCharType="begin"/>
      </w:r>
      <w:r>
        <w:instrText xml:space="preserve"> PAGEREF _Toc3319 \h </w:instrText>
      </w:r>
      <w:r>
        <w:fldChar w:fldCharType="separate"/>
      </w:r>
      <w:r>
        <w:t>59</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_Toc12590 </w:instrText>
      </w:r>
      <w:r>
        <w:rPr>
          <w:bCs/>
          <w:caps/>
          <w:szCs w:val="21"/>
        </w:rPr>
        <w:fldChar w:fldCharType="separate"/>
      </w:r>
      <w:r>
        <w:rPr>
          <w:rFonts w:hint="eastAsia"/>
        </w:rPr>
        <w:t>附件二：开标一览表</w:t>
      </w:r>
      <w:r>
        <w:tab/>
      </w:r>
      <w:r>
        <w:fldChar w:fldCharType="begin"/>
      </w:r>
      <w:r>
        <w:instrText xml:space="preserve"> PAGEREF _Toc12590 \h </w:instrText>
      </w:r>
      <w:r>
        <w:fldChar w:fldCharType="separate"/>
      </w:r>
      <w:r>
        <w:t>60</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_Toc5129 </w:instrText>
      </w:r>
      <w:r>
        <w:rPr>
          <w:bCs/>
          <w:caps/>
          <w:szCs w:val="21"/>
        </w:rPr>
        <w:fldChar w:fldCharType="separate"/>
      </w:r>
      <w:r>
        <w:rPr>
          <w:rFonts w:hint="eastAsia"/>
        </w:rPr>
        <w:t>附件三：</w:t>
      </w:r>
      <w:r>
        <w:t>投标</w:t>
      </w:r>
      <w:r>
        <w:rPr>
          <w:rFonts w:hint="eastAsia"/>
        </w:rPr>
        <w:t>分项报价</w:t>
      </w:r>
      <w:r>
        <w:t>表</w:t>
      </w:r>
      <w:r>
        <w:tab/>
      </w:r>
      <w:r>
        <w:fldChar w:fldCharType="begin"/>
      </w:r>
      <w:r>
        <w:instrText xml:space="preserve"> PAGEREF _Toc5129 \h </w:instrText>
      </w:r>
      <w:r>
        <w:fldChar w:fldCharType="separate"/>
      </w:r>
      <w:r>
        <w:t>61</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_Toc9255 </w:instrText>
      </w:r>
      <w:r>
        <w:rPr>
          <w:bCs/>
          <w:caps/>
          <w:szCs w:val="21"/>
        </w:rPr>
        <w:fldChar w:fldCharType="separate"/>
      </w:r>
      <w:r>
        <w:rPr>
          <w:rFonts w:hint="eastAsia"/>
        </w:rPr>
        <w:t>附件四：商务条款偏离一览表</w:t>
      </w:r>
      <w:r>
        <w:tab/>
      </w:r>
      <w:r>
        <w:fldChar w:fldCharType="begin"/>
      </w:r>
      <w:r>
        <w:instrText xml:space="preserve"> PAGEREF _Toc9255 \h </w:instrText>
      </w:r>
      <w:r>
        <w:fldChar w:fldCharType="separate"/>
      </w:r>
      <w:r>
        <w:t>62</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_Toc5166 </w:instrText>
      </w:r>
      <w:r>
        <w:rPr>
          <w:bCs/>
          <w:caps/>
          <w:szCs w:val="21"/>
        </w:rPr>
        <w:fldChar w:fldCharType="separate"/>
      </w:r>
      <w:r>
        <w:rPr>
          <w:rFonts w:hint="eastAsia"/>
        </w:rPr>
        <w:t>附件五：技术条款偏离一览表</w:t>
      </w:r>
      <w:r>
        <w:tab/>
      </w:r>
      <w:r>
        <w:fldChar w:fldCharType="begin"/>
      </w:r>
      <w:r>
        <w:instrText xml:space="preserve"> PAGEREF _Toc5166 \h </w:instrText>
      </w:r>
      <w:r>
        <w:fldChar w:fldCharType="separate"/>
      </w:r>
      <w:r>
        <w:t>63</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_Toc17320 </w:instrText>
      </w:r>
      <w:r>
        <w:rPr>
          <w:bCs/>
          <w:caps/>
          <w:szCs w:val="21"/>
        </w:rPr>
        <w:fldChar w:fldCharType="separate"/>
      </w:r>
      <w:r>
        <w:rPr>
          <w:rFonts w:hint="eastAsia"/>
        </w:rPr>
        <w:t>附件六：同类业绩一览表</w:t>
      </w:r>
      <w:r>
        <w:tab/>
      </w:r>
      <w:r>
        <w:fldChar w:fldCharType="begin"/>
      </w:r>
      <w:r>
        <w:instrText xml:space="preserve"> PAGEREF _Toc17320 \h </w:instrText>
      </w:r>
      <w:r>
        <w:fldChar w:fldCharType="separate"/>
      </w:r>
      <w:r>
        <w:t>64</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_Toc21628 </w:instrText>
      </w:r>
      <w:r>
        <w:rPr>
          <w:bCs/>
          <w:caps/>
          <w:szCs w:val="21"/>
        </w:rPr>
        <w:fldChar w:fldCharType="separate"/>
      </w:r>
      <w:r>
        <w:rPr>
          <w:rFonts w:hint="eastAsia"/>
        </w:rPr>
        <w:t>附件七：</w:t>
      </w:r>
      <w:r>
        <w:rPr>
          <w:rFonts w:hint="eastAsia" w:hAnsi="黑体" w:cs="黑体"/>
        </w:rPr>
        <w:t>中小微企业声明函</w:t>
      </w:r>
      <w:r>
        <w:tab/>
      </w:r>
      <w:r>
        <w:fldChar w:fldCharType="begin"/>
      </w:r>
      <w:r>
        <w:instrText xml:space="preserve"> PAGEREF _Toc21628 \h </w:instrText>
      </w:r>
      <w:r>
        <w:fldChar w:fldCharType="separate"/>
      </w:r>
      <w:r>
        <w:t>65</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_Toc10852 </w:instrText>
      </w:r>
      <w:r>
        <w:rPr>
          <w:bCs/>
          <w:caps/>
          <w:szCs w:val="21"/>
        </w:rPr>
        <w:fldChar w:fldCharType="separate"/>
      </w:r>
      <w:r>
        <w:rPr>
          <w:rFonts w:hint="eastAsia"/>
        </w:rPr>
        <w:t>附件八：</w:t>
      </w:r>
      <w:r>
        <w:rPr>
          <w:rFonts w:hint="eastAsia" w:hAnsi="黑体" w:cs="黑体"/>
        </w:rPr>
        <w:t>残疾人福利性单位声明函</w:t>
      </w:r>
      <w:r>
        <w:tab/>
      </w:r>
      <w:r>
        <w:fldChar w:fldCharType="begin"/>
      </w:r>
      <w:r>
        <w:instrText xml:space="preserve"> PAGEREF _Toc10852 \h </w:instrText>
      </w:r>
      <w:r>
        <w:fldChar w:fldCharType="separate"/>
      </w:r>
      <w:r>
        <w:t>66</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_Toc7407 </w:instrText>
      </w:r>
      <w:r>
        <w:rPr>
          <w:bCs/>
          <w:caps/>
          <w:szCs w:val="21"/>
        </w:rPr>
        <w:fldChar w:fldCharType="separate"/>
      </w:r>
      <w:r>
        <w:rPr>
          <w:rFonts w:hint="eastAsia"/>
        </w:rPr>
        <w:t>附件九：中标服务费承诺</w:t>
      </w:r>
      <w:r>
        <w:tab/>
      </w:r>
      <w:r>
        <w:fldChar w:fldCharType="begin"/>
      </w:r>
      <w:r>
        <w:instrText xml:space="preserve"> PAGEREF _Toc7407 \h </w:instrText>
      </w:r>
      <w:r>
        <w:fldChar w:fldCharType="separate"/>
      </w:r>
      <w:r>
        <w:t>67</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_Toc57 </w:instrText>
      </w:r>
      <w:r>
        <w:rPr>
          <w:bCs/>
          <w:caps/>
          <w:szCs w:val="21"/>
        </w:rPr>
        <w:fldChar w:fldCharType="separate"/>
      </w:r>
      <w:r>
        <w:rPr>
          <w:rFonts w:hint="eastAsia"/>
        </w:rPr>
        <w:t>附件十：投标人提交的其它商务和技术资料</w:t>
      </w:r>
      <w:r>
        <w:tab/>
      </w:r>
      <w:r>
        <w:fldChar w:fldCharType="begin"/>
      </w:r>
      <w:r>
        <w:instrText xml:space="preserve"> PAGEREF _Toc57 \h </w:instrText>
      </w:r>
      <w:r>
        <w:fldChar w:fldCharType="separate"/>
      </w:r>
      <w:r>
        <w:t>68</w:t>
      </w:r>
      <w:r>
        <w:fldChar w:fldCharType="end"/>
      </w:r>
      <w:r>
        <w:rPr>
          <w:bCs/>
          <w:caps/>
          <w:color w:val="auto"/>
          <w:szCs w:val="21"/>
        </w:rPr>
        <w:fldChar w:fldCharType="end"/>
      </w:r>
    </w:p>
    <w:p>
      <w:pPr>
        <w:pStyle w:val="37"/>
        <w:tabs>
          <w:tab w:val="right" w:leader="dot" w:pos="8959"/>
          <w:tab w:val="clear" w:pos="8948"/>
        </w:tabs>
      </w:pPr>
      <w:r>
        <w:rPr>
          <w:bCs/>
          <w:caps/>
          <w:color w:val="auto"/>
          <w:szCs w:val="21"/>
        </w:rPr>
        <w:fldChar w:fldCharType="begin"/>
      </w:r>
      <w:r>
        <w:rPr>
          <w:bCs/>
          <w:caps/>
          <w:szCs w:val="21"/>
        </w:rPr>
        <w:instrText xml:space="preserve"> HYPERLINK \l _Toc7821 </w:instrText>
      </w:r>
      <w:r>
        <w:rPr>
          <w:bCs/>
          <w:caps/>
          <w:szCs w:val="21"/>
        </w:rPr>
        <w:fldChar w:fldCharType="separate"/>
      </w:r>
      <w:r>
        <w:rPr>
          <w:rFonts w:hint="eastAsia"/>
        </w:rPr>
        <w:t>其 他 格 式</w:t>
      </w:r>
      <w:r>
        <w:tab/>
      </w:r>
      <w:r>
        <w:fldChar w:fldCharType="begin"/>
      </w:r>
      <w:r>
        <w:instrText xml:space="preserve"> PAGEREF _Toc7821 \h </w:instrText>
      </w:r>
      <w:r>
        <w:fldChar w:fldCharType="separate"/>
      </w:r>
      <w:r>
        <w:t>69</w:t>
      </w:r>
      <w:r>
        <w:fldChar w:fldCharType="end"/>
      </w:r>
      <w:r>
        <w:rPr>
          <w:bCs/>
          <w:caps/>
          <w:color w:val="auto"/>
          <w:szCs w:val="21"/>
        </w:rPr>
        <w:fldChar w:fldCharType="end"/>
      </w:r>
    </w:p>
    <w:p>
      <w:pPr>
        <w:pStyle w:val="22"/>
        <w:tabs>
          <w:tab w:val="right" w:leader="dot" w:pos="8959"/>
          <w:tab w:val="clear" w:pos="840"/>
          <w:tab w:val="clear" w:pos="1004"/>
          <w:tab w:val="clear" w:pos="8948"/>
        </w:tabs>
      </w:pPr>
      <w:r>
        <w:rPr>
          <w:bCs/>
          <w:caps/>
          <w:color w:val="auto"/>
          <w:szCs w:val="21"/>
        </w:rPr>
        <w:fldChar w:fldCharType="begin"/>
      </w:r>
      <w:r>
        <w:rPr>
          <w:bCs/>
          <w:caps/>
          <w:szCs w:val="21"/>
        </w:rPr>
        <w:instrText xml:space="preserve"> HYPERLINK \l _Toc16422 </w:instrText>
      </w:r>
      <w:r>
        <w:rPr>
          <w:bCs/>
          <w:caps/>
          <w:szCs w:val="21"/>
        </w:rPr>
        <w:fldChar w:fldCharType="separate"/>
      </w:r>
      <w:r>
        <w:rPr>
          <w:rFonts w:hint="eastAsia" w:ascii="宋体" w:hAnsi="宋体" w:eastAsia="宋体"/>
        </w:rPr>
        <w:t>投标保证金退付书</w:t>
      </w:r>
      <w:r>
        <w:tab/>
      </w:r>
      <w:r>
        <w:fldChar w:fldCharType="begin"/>
      </w:r>
      <w:r>
        <w:instrText xml:space="preserve"> PAGEREF _Toc16422 \h </w:instrText>
      </w:r>
      <w:r>
        <w:fldChar w:fldCharType="separate"/>
      </w:r>
      <w:r>
        <w:t>70</w:t>
      </w:r>
      <w:r>
        <w:fldChar w:fldCharType="end"/>
      </w:r>
      <w:r>
        <w:rPr>
          <w:bCs/>
          <w:caps/>
          <w:color w:val="auto"/>
          <w:szCs w:val="21"/>
        </w:rPr>
        <w:fldChar w:fldCharType="end"/>
      </w:r>
    </w:p>
    <w:p>
      <w:pPr>
        <w:rPr>
          <w:color w:val="auto"/>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auto"/>
          <w:szCs w:val="21"/>
        </w:rPr>
        <w:fldChar w:fldCharType="end"/>
      </w:r>
    </w:p>
    <w:bookmarkEnd w:id="0"/>
    <w:p>
      <w:pPr>
        <w:pStyle w:val="3"/>
        <w:numPr>
          <w:ilvl w:val="0"/>
          <w:numId w:val="0"/>
        </w:numPr>
        <w:spacing w:beforeLines="0"/>
        <w:rPr>
          <w:color w:val="auto"/>
        </w:rPr>
      </w:pPr>
      <w:bookmarkStart w:id="1" w:name="_Toc366072457"/>
      <w:bookmarkStart w:id="2" w:name="_Toc333935278"/>
      <w:bookmarkStart w:id="3" w:name="_Toc336681537"/>
      <w:bookmarkStart w:id="4" w:name="_Toc365985108"/>
      <w:bookmarkStart w:id="5" w:name="_Toc333237723"/>
      <w:bookmarkStart w:id="6" w:name="_Toc333238571"/>
      <w:bookmarkStart w:id="7" w:name="_Toc336681892"/>
      <w:bookmarkStart w:id="8" w:name="_Toc339020186"/>
      <w:bookmarkStart w:id="9" w:name="_Toc332206657"/>
      <w:bookmarkStart w:id="10" w:name="_Toc332270305"/>
      <w:bookmarkStart w:id="11" w:name="_Toc339019828"/>
      <w:bookmarkStart w:id="12" w:name="_Toc333237612"/>
      <w:bookmarkStart w:id="13" w:name="_Toc341348291"/>
      <w:bookmarkStart w:id="14" w:name="_Toc340507403"/>
      <w:bookmarkStart w:id="15" w:name="_Toc331683994"/>
      <w:bookmarkStart w:id="16" w:name="_Toc333935619"/>
      <w:bookmarkStart w:id="17" w:name="_Toc339019954"/>
      <w:bookmarkStart w:id="18" w:name="_Toc350756403"/>
      <w:bookmarkStart w:id="19" w:name="_Toc350438702"/>
      <w:bookmarkStart w:id="20" w:name="_Toc342296708"/>
      <w:bookmarkStart w:id="21" w:name="_Toc349143546"/>
      <w:bookmarkStart w:id="22" w:name="_Toc340672830"/>
      <w:bookmarkStart w:id="23" w:name="_Toc331512856"/>
      <w:bookmarkStart w:id="24" w:name="_Toc349127583"/>
      <w:bookmarkStart w:id="25" w:name="_Toc345513762"/>
      <w:bookmarkStart w:id="26" w:name="_Toc342060322"/>
      <w:bookmarkStart w:id="27" w:name="_Toc337632315"/>
      <w:bookmarkStart w:id="28" w:name="_Toc339020048"/>
      <w:bookmarkStart w:id="29" w:name="_Toc339362257"/>
      <w:bookmarkStart w:id="30" w:name="_Toc340677031"/>
      <w:bookmarkStart w:id="31" w:name="_Toc330459945"/>
      <w:bookmarkStart w:id="32" w:name="_Toc339441044"/>
      <w:bookmarkStart w:id="33" w:name="_Toc365967002"/>
      <w:bookmarkStart w:id="34" w:name="_Toc10399"/>
      <w:bookmarkStart w:id="35" w:name="_Toc500860978"/>
      <w:r>
        <w:rPr>
          <w:rFonts w:hint="eastAsia"/>
          <w:color w:val="auto"/>
        </w:rPr>
        <w:t>第一</w:t>
      </w:r>
      <w:bookmarkStart w:id="36" w:name="_Hlt23321731"/>
      <w:bookmarkEnd w:id="36"/>
      <w:r>
        <w:rPr>
          <w:rFonts w:hint="eastAsia"/>
          <w:color w:val="auto"/>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auto"/>
        </w:rPr>
      </w:pPr>
      <w:r>
        <w:rPr>
          <w:rFonts w:hint="eastAsia" w:ascii="宋体" w:hAnsi="宋体"/>
          <w:bCs/>
          <w:color w:val="auto"/>
        </w:rPr>
        <w:t>广东业信采购招标有限公司（以下简称“代理采购机构”）受阳江市人民医院（以下简称</w:t>
      </w:r>
      <w:r>
        <w:rPr>
          <w:rFonts w:ascii="宋体" w:hAnsi="宋体"/>
          <w:bCs/>
          <w:color w:val="auto"/>
        </w:rPr>
        <w:t>“</w:t>
      </w:r>
      <w:r>
        <w:rPr>
          <w:rFonts w:hint="eastAsia" w:ascii="宋体" w:hAnsi="宋体"/>
          <w:bCs/>
          <w:color w:val="auto"/>
        </w:rPr>
        <w:t>采购人</w:t>
      </w:r>
      <w:r>
        <w:rPr>
          <w:rFonts w:ascii="宋体" w:hAnsi="宋体"/>
          <w:bCs/>
          <w:color w:val="auto"/>
        </w:rPr>
        <w:t>”</w:t>
      </w:r>
      <w:r>
        <w:rPr>
          <w:rFonts w:hint="eastAsia" w:ascii="宋体" w:hAnsi="宋体"/>
          <w:bCs/>
          <w:color w:val="auto"/>
        </w:rPr>
        <w:t>）的委托，就2022年医院网络安全等级保护测评及重要时期网络安全保障服务项目进行公开招标(项目编号:YXCG-20220602)，欢迎符合条件的投标人参加。有关事项如下：</w:t>
      </w:r>
    </w:p>
    <w:p>
      <w:pPr>
        <w:widowControl/>
        <w:tabs>
          <w:tab w:val="left" w:pos="502"/>
        </w:tabs>
        <w:adjustRightInd w:val="0"/>
        <w:snapToGrid w:val="0"/>
        <w:spacing w:line="360" w:lineRule="auto"/>
        <w:rPr>
          <w:rFonts w:ascii="Tahoma" w:hAnsi="Tahoma" w:cs="Tahoma"/>
          <w:b/>
          <w:bCs/>
          <w:color w:val="auto"/>
          <w:szCs w:val="21"/>
        </w:rPr>
      </w:pPr>
      <w:r>
        <w:rPr>
          <w:rFonts w:hint="eastAsia" w:ascii="宋体" w:hAnsi="宋体" w:cs="Tahoma"/>
          <w:b/>
          <w:bCs/>
          <w:color w:val="auto"/>
        </w:rPr>
        <w:t>一、</w:t>
      </w:r>
      <w:r>
        <w:rPr>
          <w:rFonts w:hint="eastAsia" w:ascii="Tahoma" w:hAnsi="Tahoma" w:cs="Tahoma"/>
          <w:b/>
          <w:bCs/>
          <w:color w:val="auto"/>
          <w:szCs w:val="21"/>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auto"/>
        </w:rPr>
      </w:pPr>
      <w:r>
        <w:rPr>
          <w:rFonts w:hint="eastAsia" w:ascii="宋体" w:hAnsi="宋体"/>
          <w:bCs/>
          <w:color w:val="auto"/>
        </w:rPr>
        <w:t>项目名称：2022年医院网络安全等级保护测评及重要时期网络安全保障服务项目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auto"/>
        </w:rPr>
      </w:pPr>
      <w:r>
        <w:rPr>
          <w:rFonts w:hint="eastAsia" w:ascii="宋体" w:hAnsi="宋体"/>
          <w:bCs/>
          <w:color w:val="auto"/>
        </w:rPr>
        <w:t>项目编号: YXCG-20220602</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auto"/>
        </w:rPr>
      </w:pPr>
      <w:r>
        <w:rPr>
          <w:rFonts w:hint="eastAsia" w:ascii="宋体" w:hAnsi="宋体"/>
          <w:bCs/>
          <w:color w:val="auto"/>
        </w:rPr>
        <w:t>投标报价上限：人民币588500.00元（超出该上限的投标报价将作为无效投标处理）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auto"/>
        </w:rPr>
      </w:pPr>
      <w:r>
        <w:rPr>
          <w:rFonts w:hint="eastAsia" w:ascii="宋体" w:hAnsi="宋体"/>
          <w:bCs/>
          <w:color w:val="auto"/>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auto"/>
        </w:rPr>
      </w:pPr>
      <w:r>
        <w:rPr>
          <w:rFonts w:hint="eastAsia" w:ascii="宋体" w:hAnsi="宋体"/>
          <w:b/>
          <w:bCs/>
          <w:color w:val="auto"/>
          <w:szCs w:val="21"/>
        </w:rPr>
        <w:t>完工期</w:t>
      </w:r>
      <w:r>
        <w:rPr>
          <w:rFonts w:hint="eastAsia" w:ascii="宋体" w:hAnsi="宋体"/>
          <w:b/>
          <w:bCs/>
          <w:color w:val="auto"/>
          <w:spacing w:val="-6"/>
          <w:szCs w:val="21"/>
        </w:rPr>
        <w:t>：</w:t>
      </w:r>
      <w:r>
        <w:rPr>
          <w:rFonts w:hint="eastAsia" w:ascii="宋体" w:hAnsi="宋体"/>
          <w:bCs/>
          <w:color w:val="auto"/>
          <w:spacing w:val="-6"/>
          <w:szCs w:val="21"/>
        </w:rPr>
        <w:t>合同签订生效之日起4个月内完成网络安全等级保护测评工作、“重保时期”网络安全保障服务工作并交付所有项目成果。</w:t>
      </w:r>
      <w:r>
        <w:rPr>
          <w:rFonts w:hint="eastAsia" w:ascii="宋体" w:hAnsi="宋体"/>
          <w:bCs/>
          <w:color w:val="auto"/>
        </w:rPr>
        <w:t>（超出该完工期将作为无效投标处理）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auto"/>
        </w:rPr>
      </w:pPr>
      <w:r>
        <w:rPr>
          <w:rFonts w:hint="eastAsia" w:ascii="宋体" w:hAnsi="宋体" w:cs="Tahoma"/>
          <w:color w:val="auto"/>
          <w:kern w:val="28"/>
          <w:szCs w:val="21"/>
        </w:rPr>
        <w:t>项目采购方式：公开招标</w:t>
      </w:r>
    </w:p>
    <w:p>
      <w:pPr>
        <w:widowControl/>
        <w:tabs>
          <w:tab w:val="left" w:pos="502"/>
        </w:tabs>
        <w:adjustRightInd w:val="0"/>
        <w:snapToGrid w:val="0"/>
        <w:spacing w:line="360" w:lineRule="auto"/>
        <w:rPr>
          <w:rFonts w:ascii="宋体" w:hAnsi="宋体" w:cs="Tahoma"/>
          <w:b/>
          <w:bCs/>
          <w:color w:val="auto"/>
        </w:rPr>
      </w:pPr>
      <w:r>
        <w:rPr>
          <w:rFonts w:hint="eastAsia" w:ascii="宋体" w:hAnsi="宋体" w:cs="Tahoma"/>
          <w:b/>
          <w:bCs/>
          <w:color w:val="auto"/>
        </w:rPr>
        <w:t>二、投标人资格要求为：</w:t>
      </w:r>
    </w:p>
    <w:p>
      <w:pPr>
        <w:widowControl/>
        <w:tabs>
          <w:tab w:val="left" w:pos="502"/>
        </w:tabs>
        <w:adjustRightInd w:val="0"/>
        <w:snapToGrid w:val="0"/>
        <w:spacing w:line="360" w:lineRule="auto"/>
        <w:ind w:firstLine="420" w:firstLineChars="200"/>
        <w:rPr>
          <w:rFonts w:ascii="宋体" w:hAnsi="宋体" w:cs="Tahoma"/>
          <w:color w:val="auto"/>
        </w:rPr>
      </w:pPr>
      <w:r>
        <w:rPr>
          <w:rFonts w:hint="eastAsia" w:ascii="宋体" w:hAnsi="宋体" w:cs="Tahoma"/>
          <w:color w:val="auto"/>
        </w:rPr>
        <w:t>1.投标人应具备《中华人民共和国政府采购法》第二十二条规定的条件：</w:t>
      </w:r>
    </w:p>
    <w:p>
      <w:pPr>
        <w:widowControl/>
        <w:tabs>
          <w:tab w:val="left" w:pos="502"/>
        </w:tabs>
        <w:adjustRightInd w:val="0"/>
        <w:snapToGrid w:val="0"/>
        <w:spacing w:line="360" w:lineRule="auto"/>
        <w:ind w:left="630" w:leftChars="300" w:firstLine="0" w:firstLineChars="0"/>
        <w:rPr>
          <w:rFonts w:ascii="宋体" w:hAnsi="宋体" w:cs="Tahoma"/>
          <w:color w:val="auto"/>
        </w:rPr>
      </w:pPr>
      <w:r>
        <w:rPr>
          <w:rFonts w:hint="eastAsia" w:ascii="宋体" w:hAnsi="宋体" w:cs="Tahoma"/>
          <w:color w:val="auto"/>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widowControl/>
        <w:tabs>
          <w:tab w:val="left" w:pos="502"/>
        </w:tabs>
        <w:adjustRightInd w:val="0"/>
        <w:snapToGrid w:val="0"/>
        <w:spacing w:line="360" w:lineRule="auto"/>
        <w:ind w:left="630" w:leftChars="300" w:firstLine="0" w:firstLineChars="0"/>
        <w:rPr>
          <w:rFonts w:ascii="宋体" w:hAnsi="宋体" w:cs="Tahoma"/>
          <w:color w:val="auto"/>
        </w:rPr>
      </w:pPr>
      <w:r>
        <w:rPr>
          <w:rFonts w:hint="eastAsia" w:ascii="宋体" w:hAnsi="宋体" w:cs="Tahoma"/>
          <w:color w:val="auto"/>
        </w:rPr>
        <w:t>2）具有良好的商业信誉和健全的财务会计制度：投标人必须具有良好的商业信誉和健全的财务会计制度（提供2021年度财务状况报告或基本开户行出具的资信证明）；</w:t>
      </w:r>
    </w:p>
    <w:p>
      <w:pPr>
        <w:widowControl/>
        <w:tabs>
          <w:tab w:val="left" w:pos="502"/>
        </w:tabs>
        <w:adjustRightInd w:val="0"/>
        <w:snapToGrid w:val="0"/>
        <w:spacing w:line="360" w:lineRule="auto"/>
        <w:ind w:left="630" w:leftChars="300" w:firstLine="0" w:firstLineChars="0"/>
        <w:rPr>
          <w:rFonts w:ascii="宋体" w:hAnsi="宋体" w:cs="Tahoma"/>
          <w:color w:val="auto"/>
        </w:rPr>
      </w:pPr>
      <w:r>
        <w:rPr>
          <w:rFonts w:hint="eastAsia" w:ascii="宋体" w:hAnsi="宋体" w:cs="Tahoma"/>
          <w:color w:val="auto"/>
        </w:rPr>
        <w:t>3）具有履行合同所必需的设备和专业技术能力：按投标（响应）文件格式填报设备及专业技术能力情况；</w:t>
      </w:r>
    </w:p>
    <w:p>
      <w:pPr>
        <w:widowControl/>
        <w:tabs>
          <w:tab w:val="left" w:pos="502"/>
        </w:tabs>
        <w:adjustRightInd w:val="0"/>
        <w:snapToGrid w:val="0"/>
        <w:spacing w:line="360" w:lineRule="auto"/>
        <w:ind w:left="630" w:leftChars="300" w:firstLine="0" w:firstLineChars="0"/>
        <w:rPr>
          <w:rFonts w:ascii="宋体" w:hAnsi="宋体" w:cs="Tahoma"/>
          <w:color w:val="auto"/>
        </w:rPr>
      </w:pPr>
      <w:r>
        <w:rPr>
          <w:rFonts w:hint="eastAsia" w:ascii="宋体" w:hAnsi="宋体" w:cs="Tahoma"/>
          <w:color w:val="auto"/>
        </w:rPr>
        <w:t>4）有依法缴纳税收和社会保障资金的良好记录：提供投标截止日前6个月内任意1个月依法缴纳税收和社会保障资金的相关材料。如依法免税或不需要缴纳社会保障资金的，提供相应证明材料；</w:t>
      </w:r>
    </w:p>
    <w:p>
      <w:pPr>
        <w:widowControl/>
        <w:tabs>
          <w:tab w:val="left" w:pos="502"/>
        </w:tabs>
        <w:adjustRightInd w:val="0"/>
        <w:snapToGrid w:val="0"/>
        <w:spacing w:line="360" w:lineRule="auto"/>
        <w:ind w:left="630" w:leftChars="300" w:firstLine="0" w:firstLineChars="0"/>
        <w:rPr>
          <w:rFonts w:ascii="宋体" w:hAnsi="宋体" w:cs="Tahoma"/>
          <w:color w:val="auto"/>
        </w:rPr>
      </w:pPr>
      <w:r>
        <w:rPr>
          <w:rFonts w:hint="eastAsia" w:ascii="宋体" w:hAnsi="宋体" w:cs="Tahoma"/>
          <w:color w:val="auto"/>
        </w:rPr>
        <w:t>5）参加政府采购活动前三年内，在经营活动中没有重大违法记录：在经营活动中没有重大违法记录：参照投标（报价）函相关承诺格式内容。 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pPr>
        <w:widowControl/>
        <w:tabs>
          <w:tab w:val="left" w:pos="502"/>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6）法律、行政法规规定的其他条件。</w:t>
      </w:r>
    </w:p>
    <w:p>
      <w:pPr>
        <w:widowControl/>
        <w:tabs>
          <w:tab w:val="left" w:pos="502"/>
        </w:tabs>
        <w:adjustRightInd w:val="0"/>
        <w:snapToGrid w:val="0"/>
        <w:spacing w:line="360" w:lineRule="auto"/>
        <w:ind w:left="420" w:leftChars="200" w:firstLine="0" w:firstLineChars="0"/>
        <w:rPr>
          <w:rFonts w:ascii="宋体" w:hAnsi="宋体" w:cs="Tahoma"/>
          <w:color w:val="auto"/>
        </w:rPr>
      </w:pPr>
      <w:r>
        <w:rPr>
          <w:rFonts w:hint="eastAsia" w:ascii="宋体" w:hAnsi="宋体" w:cs="Tahoma"/>
          <w:color w:val="auto"/>
        </w:rPr>
        <w:t>2.为采购项目提供整体设计、规范编制或者项目管理、监理、检测等服务的供应商，不得再参加该采购项目的其他采购活动；（提供《投标函》承诺）</w:t>
      </w:r>
    </w:p>
    <w:p>
      <w:pPr>
        <w:widowControl/>
        <w:tabs>
          <w:tab w:val="left" w:pos="502"/>
        </w:tabs>
        <w:adjustRightInd w:val="0"/>
        <w:snapToGrid w:val="0"/>
        <w:spacing w:line="360" w:lineRule="auto"/>
        <w:ind w:left="420" w:leftChars="200" w:firstLine="0" w:firstLineChars="0"/>
        <w:rPr>
          <w:rFonts w:ascii="宋体" w:hAnsi="宋体" w:cs="Tahoma"/>
          <w:color w:val="auto"/>
        </w:rPr>
      </w:pPr>
      <w:r>
        <w:rPr>
          <w:rFonts w:hint="eastAsia" w:ascii="宋体" w:hAnsi="宋体" w:cs="Tahoma"/>
          <w:color w:val="auto"/>
        </w:rPr>
        <w:t>3.单位负责人为同一人或者存在直接控股、管理关系的不同供应商，不得参加同一合同项下的政府采购活动；（提供《投标函》承诺）</w:t>
      </w:r>
    </w:p>
    <w:p>
      <w:pPr>
        <w:widowControl/>
        <w:tabs>
          <w:tab w:val="left" w:pos="502"/>
        </w:tabs>
        <w:adjustRightInd w:val="0"/>
        <w:snapToGrid w:val="0"/>
        <w:spacing w:line="360" w:lineRule="auto"/>
        <w:ind w:left="420" w:leftChars="200" w:firstLine="0" w:firstLineChars="0"/>
        <w:rPr>
          <w:rFonts w:ascii="宋体" w:hAnsi="宋体" w:cs="Tahoma"/>
          <w:color w:val="auto"/>
        </w:rPr>
      </w:pPr>
      <w:r>
        <w:rPr>
          <w:rFonts w:hint="eastAsia" w:ascii="宋体" w:hAnsi="宋体" w:cs="Tahoma"/>
          <w:color w:val="auto"/>
        </w:rPr>
        <w:t>4.投标人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以采购代理机构于开标时间当天在“信用中国”网站（www.creditchina.gov.cn）及中国政府采购网(www.ccgp.gov.cn)查询结果为准，如相关记录信息已失效，供应商必须提供由该记录信息的执行或列入单位出具的相关证明材料。</w:t>
      </w:r>
    </w:p>
    <w:p>
      <w:pPr>
        <w:widowControl/>
        <w:tabs>
          <w:tab w:val="left" w:pos="502"/>
        </w:tabs>
        <w:adjustRightInd w:val="0"/>
        <w:snapToGrid w:val="0"/>
        <w:spacing w:line="360" w:lineRule="auto"/>
        <w:ind w:firstLine="420" w:firstLineChars="200"/>
        <w:rPr>
          <w:rFonts w:ascii="宋体" w:hAnsi="宋体" w:cs="Tahoma"/>
          <w:color w:val="auto"/>
        </w:rPr>
      </w:pPr>
      <w:r>
        <w:rPr>
          <w:rFonts w:hint="eastAsia" w:ascii="宋体" w:hAnsi="宋体" w:cs="Tahoma"/>
          <w:color w:val="auto"/>
        </w:rPr>
        <w:t>5.投标人须具有《网络安全等级测评与检测评估机构服务认证证书》。</w:t>
      </w:r>
    </w:p>
    <w:p>
      <w:pPr>
        <w:widowControl/>
        <w:tabs>
          <w:tab w:val="left" w:pos="502"/>
        </w:tabs>
        <w:adjustRightInd w:val="0"/>
        <w:snapToGrid w:val="0"/>
        <w:spacing w:line="360" w:lineRule="auto"/>
        <w:ind w:firstLine="420" w:firstLineChars="200"/>
        <w:rPr>
          <w:rFonts w:ascii="宋体" w:hAnsi="宋体" w:cs="Tahoma"/>
          <w:color w:val="auto"/>
        </w:rPr>
      </w:pPr>
      <w:r>
        <w:rPr>
          <w:rFonts w:hint="eastAsia" w:ascii="宋体" w:hAnsi="宋体" w:cs="Tahoma"/>
          <w:color w:val="auto"/>
        </w:rPr>
        <w:t>6.本项目不接受联合体投标；</w:t>
      </w:r>
    </w:p>
    <w:p>
      <w:pPr>
        <w:widowControl/>
        <w:tabs>
          <w:tab w:val="left" w:pos="502"/>
        </w:tabs>
        <w:adjustRightInd w:val="0"/>
        <w:snapToGrid w:val="0"/>
        <w:spacing w:line="360" w:lineRule="auto"/>
        <w:ind w:firstLine="420" w:firstLineChars="200"/>
        <w:rPr>
          <w:rFonts w:ascii="宋体" w:hAnsi="宋体" w:cs="Tahoma"/>
          <w:color w:val="auto"/>
        </w:rPr>
      </w:pPr>
      <w:r>
        <w:rPr>
          <w:rFonts w:hint="eastAsia" w:ascii="宋体" w:hAnsi="宋体" w:cs="Tahoma"/>
          <w:color w:val="auto"/>
        </w:rPr>
        <w:t>7.投标人须在招标代理机构登记并购买招标文件。</w:t>
      </w:r>
    </w:p>
    <w:p>
      <w:pPr>
        <w:widowControl/>
        <w:tabs>
          <w:tab w:val="left" w:pos="502"/>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三、</w:t>
      </w:r>
      <w:r>
        <w:rPr>
          <w:rFonts w:ascii="Tahoma" w:hAnsi="Tahoma" w:cs="Tahoma"/>
          <w:b/>
          <w:bCs/>
          <w:color w:val="auto"/>
          <w:szCs w:val="21"/>
        </w:rPr>
        <w:t>招标文件的公示</w:t>
      </w:r>
    </w:p>
    <w:p>
      <w:pPr>
        <w:spacing w:line="360" w:lineRule="auto"/>
        <w:ind w:firstLine="210" w:firstLineChars="100"/>
        <w:rPr>
          <w:rFonts w:hint="eastAsia" w:ascii="宋体" w:hAnsi="宋体" w:eastAsia="宋体" w:cs="宋体"/>
          <w:bCs/>
          <w:color w:val="auto"/>
        </w:rPr>
      </w:pPr>
      <w:r>
        <w:rPr>
          <w:rFonts w:hint="eastAsia" w:ascii="宋体" w:hAnsi="宋体" w:cs="宋体"/>
          <w:color w:val="auto"/>
          <w:kern w:val="0"/>
          <w:szCs w:val="21"/>
        </w:rPr>
        <w:t>1．</w:t>
      </w:r>
      <w:r>
        <w:rPr>
          <w:rFonts w:hint="eastAsia" w:ascii="宋体" w:hAnsi="宋体" w:cs="Arial"/>
          <w:color w:val="auto"/>
        </w:rPr>
        <w:t>招标文件公示时</w:t>
      </w:r>
      <w:r>
        <w:rPr>
          <w:rFonts w:hint="eastAsia" w:ascii="宋体" w:hAnsi="宋体"/>
          <w:bCs/>
          <w:color w:val="auto"/>
        </w:rPr>
        <w:t>间及下载</w:t>
      </w:r>
      <w:r>
        <w:rPr>
          <w:rFonts w:hint="eastAsia" w:ascii="宋体" w:hAnsi="宋体" w:eastAsia="宋体" w:cs="宋体"/>
          <w:bCs/>
          <w:color w:val="auto"/>
        </w:rPr>
        <w:t>：</w:t>
      </w:r>
      <w:r>
        <w:rPr>
          <w:rFonts w:hint="eastAsia" w:ascii="宋体" w:hAnsi="宋体" w:eastAsia="宋体" w:cs="宋体"/>
          <w:color w:val="auto"/>
          <w:kern w:val="2"/>
          <w:sz w:val="21"/>
          <w:szCs w:val="24"/>
          <w:lang w:val="en-US" w:eastAsia="zh-CN" w:bidi="ar-SA"/>
        </w:rPr>
        <w:t>2022年6月10日</w:t>
      </w:r>
      <w:r>
        <w:rPr>
          <w:rFonts w:hint="eastAsia" w:ascii="宋体" w:hAnsi="宋体" w:eastAsia="宋体" w:cs="宋体"/>
          <w:color w:val="auto"/>
          <w:szCs w:val="21"/>
        </w:rPr>
        <w:t>至</w:t>
      </w:r>
      <w:r>
        <w:rPr>
          <w:rFonts w:hint="eastAsia" w:ascii="宋体" w:hAnsi="宋体" w:eastAsia="宋体" w:cs="宋体"/>
          <w:color w:val="auto"/>
          <w:kern w:val="2"/>
          <w:sz w:val="21"/>
          <w:szCs w:val="24"/>
          <w:lang w:val="en-US" w:eastAsia="zh-CN" w:bidi="ar-SA"/>
        </w:rPr>
        <w:t>2022年6月17日</w:t>
      </w:r>
      <w:r>
        <w:rPr>
          <w:rFonts w:hint="eastAsia" w:ascii="宋体" w:hAnsi="宋体" w:eastAsia="宋体" w:cs="宋体"/>
          <w:bCs/>
          <w:color w:val="auto"/>
        </w:rPr>
        <w:t>。</w:t>
      </w:r>
    </w:p>
    <w:p>
      <w:pPr>
        <w:widowControl/>
        <w:adjustRightInd w:val="0"/>
        <w:snapToGrid w:val="0"/>
        <w:spacing w:line="360" w:lineRule="auto"/>
        <w:ind w:left="315" w:leftChars="100" w:hanging="105" w:hangingChars="50"/>
        <w:rPr>
          <w:rFonts w:ascii="宋体" w:hAnsi="宋体" w:cs="宋体"/>
          <w:color w:val="auto"/>
          <w:kern w:val="0"/>
          <w:szCs w:val="21"/>
        </w:rPr>
      </w:pPr>
      <w:r>
        <w:rPr>
          <w:rFonts w:hint="eastAsia" w:ascii="宋体" w:hAnsi="宋体" w:eastAsia="宋体" w:cs="宋体"/>
          <w:bCs/>
          <w:color w:val="auto"/>
        </w:rPr>
        <w:t>2．根据《广东省实施〈中华人民共和国政府采购法〉办法》第三十五条的规定</w:t>
      </w:r>
      <w:r>
        <w:rPr>
          <w:rFonts w:ascii="宋体" w:hAnsi="宋体"/>
          <w:bCs/>
          <w:color w:val="auto"/>
        </w:rPr>
        <w:t>，投标人认为政府采购文件的内容损害其权益</w:t>
      </w:r>
      <w:r>
        <w:rPr>
          <w:rFonts w:ascii="宋体" w:hAnsi="宋体" w:cs="宋体"/>
          <w:color w:val="auto"/>
          <w:kern w:val="0"/>
          <w:szCs w:val="21"/>
        </w:rPr>
        <w:t>的，可以在公示期间或者自期满之日起七个工作日内以书面形式向采购人或</w:t>
      </w:r>
      <w:r>
        <w:rPr>
          <w:rFonts w:hint="eastAsia" w:ascii="宋体" w:hAnsi="宋体" w:cs="宋体"/>
          <w:color w:val="auto"/>
          <w:kern w:val="0"/>
          <w:szCs w:val="21"/>
        </w:rPr>
        <w:t>代理采购机构</w:t>
      </w:r>
      <w:r>
        <w:rPr>
          <w:rFonts w:ascii="宋体" w:hAnsi="宋体" w:cs="宋体"/>
          <w:color w:val="auto"/>
          <w:kern w:val="0"/>
          <w:szCs w:val="21"/>
        </w:rPr>
        <w:t>提出质疑。质疑函应当</w:t>
      </w:r>
      <w:r>
        <w:rPr>
          <w:rFonts w:hint="eastAsia" w:ascii="宋体" w:hAnsi="宋体" w:cs="宋体"/>
          <w:color w:val="auto"/>
          <w:kern w:val="0"/>
          <w:szCs w:val="21"/>
        </w:rPr>
        <w:t>由</w:t>
      </w:r>
      <w:r>
        <w:rPr>
          <w:rFonts w:ascii="宋体" w:hAnsi="宋体" w:cs="宋体"/>
          <w:color w:val="auto"/>
          <w:kern w:val="0"/>
          <w:szCs w:val="21"/>
        </w:rPr>
        <w:t>质疑</w:t>
      </w:r>
      <w:r>
        <w:rPr>
          <w:rFonts w:hint="eastAsia" w:ascii="宋体" w:hAnsi="宋体" w:cs="宋体"/>
          <w:color w:val="auto"/>
          <w:kern w:val="0"/>
          <w:szCs w:val="21"/>
        </w:rPr>
        <w:t>投标人的法定代表人</w:t>
      </w:r>
      <w:r>
        <w:rPr>
          <w:rFonts w:ascii="宋体" w:hAnsi="宋体" w:cs="宋体"/>
          <w:color w:val="auto"/>
          <w:kern w:val="0"/>
          <w:szCs w:val="21"/>
        </w:rPr>
        <w:t>或主要负责人签字并加盖</w:t>
      </w:r>
      <w:r>
        <w:rPr>
          <w:rFonts w:hint="eastAsia" w:ascii="宋体" w:hAnsi="宋体" w:cs="宋体"/>
          <w:color w:val="auto"/>
          <w:kern w:val="0"/>
          <w:szCs w:val="21"/>
        </w:rPr>
        <w:t>单位</w:t>
      </w:r>
      <w:r>
        <w:rPr>
          <w:rFonts w:ascii="宋体" w:hAnsi="宋体" w:cs="宋体"/>
          <w:color w:val="auto"/>
          <w:kern w:val="0"/>
          <w:szCs w:val="21"/>
        </w:rPr>
        <w:t>公章</w:t>
      </w:r>
      <w:r>
        <w:rPr>
          <w:rFonts w:hint="eastAsia" w:ascii="宋体" w:hAnsi="宋体" w:cs="宋体"/>
          <w:color w:val="auto"/>
          <w:kern w:val="0"/>
          <w:szCs w:val="21"/>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rPr>
        <w:t>采购人或</w:t>
      </w:r>
      <w:r>
        <w:rPr>
          <w:rFonts w:hint="eastAsia" w:ascii="宋体" w:hAnsi="宋体" w:cs="宋体"/>
          <w:color w:val="auto"/>
          <w:kern w:val="0"/>
          <w:szCs w:val="21"/>
        </w:rPr>
        <w:t>代理采购机构可不予作答。</w:t>
      </w:r>
    </w:p>
    <w:p>
      <w:pPr>
        <w:widowControl/>
        <w:numPr>
          <w:ilvl w:val="0"/>
          <w:numId w:val="22"/>
        </w:numPr>
        <w:tabs>
          <w:tab w:val="left" w:pos="502"/>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购买招标文件的时间、地点、方式及招标文件售价</w:t>
      </w:r>
    </w:p>
    <w:p>
      <w:pPr>
        <w:widowControl/>
        <w:tabs>
          <w:tab w:val="left" w:pos="735"/>
        </w:tabs>
        <w:adjustRightInd w:val="0"/>
        <w:snapToGrid w:val="0"/>
        <w:spacing w:line="360" w:lineRule="auto"/>
        <w:ind w:left="210" w:leftChars="100"/>
        <w:rPr>
          <w:rFonts w:hint="eastAsia" w:ascii="宋体" w:hAnsi="宋体" w:eastAsia="宋体" w:cs="宋体"/>
          <w:color w:val="auto"/>
        </w:rPr>
      </w:pPr>
      <w:r>
        <w:rPr>
          <w:rFonts w:hint="eastAsia" w:ascii="宋体" w:hAnsi="宋体" w:cs="Tahoma"/>
          <w:color w:val="auto"/>
        </w:rPr>
        <w:t>1.购买招标文件</w:t>
      </w:r>
      <w:r>
        <w:rPr>
          <w:rFonts w:hint="eastAsia" w:ascii="宋体" w:hAnsi="宋体"/>
          <w:bCs/>
          <w:color w:val="auto"/>
        </w:rPr>
        <w:t>时</w:t>
      </w:r>
      <w:r>
        <w:rPr>
          <w:rFonts w:hint="eastAsia" w:ascii="宋体" w:hAnsi="宋体" w:eastAsia="宋体" w:cs="宋体"/>
          <w:bCs/>
          <w:color w:val="auto"/>
        </w:rPr>
        <w:t>间：</w:t>
      </w:r>
      <w:r>
        <w:rPr>
          <w:rFonts w:hint="eastAsia" w:ascii="宋体" w:hAnsi="宋体" w:eastAsia="宋体" w:cs="宋体"/>
          <w:color w:val="auto"/>
          <w:kern w:val="2"/>
          <w:sz w:val="21"/>
          <w:szCs w:val="24"/>
          <w:lang w:val="en-US" w:eastAsia="zh-CN" w:bidi="ar-SA"/>
        </w:rPr>
        <w:t>2022年6月10日</w:t>
      </w:r>
      <w:r>
        <w:rPr>
          <w:rFonts w:hint="eastAsia" w:ascii="宋体" w:hAnsi="宋体" w:eastAsia="宋体" w:cs="宋体"/>
          <w:color w:val="auto"/>
          <w:szCs w:val="21"/>
        </w:rPr>
        <w:t>至</w:t>
      </w:r>
      <w:r>
        <w:rPr>
          <w:rFonts w:hint="eastAsia" w:ascii="宋体" w:hAnsi="宋体" w:eastAsia="宋体" w:cs="宋体"/>
          <w:color w:val="auto"/>
          <w:kern w:val="2"/>
          <w:sz w:val="21"/>
          <w:szCs w:val="24"/>
          <w:lang w:val="en-US" w:eastAsia="zh-CN" w:bidi="ar-SA"/>
        </w:rPr>
        <w:t>2022年6月17日</w:t>
      </w:r>
      <w:r>
        <w:rPr>
          <w:rFonts w:hint="eastAsia" w:ascii="宋体" w:hAnsi="宋体" w:eastAsia="宋体" w:cs="宋体"/>
          <w:bCs/>
          <w:color w:val="auto"/>
        </w:rPr>
        <w:t>，上午9:00～12:00，下午2:30～5:30（节假日除外）（北</w:t>
      </w:r>
      <w:r>
        <w:rPr>
          <w:rFonts w:hint="eastAsia" w:ascii="宋体" w:hAnsi="宋体" w:eastAsia="宋体" w:cs="宋体"/>
          <w:color w:val="auto"/>
        </w:rPr>
        <w:t>京时间）。</w:t>
      </w:r>
    </w:p>
    <w:p>
      <w:pPr>
        <w:widowControl/>
        <w:tabs>
          <w:tab w:val="left" w:pos="735"/>
        </w:tabs>
        <w:adjustRightInd w:val="0"/>
        <w:snapToGrid w:val="0"/>
        <w:spacing w:line="360" w:lineRule="auto"/>
        <w:ind w:left="210" w:leftChars="100"/>
        <w:rPr>
          <w:rFonts w:hint="eastAsia" w:ascii="宋体" w:hAnsi="宋体" w:eastAsia="宋体" w:cs="宋体"/>
          <w:color w:val="auto"/>
        </w:rPr>
      </w:pPr>
      <w:r>
        <w:rPr>
          <w:rFonts w:hint="eastAsia" w:ascii="宋体" w:hAnsi="宋体" w:cs="Tahoma"/>
          <w:color w:val="auto"/>
        </w:rPr>
        <w:t>2.购买招标文件地点：阳江市江城区猫山四街33号A座</w:t>
      </w:r>
      <w:r>
        <w:rPr>
          <w:rFonts w:hint="eastAsia" w:ascii="宋体" w:hAnsi="宋体" w:eastAsia="宋体" w:cs="宋体"/>
          <w:color w:val="auto"/>
        </w:rPr>
        <w:t>2楼</w:t>
      </w:r>
      <w:r>
        <w:rPr>
          <w:rFonts w:hint="eastAsia" w:ascii="宋体" w:hAnsi="宋体" w:eastAsia="宋体" w:cs="宋体"/>
          <w:color w:val="auto"/>
          <w:szCs w:val="21"/>
        </w:rPr>
        <w:t>205室。</w:t>
      </w:r>
    </w:p>
    <w:p>
      <w:pPr>
        <w:widowControl/>
        <w:tabs>
          <w:tab w:val="left" w:pos="735"/>
        </w:tabs>
        <w:adjustRightInd w:val="0"/>
        <w:snapToGrid w:val="0"/>
        <w:spacing w:line="360" w:lineRule="auto"/>
        <w:ind w:left="210" w:leftChars="100"/>
        <w:rPr>
          <w:rFonts w:ascii="宋体" w:hAnsi="宋体" w:cs="Arial"/>
          <w:color w:val="auto"/>
        </w:rPr>
      </w:pPr>
      <w:r>
        <w:rPr>
          <w:rFonts w:hint="eastAsia" w:ascii="宋体" w:hAnsi="宋体"/>
          <w:bCs/>
          <w:color w:val="auto"/>
        </w:rPr>
        <w:t>3.招标文件售价：</w:t>
      </w:r>
      <w:r>
        <w:rPr>
          <w:rFonts w:hint="eastAsia" w:ascii="宋体" w:hAnsi="宋体"/>
          <w:bCs/>
          <w:color w:val="auto"/>
          <w:szCs w:val="21"/>
        </w:rPr>
        <w:t>招标文件每套人民币300元，售后不退</w:t>
      </w:r>
      <w:r>
        <w:rPr>
          <w:rFonts w:hint="eastAsia" w:ascii="宋体" w:hAnsi="宋体"/>
          <w:bCs/>
          <w:color w:val="auto"/>
        </w:rPr>
        <w:t>。</w:t>
      </w:r>
    </w:p>
    <w:p>
      <w:pPr>
        <w:widowControl/>
        <w:tabs>
          <w:tab w:val="left" w:pos="735"/>
        </w:tabs>
        <w:adjustRightInd w:val="0"/>
        <w:snapToGrid w:val="0"/>
        <w:spacing w:line="360" w:lineRule="auto"/>
        <w:ind w:left="420" w:leftChars="100" w:hanging="210" w:hangingChars="100"/>
        <w:rPr>
          <w:rFonts w:ascii="宋体" w:hAnsi="宋体"/>
          <w:bCs/>
          <w:color w:val="auto"/>
        </w:rPr>
      </w:pPr>
      <w:r>
        <w:rPr>
          <w:rFonts w:hint="eastAsia" w:ascii="宋体" w:hAnsi="宋体"/>
          <w:bCs/>
          <w:color w:val="auto"/>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auto"/>
          <w:szCs w:val="21"/>
        </w:rPr>
      </w:pPr>
      <w:r>
        <w:rPr>
          <w:rFonts w:hint="eastAsia" w:ascii="宋体" w:hAnsi="宋体"/>
          <w:bCs/>
          <w:color w:val="auto"/>
        </w:rPr>
        <w:t>5.</w:t>
      </w:r>
      <w:r>
        <w:rPr>
          <w:rFonts w:hint="eastAsia" w:ascii="宋体" w:hAnsi="宋体"/>
          <w:bCs/>
          <w:color w:val="auto"/>
          <w:szCs w:val="21"/>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auto"/>
        </w:rPr>
      </w:pPr>
      <w:r>
        <w:rPr>
          <w:rFonts w:hint="eastAsia" w:ascii="宋体" w:hAnsi="宋体"/>
          <w:bCs/>
          <w:color w:val="auto"/>
          <w:szCs w:val="21"/>
        </w:rPr>
        <w:t>1）法定代表人（负责人）证明书原件、法定代表人（负责人）授权委托书原件、法定代表人（负责人）身份证复印件、授权委托人身份证复印件、营业执照副本复印件和相关资质证书复印件及《购买标书登记表》（</w:t>
      </w:r>
      <w:r>
        <w:rPr>
          <w:color w:val="auto"/>
        </w:rPr>
        <w:fldChar w:fldCharType="begin"/>
      </w:r>
      <w:r>
        <w:rPr>
          <w:color w:val="auto"/>
        </w:rPr>
        <w:instrText xml:space="preserve"> HYPERLINK "http://www.yjgpc.gov.cn/" </w:instrText>
      </w:r>
      <w:r>
        <w:rPr>
          <w:color w:val="auto"/>
        </w:rPr>
        <w:fldChar w:fldCharType="separate"/>
      </w:r>
      <w:r>
        <w:rPr>
          <w:rStyle w:val="52"/>
          <w:color w:val="auto"/>
        </w:rPr>
        <w:t>http://www.yjcg.cc</w:t>
      </w:r>
      <w:r>
        <w:rPr>
          <w:rStyle w:val="52"/>
          <w:color w:val="auto"/>
        </w:rPr>
        <w:fldChar w:fldCharType="end"/>
      </w:r>
      <w:r>
        <w:rPr>
          <w:color w:val="auto"/>
        </w:rPr>
        <w:fldChar w:fldCharType="begin"/>
      </w:r>
      <w:r>
        <w:rPr>
          <w:color w:val="auto"/>
        </w:rPr>
        <w:instrText xml:space="preserve"> HYPERLINK "http://www.yjcg.cc/index.php?c=content&amp;a=list&amp;catid=14" \o "政府采购资料下载" </w:instrText>
      </w:r>
      <w:r>
        <w:rPr>
          <w:color w:val="auto"/>
        </w:rPr>
        <w:fldChar w:fldCharType="separate"/>
      </w:r>
      <w:r>
        <w:rPr>
          <w:rStyle w:val="52"/>
          <w:rFonts w:hint="eastAsia" w:ascii="宋体" w:hAnsi="宋体"/>
          <w:bCs/>
          <w:color w:val="auto"/>
        </w:rPr>
        <w:t>政府采购资料</w:t>
      </w:r>
      <w:r>
        <w:rPr>
          <w:rStyle w:val="52"/>
          <w:rFonts w:hint="eastAsia" w:ascii="宋体" w:hAnsi="宋体"/>
          <w:bCs/>
          <w:color w:val="auto"/>
        </w:rPr>
        <w:fldChar w:fldCharType="end"/>
      </w:r>
      <w:r>
        <w:rPr>
          <w:rFonts w:hint="eastAsia" w:ascii="宋体" w:hAnsi="宋体"/>
          <w:bCs/>
          <w:color w:val="auto"/>
          <w:szCs w:val="21"/>
        </w:rPr>
        <w:t>下载专区）加盖公章到指定地址购买。</w:t>
      </w:r>
      <w:r>
        <w:rPr>
          <w:rFonts w:hint="eastAsia"/>
          <w:b/>
          <w:bCs/>
          <w:color w:val="auto"/>
        </w:rPr>
        <w:t>报名时投标单位的资料与以上报名条件不符合、不齐全、复印件不清晰或未盖红色公章的将不予受理</w:t>
      </w:r>
      <w:r>
        <w:rPr>
          <w:rFonts w:hint="eastAsia" w:ascii="宋体" w:hAnsi="宋体"/>
          <w:bCs/>
          <w:color w:val="auto"/>
        </w:rPr>
        <w:t>。</w:t>
      </w:r>
    </w:p>
    <w:p>
      <w:pPr>
        <w:widowControl/>
        <w:tabs>
          <w:tab w:val="left" w:pos="735"/>
        </w:tabs>
        <w:adjustRightInd w:val="0"/>
        <w:snapToGrid w:val="0"/>
        <w:spacing w:line="360" w:lineRule="auto"/>
        <w:ind w:left="660" w:leftChars="164" w:hanging="316" w:hangingChars="150"/>
        <w:rPr>
          <w:rFonts w:ascii="宋体" w:hAnsi="宋体" w:cs="Arial"/>
          <w:b/>
          <w:color w:val="auto"/>
        </w:rPr>
      </w:pPr>
      <w:r>
        <w:rPr>
          <w:rFonts w:hint="eastAsia" w:ascii="宋体" w:hAnsi="宋体"/>
          <w:b/>
          <w:bCs/>
          <w:color w:val="auto"/>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numPr>
          <w:ilvl w:val="0"/>
          <w:numId w:val="22"/>
        </w:numPr>
        <w:tabs>
          <w:tab w:val="left" w:pos="502"/>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投标截止时间、开标时间及地点</w:t>
      </w:r>
    </w:p>
    <w:p>
      <w:pPr>
        <w:widowControl/>
        <w:tabs>
          <w:tab w:val="left" w:pos="735"/>
        </w:tabs>
        <w:adjustRightInd w:val="0"/>
        <w:snapToGrid w:val="0"/>
        <w:spacing w:line="360" w:lineRule="auto"/>
        <w:ind w:firstLine="210" w:firstLineChars="100"/>
        <w:rPr>
          <w:rFonts w:hint="eastAsia" w:ascii="宋体" w:hAnsi="宋体" w:eastAsia="宋体" w:cs="宋体"/>
          <w:color w:val="auto"/>
        </w:rPr>
      </w:pPr>
      <w:r>
        <w:rPr>
          <w:rFonts w:hint="eastAsia" w:ascii="宋体" w:hAnsi="宋体" w:cs="Tahoma"/>
          <w:color w:val="auto"/>
        </w:rPr>
        <w:t>1.递交投标</w:t>
      </w:r>
      <w:r>
        <w:rPr>
          <w:rFonts w:hint="eastAsia" w:ascii="宋体" w:hAnsi="宋体" w:eastAsia="宋体" w:cs="宋体"/>
          <w:color w:val="auto"/>
        </w:rPr>
        <w:t>文件时间：</w:t>
      </w:r>
      <w:r>
        <w:rPr>
          <w:rFonts w:hint="eastAsia" w:ascii="宋体" w:hAnsi="宋体" w:eastAsia="宋体" w:cs="宋体"/>
          <w:color w:val="auto"/>
          <w:kern w:val="2"/>
          <w:sz w:val="21"/>
          <w:szCs w:val="24"/>
          <w:lang w:val="en-US" w:eastAsia="zh-CN" w:bidi="ar-SA"/>
        </w:rPr>
        <w:t>2022年7月1日</w:t>
      </w:r>
      <w:r>
        <w:rPr>
          <w:rFonts w:hint="eastAsia" w:ascii="宋体" w:hAnsi="宋体" w:eastAsia="宋体" w:cs="宋体"/>
          <w:color w:val="auto"/>
          <w:lang w:val="en-US" w:eastAsia="zh-CN"/>
        </w:rPr>
        <w:t>14</w:t>
      </w:r>
      <w:r>
        <w:rPr>
          <w:rFonts w:hint="eastAsia" w:ascii="宋体" w:hAnsi="宋体" w:eastAsia="宋体" w:cs="宋体"/>
          <w:color w:val="auto"/>
        </w:rPr>
        <w:t>:</w:t>
      </w:r>
      <w:r>
        <w:rPr>
          <w:rFonts w:hint="eastAsia" w:ascii="宋体" w:hAnsi="宋体" w:eastAsia="宋体" w:cs="宋体"/>
          <w:color w:val="auto"/>
          <w:lang w:val="en-US" w:eastAsia="zh-CN"/>
        </w:rPr>
        <w:t>3</w:t>
      </w:r>
      <w:r>
        <w:rPr>
          <w:rFonts w:hint="eastAsia" w:ascii="宋体" w:hAnsi="宋体" w:eastAsia="宋体" w:cs="宋体"/>
          <w:color w:val="auto"/>
        </w:rPr>
        <w:t>0-</w:t>
      </w:r>
      <w:r>
        <w:rPr>
          <w:rFonts w:hint="eastAsia" w:ascii="宋体" w:hAnsi="宋体" w:eastAsia="宋体" w:cs="宋体"/>
          <w:color w:val="auto"/>
          <w:lang w:val="en-US" w:eastAsia="zh-CN"/>
        </w:rPr>
        <w:t>15</w:t>
      </w:r>
      <w:r>
        <w:rPr>
          <w:rFonts w:hint="eastAsia" w:ascii="宋体" w:hAnsi="宋体" w:eastAsia="宋体" w:cs="宋体"/>
          <w:color w:val="auto"/>
        </w:rPr>
        <w:t>:</w:t>
      </w:r>
      <w:r>
        <w:rPr>
          <w:rFonts w:hint="eastAsia" w:ascii="宋体" w:hAnsi="宋体" w:eastAsia="宋体" w:cs="宋体"/>
          <w:color w:val="auto"/>
          <w:lang w:val="en-US" w:eastAsia="zh-CN"/>
        </w:rPr>
        <w:t>0</w:t>
      </w:r>
      <w:r>
        <w:rPr>
          <w:rFonts w:hint="eastAsia" w:ascii="宋体" w:hAnsi="宋体" w:eastAsia="宋体" w:cs="宋体"/>
          <w:color w:val="auto"/>
        </w:rPr>
        <w:t>0 (北京时间)。</w:t>
      </w:r>
    </w:p>
    <w:p>
      <w:pPr>
        <w:widowControl/>
        <w:tabs>
          <w:tab w:val="left" w:pos="735"/>
        </w:tabs>
        <w:adjustRightInd w:val="0"/>
        <w:snapToGrid w:val="0"/>
        <w:spacing w:line="360" w:lineRule="auto"/>
        <w:ind w:firstLine="210" w:firstLineChars="100"/>
        <w:rPr>
          <w:rFonts w:hint="eastAsia" w:ascii="宋体" w:hAnsi="宋体" w:eastAsia="宋体" w:cs="宋体"/>
          <w:bCs/>
          <w:color w:val="auto"/>
        </w:rPr>
      </w:pPr>
      <w:r>
        <w:rPr>
          <w:rFonts w:hint="eastAsia" w:ascii="宋体" w:hAnsi="宋体" w:eastAsia="宋体" w:cs="宋体"/>
          <w:color w:val="auto"/>
        </w:rPr>
        <w:t>2.投标截止时间、开标时间：</w:t>
      </w:r>
      <w:r>
        <w:rPr>
          <w:rFonts w:hint="eastAsia" w:ascii="宋体" w:hAnsi="宋体" w:eastAsia="宋体" w:cs="宋体"/>
          <w:color w:val="auto"/>
          <w:kern w:val="2"/>
          <w:sz w:val="21"/>
          <w:szCs w:val="24"/>
          <w:lang w:val="en-US" w:eastAsia="zh-CN" w:bidi="ar-SA"/>
        </w:rPr>
        <w:t>2022年7月1日</w:t>
      </w:r>
      <w:r>
        <w:rPr>
          <w:rFonts w:hint="eastAsia" w:ascii="宋体" w:hAnsi="宋体" w:eastAsia="宋体" w:cs="宋体"/>
          <w:color w:val="auto"/>
          <w:lang w:val="en-US" w:eastAsia="zh-CN"/>
        </w:rPr>
        <w:t>15</w:t>
      </w:r>
      <w:r>
        <w:rPr>
          <w:rFonts w:hint="eastAsia" w:ascii="宋体" w:hAnsi="宋体" w:eastAsia="宋体" w:cs="宋体"/>
          <w:color w:val="auto"/>
        </w:rPr>
        <w:t>:</w:t>
      </w:r>
      <w:r>
        <w:rPr>
          <w:rFonts w:hint="eastAsia" w:ascii="宋体" w:hAnsi="宋体" w:eastAsia="宋体" w:cs="宋体"/>
          <w:color w:val="auto"/>
          <w:lang w:val="en-US" w:eastAsia="zh-CN"/>
        </w:rPr>
        <w:t>0</w:t>
      </w:r>
      <w:r>
        <w:rPr>
          <w:rFonts w:hint="eastAsia" w:ascii="宋体" w:hAnsi="宋体" w:eastAsia="宋体" w:cs="宋体"/>
          <w:color w:val="auto"/>
        </w:rPr>
        <w:t>0(北京时间)。</w:t>
      </w:r>
    </w:p>
    <w:p>
      <w:pPr>
        <w:widowControl/>
        <w:tabs>
          <w:tab w:val="left" w:pos="735"/>
        </w:tabs>
        <w:adjustRightInd w:val="0"/>
        <w:snapToGrid w:val="0"/>
        <w:spacing w:line="360" w:lineRule="auto"/>
        <w:ind w:firstLine="210" w:firstLineChars="100"/>
        <w:rPr>
          <w:rFonts w:hint="eastAsia" w:ascii="宋体" w:hAnsi="宋体" w:eastAsia="宋体" w:cs="宋体"/>
          <w:bCs/>
          <w:color w:val="auto"/>
        </w:rPr>
      </w:pPr>
      <w:r>
        <w:rPr>
          <w:rFonts w:hint="eastAsia" w:ascii="宋体" w:hAnsi="宋体" w:eastAsia="宋体" w:cs="宋体"/>
          <w:color w:val="auto"/>
        </w:rPr>
        <w:t>3.递交投标文件地点、开标地点：阳江市江城区猫山四街33号A座2楼201开标室。</w:t>
      </w:r>
    </w:p>
    <w:p>
      <w:pPr>
        <w:widowControl/>
        <w:tabs>
          <w:tab w:val="left" w:pos="735"/>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auto"/>
        </w:rPr>
      </w:pPr>
      <w:r>
        <w:rPr>
          <w:rFonts w:hint="eastAsia" w:ascii="宋体" w:hAnsi="宋体" w:cs="Tahoma"/>
          <w:color w:val="auto"/>
        </w:rPr>
        <w:t>1．采购人联系方式：</w:t>
      </w:r>
    </w:p>
    <w:p>
      <w:pPr>
        <w:tabs>
          <w:tab w:val="left" w:pos="735"/>
          <w:tab w:val="left" w:pos="4680"/>
        </w:tabs>
        <w:adjustRightInd w:val="0"/>
        <w:snapToGrid w:val="0"/>
        <w:spacing w:line="360" w:lineRule="auto"/>
        <w:ind w:firstLine="630" w:firstLineChars="300"/>
        <w:rPr>
          <w:rFonts w:ascii="宋体" w:hAnsi="宋体" w:cs="Tahoma"/>
          <w:color w:val="auto"/>
          <w:kern w:val="28"/>
          <w:szCs w:val="21"/>
        </w:rPr>
      </w:pPr>
      <w:r>
        <w:rPr>
          <w:rFonts w:hint="eastAsia" w:ascii="宋体" w:hAnsi="宋体" w:cs="Tahoma"/>
          <w:color w:val="auto"/>
          <w:kern w:val="28"/>
          <w:szCs w:val="21"/>
        </w:rPr>
        <w:t>名    称：阳江市人民医院</w:t>
      </w:r>
    </w:p>
    <w:p>
      <w:pPr>
        <w:tabs>
          <w:tab w:val="left" w:pos="735"/>
          <w:tab w:val="left" w:pos="4680"/>
        </w:tabs>
        <w:adjustRightInd w:val="0"/>
        <w:snapToGrid w:val="0"/>
        <w:spacing w:line="360" w:lineRule="auto"/>
        <w:ind w:firstLine="630" w:firstLineChars="300"/>
        <w:rPr>
          <w:rFonts w:ascii="宋体" w:hAnsi="宋体" w:cs="Tahoma"/>
          <w:color w:val="auto"/>
          <w:kern w:val="28"/>
          <w:szCs w:val="21"/>
        </w:rPr>
      </w:pPr>
      <w:r>
        <w:rPr>
          <w:rFonts w:hint="eastAsia" w:ascii="宋体" w:hAnsi="宋体" w:cs="Tahoma"/>
          <w:color w:val="auto"/>
          <w:kern w:val="28"/>
          <w:szCs w:val="21"/>
        </w:rPr>
        <w:t>地    址：阳江市江城区东山路42号</w:t>
      </w:r>
    </w:p>
    <w:p>
      <w:pPr>
        <w:tabs>
          <w:tab w:val="left" w:pos="735"/>
          <w:tab w:val="left" w:pos="4680"/>
        </w:tabs>
        <w:adjustRightInd w:val="0"/>
        <w:snapToGrid w:val="0"/>
        <w:spacing w:line="360" w:lineRule="auto"/>
        <w:ind w:firstLine="630" w:firstLineChars="300"/>
        <w:rPr>
          <w:rFonts w:ascii="宋体" w:hAnsi="宋体" w:cs="Tahoma"/>
          <w:color w:val="auto"/>
          <w:kern w:val="28"/>
          <w:szCs w:val="21"/>
        </w:rPr>
      </w:pPr>
      <w:r>
        <w:rPr>
          <w:rFonts w:hint="eastAsia" w:ascii="宋体" w:hAnsi="宋体" w:cs="Tahoma"/>
          <w:color w:val="auto"/>
          <w:kern w:val="28"/>
          <w:szCs w:val="21"/>
        </w:rPr>
        <w:t>联 系 人：黄工</w:t>
      </w:r>
    </w:p>
    <w:p>
      <w:pPr>
        <w:tabs>
          <w:tab w:val="left" w:pos="735"/>
          <w:tab w:val="left" w:pos="4680"/>
        </w:tabs>
        <w:adjustRightInd w:val="0"/>
        <w:snapToGrid w:val="0"/>
        <w:spacing w:line="360" w:lineRule="auto"/>
        <w:ind w:firstLine="630" w:firstLineChars="300"/>
        <w:rPr>
          <w:rFonts w:ascii="宋体" w:hAnsi="宋体" w:cs="Tahoma"/>
          <w:color w:val="auto"/>
          <w:kern w:val="28"/>
          <w:szCs w:val="21"/>
        </w:rPr>
      </w:pPr>
      <w:r>
        <w:rPr>
          <w:rFonts w:hint="eastAsia" w:ascii="宋体" w:hAnsi="宋体" w:cs="Tahoma"/>
          <w:color w:val="auto"/>
          <w:kern w:val="28"/>
          <w:szCs w:val="21"/>
        </w:rPr>
        <w:t>联系电话：0662-3282166</w:t>
      </w:r>
    </w:p>
    <w:p>
      <w:pPr>
        <w:tabs>
          <w:tab w:val="left" w:pos="735"/>
          <w:tab w:val="left" w:pos="4680"/>
        </w:tabs>
        <w:adjustRightInd w:val="0"/>
        <w:snapToGrid w:val="0"/>
        <w:spacing w:line="360" w:lineRule="auto"/>
        <w:ind w:firstLine="315" w:firstLineChars="150"/>
        <w:rPr>
          <w:rFonts w:ascii="宋体" w:hAnsi="宋体" w:cs="Tahoma"/>
          <w:color w:val="auto"/>
          <w:kern w:val="28"/>
          <w:szCs w:val="21"/>
        </w:rPr>
      </w:pPr>
      <w:r>
        <w:rPr>
          <w:rFonts w:hint="eastAsia" w:ascii="宋体" w:hAnsi="宋体" w:cs="Tahoma"/>
          <w:color w:val="auto"/>
          <w:kern w:val="28"/>
          <w:szCs w:val="21"/>
        </w:rPr>
        <w:t>2．</w:t>
      </w:r>
      <w:r>
        <w:rPr>
          <w:rFonts w:hint="eastAsia" w:ascii="宋体" w:hAnsi="宋体" w:cs="Tahoma"/>
          <w:color w:val="auto"/>
        </w:rPr>
        <w:t>代理采购机构联系方式：</w:t>
      </w:r>
    </w:p>
    <w:p>
      <w:pPr>
        <w:widowControl/>
        <w:tabs>
          <w:tab w:val="left" w:pos="735"/>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名    称：广东业信采购招标有限公司</w:t>
      </w:r>
    </w:p>
    <w:p>
      <w:pPr>
        <w:widowControl/>
        <w:tabs>
          <w:tab w:val="left" w:pos="735"/>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地    址：阳江市江城区猫山四街33号A座2楼</w:t>
      </w:r>
    </w:p>
    <w:p>
      <w:pPr>
        <w:widowControl/>
        <w:tabs>
          <w:tab w:val="left" w:pos="735"/>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联 系 人：冯国辉</w:t>
      </w:r>
    </w:p>
    <w:p>
      <w:pPr>
        <w:widowControl/>
        <w:tabs>
          <w:tab w:val="left" w:pos="735"/>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联系电话：0662-3167266</w:t>
      </w:r>
    </w:p>
    <w:p>
      <w:pPr>
        <w:widowControl/>
        <w:tabs>
          <w:tab w:val="left" w:pos="735"/>
        </w:tabs>
        <w:adjustRightInd w:val="0"/>
        <w:snapToGrid w:val="0"/>
        <w:spacing w:line="360" w:lineRule="auto"/>
        <w:ind w:firstLine="630" w:firstLineChars="300"/>
        <w:rPr>
          <w:rFonts w:ascii="宋体" w:hAnsi="宋体" w:cs="Tahoma"/>
          <w:color w:val="auto"/>
        </w:rPr>
      </w:pPr>
      <w:r>
        <w:rPr>
          <w:rFonts w:hint="eastAsia" w:ascii="宋体" w:hAnsi="宋体" w:cs="Tahoma"/>
          <w:color w:val="auto"/>
        </w:rPr>
        <w:t>传    真：0662-2669666</w:t>
      </w:r>
    </w:p>
    <w:p>
      <w:pPr>
        <w:tabs>
          <w:tab w:val="left" w:pos="4680"/>
        </w:tabs>
        <w:adjustRightInd w:val="0"/>
        <w:snapToGrid w:val="0"/>
        <w:spacing w:line="336" w:lineRule="auto"/>
        <w:ind w:firstLine="630" w:firstLineChars="300"/>
        <w:rPr>
          <w:rFonts w:ascii="宋体" w:hAnsi="宋体"/>
          <w:color w:val="auto"/>
          <w:szCs w:val="21"/>
        </w:rPr>
      </w:pPr>
      <w:r>
        <w:rPr>
          <w:rFonts w:hint="eastAsia" w:ascii="宋体" w:hAnsi="宋体" w:cs="Tahoma"/>
          <w:color w:val="auto"/>
        </w:rPr>
        <w:t>网    址：</w:t>
      </w:r>
      <w:r>
        <w:rPr>
          <w:rFonts w:ascii="宋体" w:hAnsi="宋体"/>
          <w:color w:val="auto"/>
          <w:szCs w:val="21"/>
        </w:rPr>
        <w:t>http://www.gdgpo.</w:t>
      </w:r>
      <w:r>
        <w:rPr>
          <w:rFonts w:hint="eastAsia" w:ascii="宋体" w:hAnsi="宋体"/>
          <w:color w:val="auto"/>
          <w:szCs w:val="21"/>
        </w:rPr>
        <w:t>com.</w:t>
      </w:r>
      <w:r>
        <w:rPr>
          <w:rFonts w:ascii="宋体" w:hAnsi="宋体"/>
          <w:color w:val="auto"/>
          <w:szCs w:val="21"/>
        </w:rPr>
        <w:t>cn</w:t>
      </w:r>
    </w:p>
    <w:p>
      <w:pPr>
        <w:tabs>
          <w:tab w:val="left" w:pos="4680"/>
        </w:tabs>
        <w:adjustRightInd w:val="0"/>
        <w:snapToGrid w:val="0"/>
        <w:spacing w:line="360" w:lineRule="auto"/>
        <w:ind w:firstLine="1680" w:firstLineChars="800"/>
        <w:rPr>
          <w:rFonts w:ascii="宋体" w:hAnsi="宋体"/>
          <w:bCs/>
          <w:color w:val="auto"/>
        </w:rPr>
      </w:pPr>
      <w:r>
        <w:rPr>
          <w:rFonts w:ascii="宋体" w:hAnsi="宋体"/>
          <w:bCs/>
          <w:color w:val="auto"/>
        </w:rPr>
        <w:t>http://www.</w:t>
      </w:r>
      <w:r>
        <w:rPr>
          <w:rFonts w:hint="eastAsia" w:ascii="宋体" w:hAnsi="宋体"/>
          <w:bCs/>
          <w:color w:val="auto"/>
        </w:rPr>
        <w:t>yjcg</w:t>
      </w:r>
      <w:r>
        <w:rPr>
          <w:rFonts w:ascii="宋体" w:hAnsi="宋体"/>
          <w:bCs/>
          <w:color w:val="auto"/>
        </w:rPr>
        <w:t>.</w:t>
      </w:r>
      <w:r>
        <w:rPr>
          <w:rFonts w:hint="eastAsia" w:ascii="宋体" w:hAnsi="宋体"/>
          <w:bCs/>
          <w:color w:val="auto"/>
        </w:rPr>
        <w:t>cc</w:t>
      </w:r>
    </w:p>
    <w:p>
      <w:pPr>
        <w:widowControl/>
        <w:adjustRightInd w:val="0"/>
        <w:snapToGrid w:val="0"/>
        <w:spacing w:line="360" w:lineRule="auto"/>
        <w:rPr>
          <w:rFonts w:ascii="宋体" w:hAnsi="宋体"/>
          <w:b/>
          <w:color w:val="auto"/>
          <w:spacing w:val="20"/>
          <w:szCs w:val="21"/>
        </w:rPr>
      </w:pPr>
    </w:p>
    <w:p>
      <w:pPr>
        <w:widowControl/>
        <w:tabs>
          <w:tab w:val="left" w:pos="4769"/>
        </w:tabs>
        <w:adjustRightInd w:val="0"/>
        <w:snapToGrid w:val="0"/>
        <w:spacing w:line="360" w:lineRule="auto"/>
        <w:ind w:left="105" w:leftChars="50" w:firstLine="420" w:firstLineChars="200"/>
        <w:jc w:val="right"/>
        <w:rPr>
          <w:rFonts w:hint="eastAsia" w:ascii="宋体" w:hAnsi="宋体" w:eastAsia="宋体" w:cs="宋体"/>
          <w:bCs/>
          <w:color w:val="auto"/>
        </w:rPr>
      </w:pPr>
      <w:r>
        <w:rPr>
          <w:rFonts w:hint="eastAsia" w:ascii="宋体" w:hAnsi="宋体"/>
          <w:bCs/>
          <w:color w:val="auto"/>
        </w:rPr>
        <w:t>广东</w:t>
      </w:r>
      <w:r>
        <w:rPr>
          <w:rFonts w:hint="eastAsia" w:ascii="宋体" w:hAnsi="宋体" w:eastAsia="宋体" w:cs="宋体"/>
          <w:bCs/>
          <w:color w:val="auto"/>
        </w:rPr>
        <w:t>业信采购招标有限公司</w:t>
      </w:r>
    </w:p>
    <w:p>
      <w:pPr>
        <w:widowControl/>
        <w:tabs>
          <w:tab w:val="left" w:pos="4769"/>
        </w:tabs>
        <w:adjustRightInd w:val="0"/>
        <w:snapToGrid w:val="0"/>
        <w:spacing w:line="360" w:lineRule="auto"/>
        <w:ind w:left="105" w:leftChars="50" w:firstLine="420" w:firstLineChars="200"/>
        <w:jc w:val="right"/>
        <w:rPr>
          <w:rFonts w:hint="eastAsia" w:ascii="宋体" w:hAnsi="宋体" w:eastAsia="宋体" w:cs="宋体"/>
          <w:bCs/>
          <w:color w:val="auto"/>
        </w:rPr>
      </w:pPr>
      <w:bookmarkStart w:id="37" w:name="_Toc339020187"/>
      <w:bookmarkStart w:id="38" w:name="_Toc342296709"/>
      <w:bookmarkStart w:id="39" w:name="_Toc366072458"/>
      <w:bookmarkStart w:id="40" w:name="_Toc330459946"/>
      <w:bookmarkStart w:id="41" w:name="_Toc332270306"/>
      <w:bookmarkStart w:id="42" w:name="_Toc331683995"/>
      <w:bookmarkStart w:id="43" w:name="_Toc339362258"/>
      <w:bookmarkStart w:id="44" w:name="_Toc337632316"/>
      <w:bookmarkStart w:id="45" w:name="_Toc336681538"/>
      <w:bookmarkStart w:id="46" w:name="_Toc340672831"/>
      <w:bookmarkStart w:id="47" w:name="_Toc350756404"/>
      <w:bookmarkStart w:id="48" w:name="_Toc349143547"/>
      <w:bookmarkStart w:id="49" w:name="_Toc340507404"/>
      <w:bookmarkStart w:id="50" w:name="_Toc333237613"/>
      <w:bookmarkStart w:id="51" w:name="_Toc339020049"/>
      <w:bookmarkStart w:id="52" w:name="_Toc339019829"/>
      <w:bookmarkStart w:id="53" w:name="_Toc350438703"/>
      <w:bookmarkStart w:id="54" w:name="_Toc333238572"/>
      <w:bookmarkStart w:id="55" w:name="_Toc339441045"/>
      <w:bookmarkStart w:id="56" w:name="_Toc333237724"/>
      <w:bookmarkStart w:id="57" w:name="_Toc349127584"/>
      <w:bookmarkStart w:id="58" w:name="_Toc333935620"/>
      <w:bookmarkStart w:id="59" w:name="_Toc365985109"/>
      <w:bookmarkStart w:id="60" w:name="_Toc331512857"/>
      <w:bookmarkStart w:id="61" w:name="_Toc339019955"/>
      <w:bookmarkStart w:id="62" w:name="_Toc342060323"/>
      <w:bookmarkStart w:id="63" w:name="_Toc333935279"/>
      <w:bookmarkStart w:id="64" w:name="_Toc345513763"/>
      <w:bookmarkStart w:id="65" w:name="_Toc341348292"/>
      <w:bookmarkStart w:id="66" w:name="_Toc365967003"/>
      <w:bookmarkStart w:id="67" w:name="_Toc332206658"/>
      <w:bookmarkStart w:id="68" w:name="_Toc340677032"/>
      <w:bookmarkStart w:id="69" w:name="_Toc336681893"/>
      <w:r>
        <w:rPr>
          <w:rFonts w:hint="eastAsia" w:ascii="宋体" w:hAnsi="宋体" w:eastAsia="宋体" w:cs="宋体"/>
          <w:color w:val="auto"/>
          <w:kern w:val="2"/>
          <w:sz w:val="21"/>
          <w:szCs w:val="24"/>
          <w:lang w:val="en-US" w:eastAsia="zh-CN" w:bidi="ar-SA"/>
        </w:rPr>
        <w:t>2022年6月10日</w:t>
      </w:r>
    </w:p>
    <w:p>
      <w:pPr>
        <w:rPr>
          <w:rFonts w:hint="eastAsia" w:ascii="宋体" w:hAnsi="宋体" w:eastAsia="宋体" w:cs="宋体"/>
          <w:color w:val="auto"/>
        </w:rPr>
      </w:pPr>
    </w:p>
    <w:p>
      <w:pPr>
        <w:rPr>
          <w:color w:val="auto"/>
        </w:rPr>
      </w:pPr>
      <w:r>
        <w:rPr>
          <w:rFonts w:hint="eastAsia"/>
          <w:color w:val="auto"/>
        </w:rPr>
        <w:br w:type="page"/>
      </w:r>
    </w:p>
    <w:p>
      <w:pPr>
        <w:pStyle w:val="3"/>
        <w:numPr>
          <w:ilvl w:val="0"/>
          <w:numId w:val="0"/>
        </w:numPr>
        <w:spacing w:beforeLines="0" w:afterLines="50" w:line="390" w:lineRule="exact"/>
        <w:ind w:left="105" w:leftChars="50" w:firstLine="480" w:firstLineChars="200"/>
        <w:rPr>
          <w:color w:val="auto"/>
        </w:rPr>
      </w:pPr>
      <w:bookmarkStart w:id="70" w:name="_Toc20156"/>
      <w:r>
        <w:rPr>
          <w:rFonts w:hint="eastAsia"/>
          <w:color w:val="auto"/>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280"/>
      <w:bookmarkStart w:id="73" w:name="_Toc333238573"/>
      <w:bookmarkStart w:id="74" w:name="_Toc330459949"/>
      <w:bookmarkStart w:id="75" w:name="_Toc333237725"/>
      <w:bookmarkStart w:id="76" w:name="_Toc333237614"/>
      <w:bookmarkStart w:id="77" w:name="_Toc75570886"/>
      <w:bookmarkStart w:id="78" w:name="_Toc333935621"/>
      <w:r>
        <w:rPr>
          <w:rFonts w:hint="eastAsia"/>
          <w:color w:val="auto"/>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auto"/>
          <w:kern w:val="0"/>
          <w:sz w:val="24"/>
        </w:rPr>
      </w:pPr>
      <w:bookmarkStart w:id="79" w:name="_Toc13835"/>
      <w:bookmarkStart w:id="80" w:name="_Toc339019856"/>
      <w:bookmarkStart w:id="81" w:name="_Toc366072495"/>
      <w:bookmarkStart w:id="82" w:name="_Toc336681902"/>
      <w:bookmarkStart w:id="83" w:name="_Toc333237644"/>
      <w:bookmarkStart w:id="84" w:name="_Toc339362267"/>
      <w:bookmarkStart w:id="85" w:name="_Toc331684005"/>
      <w:bookmarkStart w:id="86" w:name="_Toc340507409"/>
      <w:bookmarkStart w:id="87" w:name="_Toc365967040"/>
      <w:bookmarkStart w:id="88" w:name="_Toc349143556"/>
      <w:bookmarkStart w:id="89" w:name="_Toc333935313"/>
      <w:bookmarkStart w:id="90" w:name="_Toc330459952"/>
      <w:bookmarkStart w:id="91" w:name="_Toc339020062"/>
      <w:bookmarkStart w:id="92" w:name="_Toc339441054"/>
      <w:bookmarkStart w:id="93" w:name="_Toc331512865"/>
      <w:bookmarkStart w:id="94" w:name="_Toc339020200"/>
      <w:bookmarkStart w:id="95" w:name="_Toc342060341"/>
      <w:bookmarkStart w:id="96" w:name="_Toc332270313"/>
      <w:bookmarkStart w:id="97" w:name="_Toc345513834"/>
      <w:bookmarkStart w:id="98" w:name="_Toc336681547"/>
      <w:bookmarkStart w:id="99" w:name="_Toc333238600"/>
      <w:bookmarkStart w:id="100" w:name="_Toc349127593"/>
      <w:bookmarkStart w:id="101" w:name="_Toc332206675"/>
      <w:bookmarkStart w:id="102" w:name="_Toc333935654"/>
      <w:bookmarkStart w:id="103" w:name="_Toc337632325"/>
      <w:bookmarkStart w:id="104" w:name="_Toc342296727"/>
      <w:bookmarkStart w:id="105" w:name="_Toc340677037"/>
      <w:bookmarkStart w:id="106" w:name="_Toc339019982"/>
      <w:bookmarkStart w:id="107" w:name="_Toc350438716"/>
      <w:bookmarkStart w:id="108" w:name="_Toc333237755"/>
      <w:bookmarkStart w:id="109" w:name="_Toc365985146"/>
      <w:bookmarkStart w:id="110" w:name="_Toc350756417"/>
      <w:bookmarkStart w:id="111" w:name="_Toc340672836"/>
      <w:bookmarkStart w:id="112" w:name="_Toc341348305"/>
      <w:r>
        <w:rPr>
          <w:color w:val="auto"/>
          <w:kern w:val="0"/>
          <w:sz w:val="24"/>
        </w:rPr>
        <w:t xml:space="preserve">A  </w:t>
      </w:r>
      <w:r>
        <w:rPr>
          <w:rFonts w:hint="eastAsia"/>
          <w:color w:val="auto"/>
          <w:kern w:val="0"/>
          <w:sz w:val="24"/>
        </w:rPr>
        <w:t>商务要求</w:t>
      </w:r>
      <w:bookmarkEnd w:id="79"/>
    </w:p>
    <w:tbl>
      <w:tblPr>
        <w:tblStyle w:val="46"/>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rPr>
            </w:pPr>
            <w:r>
              <w:rPr>
                <w:rFonts w:hint="eastAsia"/>
                <w:color w:val="auto"/>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rPr>
            </w:pPr>
            <w:r>
              <w:rPr>
                <w:rFonts w:hint="eastAsia"/>
                <w:color w:val="auto"/>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rPr>
            </w:pPr>
            <w:r>
              <w:rPr>
                <w:rFonts w:hint="eastAsia"/>
                <w:color w:val="auto"/>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color w:val="auto"/>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本项目采用总价报价，报价包含为完成本项目内容而产生的全部费用，采购人不再另行支付任何费用。投标人应针对采购需求清单逐项报价，不得对任何项予以免费，采购人有权对恶意报价予以拒绝。（需在投标分项报价表中详细列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ascii="宋体" w:hAnsi="宋体" w:cs="宋体"/>
                <w:color w:val="auto"/>
              </w:rPr>
              <w:t>采购合同由中标供应商与采购人双方签订，签订时间为《中标通知书》发出之日起30个日历天内。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完工地点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阳江市人民医院。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b/>
                <w:bCs/>
                <w:color w:val="auto"/>
              </w:rPr>
            </w:pPr>
            <w:r>
              <w:rPr>
                <w:rFonts w:hint="eastAsia"/>
                <w:color w:val="auto"/>
              </w:rPr>
              <w:t>投标人所投主要服务必须全部响应和满足招标要求。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 xml:space="preserve">（1）合同签订生效之日起30个工作日内，支付合同总价款的40%作为项目首付款。 </w:t>
            </w:r>
          </w:p>
          <w:p>
            <w:pPr>
              <w:spacing w:line="320" w:lineRule="exact"/>
              <w:rPr>
                <w:color w:val="auto"/>
              </w:rPr>
            </w:pPr>
            <w:r>
              <w:rPr>
                <w:rFonts w:hint="eastAsia"/>
                <w:color w:val="auto"/>
              </w:rPr>
              <w:t>（2）完成本项目服务实施并通过项目验收之日起30个工作日内，支付合同总价款的60%，完成项目全部款项支付。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8</w:t>
            </w:r>
          </w:p>
        </w:tc>
        <w:tc>
          <w:tcPr>
            <w:tcW w:w="2552" w:type="dxa"/>
            <w:tcBorders>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rPr>
            </w:pPr>
            <w:r>
              <w:rPr>
                <w:rFonts w:hint="eastAsia"/>
                <w:color w:val="auto"/>
              </w:rPr>
              <w:t>投标人承诺本项目等级保护测评工作竣工验收通过之日起 1年内，中标供应商应提供 7*8小时售后咨询服务。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color w:val="auto"/>
              </w:rPr>
            </w:pPr>
            <w:r>
              <w:rPr>
                <w:rFonts w:hint="eastAsia"/>
                <w:color w:val="auto"/>
              </w:rPr>
              <w:t>9</w:t>
            </w:r>
          </w:p>
        </w:tc>
        <w:tc>
          <w:tcPr>
            <w:tcW w:w="2552" w:type="dxa"/>
            <w:tcBorders>
              <w:left w:val="single" w:color="auto" w:sz="4" w:space="0"/>
              <w:bottom w:val="single" w:color="auto" w:sz="4" w:space="0"/>
              <w:right w:val="single" w:color="auto" w:sz="4" w:space="0"/>
            </w:tcBorders>
            <w:vAlign w:val="center"/>
          </w:tcPr>
          <w:p>
            <w:pPr>
              <w:spacing w:line="320" w:lineRule="exact"/>
              <w:jc w:val="center"/>
              <w:rPr>
                <w:b/>
                <w:color w:val="auto"/>
              </w:rPr>
            </w:pPr>
            <w:r>
              <w:rPr>
                <w:rFonts w:hint="eastAsia"/>
                <w:b/>
                <w:color w:val="auto"/>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lang w:val="en-US" w:eastAsia="zh-CN"/>
              </w:rPr>
            </w:pPr>
            <w:r>
              <w:rPr>
                <w:rFonts w:hint="eastAsia"/>
                <w:color w:val="auto"/>
                <w:lang w:val="en-US" w:eastAsia="zh-CN"/>
              </w:rPr>
              <w:t>1.项目验收条件</w:t>
            </w:r>
          </w:p>
          <w:p>
            <w:pPr>
              <w:spacing w:line="320" w:lineRule="exact"/>
              <w:rPr>
                <w:color w:val="auto"/>
              </w:rPr>
            </w:pPr>
            <w:r>
              <w:rPr>
                <w:rFonts w:hint="eastAsia"/>
                <w:color w:val="auto"/>
              </w:rPr>
              <w:t>中标供应商在完成以下服务内容的条件下发起项目验收申请，由采购人组织开展项目验收工作：</w:t>
            </w:r>
          </w:p>
          <w:p>
            <w:pPr>
              <w:spacing w:line="320" w:lineRule="exact"/>
              <w:rPr>
                <w:color w:val="auto"/>
              </w:rPr>
            </w:pPr>
            <w:r>
              <w:rPr>
                <w:rFonts w:hint="eastAsia"/>
                <w:color w:val="auto"/>
              </w:rPr>
              <w:t>（1）完成本项目范围的信息系统等级保护测评工作，提交符合公安部网络安全等级保护测评报告格式要求的报告给采购人，完成信息系统等级保护定级备案工作并取得公安机关出具的等级保护备案证明。</w:t>
            </w:r>
          </w:p>
          <w:p>
            <w:pPr>
              <w:spacing w:line="320" w:lineRule="exact"/>
              <w:rPr>
                <w:color w:val="auto"/>
              </w:rPr>
            </w:pPr>
            <w:r>
              <w:rPr>
                <w:rFonts w:hint="eastAsia"/>
                <w:color w:val="auto"/>
              </w:rPr>
              <w:t>（2）完成本项目范围内信息系统源代码安全审计工作。</w:t>
            </w:r>
          </w:p>
          <w:p>
            <w:pPr>
              <w:spacing w:line="320" w:lineRule="exact"/>
              <w:rPr>
                <w:color w:val="auto"/>
              </w:rPr>
            </w:pPr>
            <w:r>
              <w:rPr>
                <w:rFonts w:hint="eastAsia"/>
                <w:color w:val="auto"/>
              </w:rPr>
              <w:t>（3）完成“重保时期”网络安全保障服务工作。</w:t>
            </w:r>
          </w:p>
          <w:p>
            <w:pPr>
              <w:spacing w:line="320" w:lineRule="exact"/>
              <w:rPr>
                <w:color w:val="auto"/>
              </w:rPr>
            </w:pPr>
            <w:r>
              <w:rPr>
                <w:rFonts w:hint="eastAsia"/>
                <w:color w:val="auto"/>
              </w:rPr>
              <w:t>（4）经过项目业主同意。</w:t>
            </w:r>
          </w:p>
          <w:p>
            <w:pPr>
              <w:spacing w:line="320" w:lineRule="exact"/>
              <w:rPr>
                <w:color w:val="auto"/>
              </w:rPr>
            </w:pPr>
            <w:r>
              <w:rPr>
                <w:rFonts w:hint="eastAsia"/>
                <w:color w:val="auto"/>
              </w:rPr>
              <w:t>（5）合同或合同附件规定的其他验收条件。</w:t>
            </w:r>
          </w:p>
          <w:p>
            <w:pPr>
              <w:spacing w:line="320" w:lineRule="exact"/>
              <w:rPr>
                <w:color w:val="auto"/>
              </w:rPr>
            </w:pPr>
            <w:r>
              <w:rPr>
                <w:rFonts w:hint="eastAsia"/>
                <w:color w:val="auto"/>
              </w:rPr>
              <w:t>2.验收的内容</w:t>
            </w:r>
          </w:p>
          <w:p>
            <w:pPr>
              <w:spacing w:line="320" w:lineRule="exact"/>
              <w:rPr>
                <w:color w:val="auto"/>
              </w:rPr>
            </w:pPr>
            <w:r>
              <w:rPr>
                <w:rFonts w:hint="eastAsia"/>
                <w:color w:val="auto"/>
              </w:rPr>
              <w:t>验收内容一般包括等级保护测评服务成果材料验收。</w:t>
            </w:r>
          </w:p>
          <w:p>
            <w:pPr>
              <w:spacing w:line="320" w:lineRule="exact"/>
              <w:rPr>
                <w:color w:val="auto"/>
              </w:rPr>
            </w:pPr>
            <w:r>
              <w:rPr>
                <w:rFonts w:hint="eastAsia"/>
                <w:color w:val="auto"/>
              </w:rPr>
              <w:t>需要评审的资料包括以下儿部分：</w:t>
            </w:r>
          </w:p>
          <w:p>
            <w:pPr>
              <w:spacing w:line="320" w:lineRule="exact"/>
              <w:rPr>
                <w:color w:val="auto"/>
              </w:rPr>
            </w:pPr>
            <w:r>
              <w:rPr>
                <w:rFonts w:hint="eastAsia"/>
                <w:color w:val="auto"/>
              </w:rPr>
              <w:t>(1)基础资料：招标书、投标书、项目有关合同、项目实施方案等。</w:t>
            </w:r>
          </w:p>
          <w:p>
            <w:pPr>
              <w:spacing w:line="320" w:lineRule="exact"/>
              <w:rPr>
                <w:color w:val="auto"/>
              </w:rPr>
            </w:pPr>
            <w:r>
              <w:rPr>
                <w:rFonts w:hint="eastAsia"/>
                <w:color w:val="auto"/>
              </w:rPr>
              <w:t>(2)项目竣工资料：等级保护测评报告、源代码审计报告、重要时期网络安全保障服务成果物、项目其他过程资料及交付物。</w:t>
            </w:r>
          </w:p>
          <w:p>
            <w:pPr>
              <w:spacing w:line="320" w:lineRule="exact"/>
              <w:rPr>
                <w:color w:val="auto"/>
              </w:rPr>
            </w:pPr>
            <w:r>
              <w:rPr>
                <w:rFonts w:hint="eastAsia"/>
                <w:color w:val="auto"/>
              </w:rPr>
              <w:t>3.验收流程</w:t>
            </w:r>
          </w:p>
          <w:p>
            <w:pPr>
              <w:spacing w:line="320" w:lineRule="exact"/>
              <w:rPr>
                <w:color w:val="auto"/>
              </w:rPr>
            </w:pPr>
            <w:r>
              <w:rPr>
                <w:rFonts w:hint="eastAsia"/>
                <w:color w:val="auto"/>
              </w:rPr>
              <w:t>按照合同约定的验收标准完成等级保护测评工作，再由中标供应商提出总体验收申请，由采购人组成的专家组对项目进行验收。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auto"/>
              </w:rPr>
            </w:pPr>
            <w:r>
              <w:rPr>
                <w:rFonts w:hint="eastAsia"/>
                <w:color w:val="auto"/>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rPr>
            </w:pPr>
            <w:r>
              <w:rPr>
                <w:rFonts w:hint="eastAsia" w:ascii="宋体" w:hAnsi="宋体"/>
                <w:b/>
                <w:color w:val="auto"/>
                <w:szCs w:val="21"/>
              </w:rPr>
              <w:t>投标保证金</w:t>
            </w:r>
          </w:p>
          <w:p>
            <w:pPr>
              <w:spacing w:line="300" w:lineRule="exact"/>
              <w:jc w:val="center"/>
              <w:rPr>
                <w:rFonts w:ascii="宋体" w:hAnsi="宋体"/>
                <w:color w:val="auto"/>
                <w:szCs w:val="21"/>
              </w:rPr>
            </w:pPr>
            <w:r>
              <w:rPr>
                <w:rFonts w:hint="eastAsia" w:ascii="宋体" w:hAnsi="宋体"/>
                <w:color w:val="auto"/>
                <w:szCs w:val="21"/>
              </w:rPr>
              <w:t>（应当以支票、汇票、本票或者金融机构、担保机构出具的保函等非现金</w:t>
            </w:r>
          </w:p>
          <w:p>
            <w:pPr>
              <w:spacing w:line="300" w:lineRule="exact"/>
              <w:jc w:val="center"/>
              <w:rPr>
                <w:rFonts w:ascii="宋体" w:hAnsi="宋体"/>
                <w:color w:val="auto"/>
                <w:szCs w:val="21"/>
              </w:rPr>
            </w:pPr>
            <w:r>
              <w:rPr>
                <w:rFonts w:hint="eastAsia" w:ascii="宋体" w:hAnsi="宋体"/>
                <w:color w:val="auto"/>
                <w:szCs w:val="21"/>
              </w:rPr>
              <w:t>形式提交）。</w:t>
            </w:r>
          </w:p>
          <w:p>
            <w:pPr>
              <w:spacing w:line="300" w:lineRule="exact"/>
              <w:jc w:val="center"/>
              <w:rPr>
                <w:rFonts w:ascii="宋体" w:hAnsi="宋体"/>
                <w:color w:val="auto"/>
                <w:szCs w:val="21"/>
              </w:rPr>
            </w:pPr>
            <w:r>
              <w:rPr>
                <w:rFonts w:hint="eastAsia" w:ascii="宋体"/>
                <w:b/>
                <w:color w:val="auto"/>
              </w:rPr>
              <w:t>提交主体：必须以投标人自身名义提交，</w:t>
            </w:r>
            <w:r>
              <w:rPr>
                <w:rFonts w:hint="eastAsia" w:ascii="宋体" w:hAnsi="宋体"/>
                <w:color w:val="auto"/>
                <w:szCs w:val="21"/>
              </w:rPr>
              <w:t>应注明“</w:t>
            </w:r>
            <w:r>
              <w:rPr>
                <w:rFonts w:ascii="宋体" w:hAnsi="宋体"/>
                <w:b/>
                <w:color w:val="auto"/>
                <w:szCs w:val="21"/>
              </w:rPr>
              <w:t>（</w:t>
            </w:r>
            <w:r>
              <w:rPr>
                <w:rFonts w:hint="eastAsia" w:ascii="宋体" w:hAnsi="宋体"/>
                <w:b/>
                <w:color w:val="auto"/>
                <w:szCs w:val="21"/>
              </w:rPr>
              <w:t>项目编号）投标保证金</w:t>
            </w:r>
            <w:r>
              <w:rPr>
                <w:rFonts w:hint="eastAsia" w:ascii="宋体" w:hAnsi="宋体"/>
                <w:color w:val="auto"/>
                <w:szCs w:val="21"/>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rPr>
            </w:pPr>
            <w:r>
              <w:rPr>
                <w:rFonts w:hint="eastAsia" w:ascii="宋体" w:hAnsi="宋体"/>
                <w:color w:val="auto"/>
                <w:szCs w:val="21"/>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rPr>
            </w:pPr>
            <w:r>
              <w:rPr>
                <w:rFonts w:hint="eastAsia" w:ascii="宋体" w:hAnsi="宋体"/>
                <w:b/>
                <w:color w:val="auto"/>
                <w:szCs w:val="21"/>
              </w:rPr>
              <w:t>人民币伍仟捌佰元整（￥5800.00元）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rPr>
            </w:pPr>
            <w:r>
              <w:rPr>
                <w:rFonts w:hint="eastAsia" w:ascii="宋体" w:hAnsi="宋体"/>
                <w:b/>
                <w:bCs/>
                <w:color w:val="auto"/>
                <w:szCs w:val="21"/>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rPr>
            </w:pPr>
            <w:r>
              <w:rPr>
                <w:rFonts w:hint="eastAsia" w:ascii="宋体" w:hAnsi="宋体"/>
                <w:b/>
                <w:bCs/>
                <w:color w:val="auto"/>
                <w:szCs w:val="21"/>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rPr>
            </w:pPr>
            <w:r>
              <w:rPr>
                <w:rFonts w:hint="eastAsia" w:ascii="宋体" w:hAnsi="宋体"/>
                <w:b/>
                <w:bCs/>
                <w:color w:val="auto"/>
                <w:szCs w:val="21"/>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auto"/>
                <w:szCs w:val="21"/>
              </w:rPr>
            </w:pPr>
            <w:r>
              <w:rPr>
                <w:rFonts w:hint="eastAsia" w:ascii="宋体" w:hAnsi="宋体"/>
                <w:color w:val="auto"/>
                <w:szCs w:val="21"/>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auto"/>
                <w:szCs w:val="21"/>
              </w:rPr>
            </w:pPr>
            <w:r>
              <w:rPr>
                <w:rFonts w:hint="eastAsia" w:ascii="宋体" w:hAnsi="宋体"/>
                <w:color w:val="auto"/>
                <w:szCs w:val="21"/>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auto"/>
              </w:rPr>
            </w:pPr>
            <w:r>
              <w:rPr>
                <w:rFonts w:hint="eastAsia"/>
                <w:color w:val="auto"/>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rPr>
            </w:pPr>
            <w:r>
              <w:rPr>
                <w:rFonts w:hint="eastAsia" w:ascii="宋体" w:hAnsi="宋体"/>
                <w:b/>
                <w:color w:val="auto"/>
                <w:szCs w:val="21"/>
              </w:rPr>
              <w:t>中标服务费</w:t>
            </w:r>
          </w:p>
          <w:p>
            <w:pPr>
              <w:spacing w:line="300" w:lineRule="exact"/>
              <w:jc w:val="center"/>
              <w:rPr>
                <w:rFonts w:ascii="宋体" w:hAnsi="宋体"/>
                <w:color w:val="auto"/>
                <w:szCs w:val="21"/>
              </w:rPr>
            </w:pPr>
            <w:r>
              <w:rPr>
                <w:rFonts w:hint="eastAsia" w:ascii="宋体" w:hAnsi="宋体"/>
                <w:bCs/>
                <w:color w:val="auto"/>
                <w:szCs w:val="21"/>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color w:val="auto"/>
                <w:szCs w:val="21"/>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Cs/>
                <w:color w:val="auto"/>
                <w:szCs w:val="21"/>
              </w:rPr>
              <w:t>参考发改价格[2011]534号文的规定</w:t>
            </w:r>
            <w:r>
              <w:rPr>
                <w:rFonts w:hint="eastAsia" w:ascii="宋体" w:hAnsi="宋体"/>
                <w:color w:val="auto"/>
                <w:szCs w:val="21"/>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rPr>
            </w:pPr>
            <w:r>
              <w:rPr>
                <w:rFonts w:hint="eastAsia" w:ascii="宋体" w:hAnsi="宋体"/>
                <w:bCs/>
                <w:color w:val="auto"/>
                <w:szCs w:val="21"/>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rPr>
              <w:t>中国农业银行股份有限公司阳江江城支行</w:t>
            </w:r>
          </w:p>
        </w:tc>
      </w:tr>
    </w:tbl>
    <w:p>
      <w:pPr>
        <w:adjustRightInd w:val="0"/>
        <w:snapToGrid w:val="0"/>
        <w:spacing w:line="360" w:lineRule="auto"/>
        <w:rPr>
          <w:b/>
          <w:color w:val="auto"/>
          <w:szCs w:val="21"/>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p>
    <w:p>
      <w:pPr>
        <w:pStyle w:val="4"/>
        <w:numPr>
          <w:ilvl w:val="0"/>
          <w:numId w:val="0"/>
        </w:numPr>
        <w:spacing w:beforeLines="150" w:after="0" w:line="360" w:lineRule="auto"/>
        <w:rPr>
          <w:color w:val="auto"/>
          <w:kern w:val="0"/>
          <w:sz w:val="24"/>
        </w:rPr>
      </w:pPr>
      <w:bookmarkStart w:id="113" w:name="_Toc26968"/>
      <w:r>
        <w:rPr>
          <w:rFonts w:hint="eastAsia"/>
          <w:color w:val="auto"/>
          <w:kern w:val="0"/>
          <w:sz w:val="24"/>
        </w:rPr>
        <w:t>B  技术要求</w:t>
      </w:r>
      <w:bookmarkEnd w:id="113"/>
    </w:p>
    <w:p>
      <w:pPr>
        <w:spacing w:line="360" w:lineRule="auto"/>
        <w:ind w:firstLine="422" w:firstLineChars="200"/>
        <w:rPr>
          <w:b/>
          <w:bCs/>
          <w:color w:val="auto"/>
        </w:rPr>
      </w:pPr>
      <w:r>
        <w:rPr>
          <w:rFonts w:hint="eastAsia"/>
          <w:b/>
          <w:bCs/>
          <w:color w:val="auto"/>
        </w:rPr>
        <w:t>一、项目概况</w:t>
      </w:r>
    </w:p>
    <w:p>
      <w:pPr>
        <w:spacing w:line="360" w:lineRule="auto"/>
        <w:ind w:firstLine="422" w:firstLineChars="200"/>
        <w:rPr>
          <w:b/>
          <w:bCs/>
          <w:color w:val="auto"/>
        </w:rPr>
      </w:pPr>
      <w:r>
        <w:rPr>
          <w:rFonts w:hint="eastAsia"/>
          <w:b/>
          <w:bCs/>
          <w:color w:val="auto"/>
        </w:rPr>
        <w:t>（一）项目背景</w:t>
      </w:r>
    </w:p>
    <w:p>
      <w:pPr>
        <w:spacing w:line="360" w:lineRule="auto"/>
        <w:ind w:firstLine="420" w:firstLineChars="200"/>
        <w:rPr>
          <w:color w:val="auto"/>
        </w:rPr>
      </w:pPr>
      <w:r>
        <w:rPr>
          <w:rFonts w:hint="eastAsia"/>
          <w:color w:val="auto"/>
        </w:rPr>
        <w:t>随着医疗信息化的高速发展，特别是医院的信息化发展变得多元化、交互高等特点，特别是在线支付类系统、互联网医院、移动医疗的业务推动，使得医院内外网数据交互更加频繁、更加深入。互联网面临的安全威胁也变得越来越多样，网络入侵、SQL注入、跨站脚本攻击、口令爆破、0day漏洞、勒索病毒感染、信息系统服务中断事件时有发生，时刻威胁着医院信息系统运行安全，医院业务系统一旦遭到非法入侵或遭受勒索病毒攻击，将直接影响医院日常业务开展。另外，医院信息系统存储着大量患者（群众）的关键个人信息、医疗数据，而这些信息一旦被不法分子窃取或者恶意泄露，对社会公共利益造成严重负面影响，甚至影响社会稳定。所以，医疗行业面临的信息安全形势是复杂又严峻的。</w:t>
      </w:r>
    </w:p>
    <w:p>
      <w:pPr>
        <w:spacing w:line="360" w:lineRule="auto"/>
        <w:ind w:firstLine="420" w:firstLineChars="200"/>
        <w:rPr>
          <w:color w:val="auto"/>
        </w:rPr>
      </w:pPr>
      <w:r>
        <w:rPr>
          <w:rFonts w:hint="eastAsia"/>
          <w:color w:val="auto"/>
        </w:rPr>
        <w:t>为了对网络安全防护建设工作实施落地，国家、省、市各级网络安全监管和行业主管部门均采取了严密监管措施，对卫生医疗单位的网络安全防护工作提出明确要求：</w:t>
      </w:r>
    </w:p>
    <w:p>
      <w:pPr>
        <w:spacing w:line="360" w:lineRule="auto"/>
        <w:ind w:firstLine="420" w:firstLineChars="200"/>
        <w:rPr>
          <w:color w:val="auto"/>
        </w:rPr>
      </w:pPr>
      <w:r>
        <w:rPr>
          <w:rFonts w:hint="eastAsia"/>
          <w:color w:val="auto"/>
        </w:rPr>
        <w:t>1、为提高全国总体网络安全防护水平，2017年6月1日颁发了《中华人民共和国网络安全法》，2021年9月1日颁发了《中华人民共和国数据安全法》、《关键信息基础设施安全保护条例》，2021年11月1日颁发了《中华人民共和国个人信息保护法》，“三法一条例”把网络安全防护全面上升到法律层面，网络安全法中明确规定国家实施“网络安全等级保护制度”，并把金融、交通、卫生、水利、通信等列入重点监管考核行业。</w:t>
      </w:r>
    </w:p>
    <w:p>
      <w:pPr>
        <w:spacing w:line="360" w:lineRule="auto"/>
        <w:ind w:firstLine="420" w:firstLineChars="200"/>
        <w:rPr>
          <w:color w:val="auto"/>
        </w:rPr>
      </w:pPr>
      <w:r>
        <w:rPr>
          <w:rFonts w:hint="eastAsia"/>
          <w:color w:val="auto"/>
        </w:rPr>
        <w:t>2、广东省卫计委2012年发布《关于全面开展全省卫生行业信息安全等级保护工作的通知》(粤卫办函[2012]2号)，对全省卫生医疗机构实施信息安全等级保护工作提出明确要求。于2017年发布《广东省卫生计生委办公室关于开展全省医疗卫生机构网络与信息安全专项整治行动的通知》(粤卫办函[2017]401号)，要求全省医疗卫生机构开展网络与信息安全专项整治行动，明确要求全省各单位尽快落实网络安全等级保护工作。于2019年发布《广东省卫生计生委办公室转发关于紧急排查整改重要数据和公民个人信息泄露安全隐患的通知》（粤卫办函〔2019〕154号），明确要求落实网络安全等级保护工作，加强重要数据和公民个人信息泄露安全隐患排查及整改。</w:t>
      </w:r>
    </w:p>
    <w:p>
      <w:pPr>
        <w:spacing w:line="360" w:lineRule="auto"/>
        <w:ind w:firstLine="420" w:firstLineChars="200"/>
        <w:rPr>
          <w:color w:val="auto"/>
        </w:rPr>
      </w:pPr>
      <w:r>
        <w:rPr>
          <w:rFonts w:hint="eastAsia"/>
          <w:color w:val="auto"/>
        </w:rPr>
        <w:t>3、市卫生健康局非常重视全市卫生医疗单位网络安全防护工作，于2017年通过发布《市卫生计生局办公室关于开展医疗构网络与信息安全专项督查工作的通知》(阳卫办函[2017]344号)，并全市开展安全专项督查，将督查结果通过《市卫生计生局办公室关于医疗机构网络与信息安全专项督查情况的通报》(阳卫函[2017]530号)进行通报，为后续网络安全防护提出要求和工作部署，明确要求各单位落实网络安全等级保护制度。</w:t>
      </w:r>
    </w:p>
    <w:p>
      <w:pPr>
        <w:spacing w:line="360" w:lineRule="auto"/>
        <w:ind w:firstLine="420" w:firstLineChars="200"/>
        <w:rPr>
          <w:color w:val="auto"/>
        </w:rPr>
      </w:pPr>
      <w:r>
        <w:rPr>
          <w:rFonts w:hint="eastAsia"/>
          <w:color w:val="auto"/>
        </w:rPr>
        <w:t>为响应省卫健委、市卫健局对网络安全防护工作要求及部署，阳江市人民院从2016年开始逐步对通信网络安全、服务器安全、机房环境安全进行分期建设，增加大量网络安全设备，加强安全技术对抗能力，丰富核心业务数据防泄漏手段，并在2020年、2021年进行三级等级保护备案测评，发现了不足并逐步整改，取得了较好的阶段性成果。随着互联网医院系统、新HIS系统等新建系统上线运行，为落实《阳江市卫生健康局办公室关于开展网络安全及重要数据泄露安全隐患排查整改工作情况通报》(阳卫函[2019]263号 )文件提出的安全工作部署，计划对全院主要业务系统继续开展网络安全等级保护测评工作，根据更加严格的标准对全院网络安全防护建设成果进行考评，及时找出差距，落实安全整改，确实做到核心重要数据防泄漏、防破坏、防丢失的能力，做到外防内控的网络安全纵深防御，达到三甲医院的网络安全防护要求。阳江市人民医院拟委托具备网络安全等级保护测评资质、且熟悉医疗行业的第三方测评机构对我院的信息系统开展网络安全等级保护测评复评工作，审计业务系统源代码安全缺陷、移动APP方面的安全隐患，并通过重要时期网络安全保障服务，形成预防、发现、处置、监管的安全风险闭环管理机制，全面提高我院网络安全防护水平。</w:t>
      </w:r>
    </w:p>
    <w:p>
      <w:pPr>
        <w:spacing w:line="360" w:lineRule="auto"/>
        <w:ind w:firstLine="422" w:firstLineChars="200"/>
        <w:rPr>
          <w:b/>
          <w:bCs/>
          <w:color w:val="auto"/>
        </w:rPr>
      </w:pPr>
      <w:r>
        <w:rPr>
          <w:rFonts w:hint="eastAsia"/>
          <w:b/>
          <w:bCs/>
          <w:color w:val="auto"/>
        </w:rPr>
        <w:t>（二）项目依据</w:t>
      </w:r>
    </w:p>
    <w:p>
      <w:pPr>
        <w:spacing w:line="360" w:lineRule="auto"/>
        <w:ind w:firstLine="420" w:firstLineChars="200"/>
        <w:rPr>
          <w:color w:val="auto"/>
        </w:rPr>
      </w:pPr>
      <w:r>
        <w:rPr>
          <w:rFonts w:hint="eastAsia"/>
          <w:color w:val="auto"/>
        </w:rPr>
        <w:t>1、法律法规</w:t>
      </w:r>
    </w:p>
    <w:p>
      <w:pPr>
        <w:spacing w:line="360" w:lineRule="auto"/>
        <w:ind w:firstLine="420" w:firstLineChars="200"/>
        <w:rPr>
          <w:color w:val="auto"/>
        </w:rPr>
      </w:pPr>
      <w:r>
        <w:rPr>
          <w:rFonts w:hint="eastAsia"/>
          <w:color w:val="auto"/>
        </w:rPr>
        <w:t>1）《中华人民共和国网络安全法》</w:t>
      </w:r>
    </w:p>
    <w:p>
      <w:pPr>
        <w:spacing w:line="360" w:lineRule="auto"/>
        <w:ind w:firstLine="420" w:firstLineChars="200"/>
        <w:rPr>
          <w:color w:val="auto"/>
        </w:rPr>
      </w:pPr>
      <w:r>
        <w:rPr>
          <w:rFonts w:hint="eastAsia"/>
          <w:color w:val="auto"/>
        </w:rPr>
        <w:t>2）《中华人民共和国数据安全法》</w:t>
      </w:r>
    </w:p>
    <w:p>
      <w:pPr>
        <w:spacing w:line="360" w:lineRule="auto"/>
        <w:ind w:firstLine="420" w:firstLineChars="200"/>
        <w:rPr>
          <w:color w:val="auto"/>
        </w:rPr>
      </w:pPr>
      <w:r>
        <w:rPr>
          <w:rFonts w:hint="eastAsia"/>
          <w:color w:val="auto"/>
        </w:rPr>
        <w:t>3）《中华人民共和国个人信息保护法》</w:t>
      </w:r>
    </w:p>
    <w:p>
      <w:pPr>
        <w:spacing w:line="360" w:lineRule="auto"/>
        <w:ind w:firstLine="420" w:firstLineChars="200"/>
        <w:rPr>
          <w:color w:val="auto"/>
        </w:rPr>
      </w:pPr>
      <w:r>
        <w:rPr>
          <w:rFonts w:hint="eastAsia"/>
          <w:color w:val="auto"/>
        </w:rPr>
        <w:t>4）《关键信息基础设施安全保护条例》（国务院745号令）</w:t>
      </w:r>
    </w:p>
    <w:p>
      <w:pPr>
        <w:spacing w:line="360" w:lineRule="auto"/>
        <w:ind w:firstLine="420" w:firstLineChars="200"/>
        <w:rPr>
          <w:color w:val="auto"/>
        </w:rPr>
      </w:pPr>
      <w:r>
        <w:rPr>
          <w:rFonts w:hint="eastAsia"/>
          <w:color w:val="auto"/>
        </w:rPr>
        <w:t>5）《中华人民共和国计算机信息系统安全保护条例》（国务院147号令）</w:t>
      </w:r>
    </w:p>
    <w:p>
      <w:pPr>
        <w:spacing w:line="360" w:lineRule="auto"/>
        <w:ind w:firstLine="420" w:firstLineChars="200"/>
        <w:rPr>
          <w:color w:val="auto"/>
        </w:rPr>
      </w:pPr>
      <w:r>
        <w:rPr>
          <w:rFonts w:hint="eastAsia"/>
          <w:color w:val="auto"/>
        </w:rPr>
        <w:t>6） 《国家信息化领导小组关于加强信息安全保障工作的意见》（中办发[2003]27号）</w:t>
      </w:r>
    </w:p>
    <w:p>
      <w:pPr>
        <w:spacing w:line="360" w:lineRule="auto"/>
        <w:ind w:firstLine="420" w:firstLineChars="200"/>
        <w:rPr>
          <w:color w:val="auto"/>
        </w:rPr>
      </w:pPr>
      <w:r>
        <w:rPr>
          <w:rFonts w:hint="eastAsia"/>
          <w:color w:val="auto"/>
        </w:rPr>
        <w:t>7）《中共中央办公厅国务院办公厅转发&lt;国家信息化领导小组关于加强信息处理安全保障工作的意见&gt;的通知》（中办发[2003]27号）</w:t>
      </w:r>
    </w:p>
    <w:p>
      <w:pPr>
        <w:spacing w:line="360" w:lineRule="auto"/>
        <w:ind w:firstLine="420" w:firstLineChars="200"/>
        <w:rPr>
          <w:color w:val="auto"/>
        </w:rPr>
      </w:pPr>
      <w:r>
        <w:rPr>
          <w:rFonts w:hint="eastAsia"/>
          <w:color w:val="auto"/>
        </w:rPr>
        <w:t>8）《关于印发&lt;关于信息安全等级保护工作的实施意见&gt;的通知》（公通字[2004]66号文）</w:t>
      </w:r>
    </w:p>
    <w:p>
      <w:pPr>
        <w:spacing w:line="360" w:lineRule="auto"/>
        <w:ind w:firstLine="420" w:firstLineChars="200"/>
        <w:rPr>
          <w:color w:val="auto"/>
        </w:rPr>
      </w:pPr>
      <w:r>
        <w:rPr>
          <w:rFonts w:hint="eastAsia"/>
          <w:color w:val="auto"/>
        </w:rPr>
        <w:t>9）《关于印发&lt;信息安全等级保护管理办法&gt;的通知》（公通字[2007]43号文）</w:t>
      </w:r>
    </w:p>
    <w:p>
      <w:pPr>
        <w:spacing w:line="360" w:lineRule="auto"/>
        <w:ind w:firstLine="420" w:firstLineChars="200"/>
        <w:rPr>
          <w:color w:val="auto"/>
        </w:rPr>
      </w:pPr>
      <w:r>
        <w:rPr>
          <w:rFonts w:hint="eastAsia"/>
          <w:color w:val="auto"/>
        </w:rPr>
        <w:t>10）《关于开展全国重要信息系统安全等级保护定级工作的通知》（公信安[2007]861号文）</w:t>
      </w:r>
    </w:p>
    <w:p>
      <w:pPr>
        <w:spacing w:line="360" w:lineRule="auto"/>
        <w:ind w:firstLine="420" w:firstLineChars="200"/>
        <w:rPr>
          <w:color w:val="auto"/>
        </w:rPr>
      </w:pPr>
      <w:r>
        <w:rPr>
          <w:rFonts w:hint="eastAsia"/>
          <w:color w:val="auto"/>
        </w:rPr>
        <w:t>11）《广东省深化信息安全等级保护工作方案》(粤公通字[2010]45号)</w:t>
      </w:r>
    </w:p>
    <w:p>
      <w:pPr>
        <w:spacing w:line="360" w:lineRule="auto"/>
        <w:ind w:firstLine="420" w:firstLineChars="200"/>
        <w:rPr>
          <w:color w:val="auto"/>
        </w:rPr>
      </w:pPr>
      <w:r>
        <w:rPr>
          <w:rFonts w:hint="eastAsia"/>
          <w:color w:val="auto"/>
        </w:rPr>
        <w:t>2、技术标准</w:t>
      </w:r>
    </w:p>
    <w:p>
      <w:pPr>
        <w:spacing w:line="360" w:lineRule="auto"/>
        <w:ind w:firstLine="420" w:firstLineChars="200"/>
        <w:rPr>
          <w:color w:val="auto"/>
        </w:rPr>
      </w:pPr>
      <w:r>
        <w:rPr>
          <w:rFonts w:hint="eastAsia"/>
          <w:color w:val="auto"/>
        </w:rPr>
        <w:t>1）《计算机信息系统 安全等级保护划分准则》（GB 17859-1999）</w:t>
      </w:r>
    </w:p>
    <w:p>
      <w:pPr>
        <w:spacing w:line="360" w:lineRule="auto"/>
        <w:ind w:firstLine="420" w:firstLineChars="200"/>
        <w:rPr>
          <w:color w:val="auto"/>
        </w:rPr>
      </w:pPr>
      <w:r>
        <w:rPr>
          <w:rFonts w:hint="eastAsia"/>
          <w:color w:val="auto"/>
        </w:rPr>
        <w:t>2）《信息安全技术 网络安全等级保护定级指南》（GB/T 22240-2020）</w:t>
      </w:r>
    </w:p>
    <w:p>
      <w:pPr>
        <w:spacing w:line="360" w:lineRule="auto"/>
        <w:ind w:firstLine="420" w:firstLineChars="200"/>
        <w:rPr>
          <w:color w:val="auto"/>
        </w:rPr>
      </w:pPr>
      <w:r>
        <w:rPr>
          <w:rFonts w:hint="eastAsia"/>
          <w:color w:val="auto"/>
        </w:rPr>
        <w:t>3）《信息安全技术 网络安全等级保护基本要求》（GB/T 22239-2019）</w:t>
      </w:r>
    </w:p>
    <w:p>
      <w:pPr>
        <w:spacing w:line="360" w:lineRule="auto"/>
        <w:ind w:firstLine="420" w:firstLineChars="200"/>
        <w:rPr>
          <w:color w:val="auto"/>
        </w:rPr>
      </w:pPr>
      <w:r>
        <w:rPr>
          <w:rFonts w:hint="eastAsia"/>
          <w:color w:val="auto"/>
        </w:rPr>
        <w:t>4）《信息安全技术 网络安全等级保护安全设计技术要求》（GB/T 25070-2019）</w:t>
      </w:r>
    </w:p>
    <w:p>
      <w:pPr>
        <w:spacing w:line="360" w:lineRule="auto"/>
        <w:ind w:firstLine="420" w:firstLineChars="200"/>
        <w:rPr>
          <w:color w:val="auto"/>
        </w:rPr>
      </w:pPr>
      <w:r>
        <w:rPr>
          <w:rFonts w:hint="eastAsia"/>
          <w:color w:val="auto"/>
        </w:rPr>
        <w:t>5）《信息安全技术 网络安全等级保护测评要求》（GB/T 28448-2019）</w:t>
      </w:r>
    </w:p>
    <w:p>
      <w:pPr>
        <w:spacing w:line="360" w:lineRule="auto"/>
        <w:ind w:firstLine="420" w:firstLineChars="200"/>
        <w:rPr>
          <w:color w:val="auto"/>
        </w:rPr>
      </w:pPr>
      <w:r>
        <w:rPr>
          <w:rFonts w:hint="eastAsia"/>
          <w:color w:val="auto"/>
        </w:rPr>
        <w:t>6）《信息安全技术 网络安全等级保护实施指南》（GB/T 25058-2019）</w:t>
      </w:r>
    </w:p>
    <w:p>
      <w:pPr>
        <w:spacing w:line="360" w:lineRule="auto"/>
        <w:ind w:firstLine="420" w:firstLineChars="200"/>
        <w:rPr>
          <w:color w:val="auto"/>
        </w:rPr>
      </w:pPr>
      <w:r>
        <w:rPr>
          <w:rFonts w:hint="eastAsia"/>
          <w:color w:val="auto"/>
        </w:rPr>
        <w:t>7）《信息安全技术 网络安全等级保护测评过程指南》（GB/T 28449-2018）</w:t>
      </w:r>
    </w:p>
    <w:p>
      <w:pPr>
        <w:spacing w:line="360" w:lineRule="auto"/>
        <w:ind w:firstLine="420" w:firstLineChars="200"/>
        <w:rPr>
          <w:color w:val="auto"/>
        </w:rPr>
      </w:pPr>
      <w:r>
        <w:rPr>
          <w:rFonts w:hint="eastAsia"/>
          <w:color w:val="auto"/>
        </w:rPr>
        <w:t>8）《信息安全技术 网络安全等级保护测评机构能力要求和评估规范》（GB/T 36959-2018）</w:t>
      </w:r>
    </w:p>
    <w:p>
      <w:pPr>
        <w:spacing w:line="360" w:lineRule="auto"/>
        <w:ind w:firstLine="420" w:firstLineChars="200"/>
        <w:rPr>
          <w:color w:val="auto"/>
        </w:rPr>
      </w:pPr>
      <w:r>
        <w:rPr>
          <w:rFonts w:hint="eastAsia"/>
          <w:color w:val="auto"/>
        </w:rPr>
        <w:t>9）《信息安全技术 网络安全等级保护测试评估技术指南》（GB/T 36627-2018）</w:t>
      </w:r>
    </w:p>
    <w:p>
      <w:pPr>
        <w:spacing w:line="360" w:lineRule="auto"/>
        <w:ind w:firstLine="420" w:firstLineChars="200"/>
        <w:rPr>
          <w:color w:val="auto"/>
        </w:rPr>
      </w:pPr>
      <w:r>
        <w:rPr>
          <w:rFonts w:hint="eastAsia"/>
          <w:color w:val="auto"/>
        </w:rPr>
        <w:t>10）《信息安全技术 信息安全风险评估规范》（GB/T20984-2007）</w:t>
      </w:r>
    </w:p>
    <w:p>
      <w:pPr>
        <w:spacing w:line="360" w:lineRule="auto"/>
        <w:ind w:firstLine="420" w:firstLineChars="200"/>
        <w:rPr>
          <w:color w:val="auto"/>
        </w:rPr>
      </w:pPr>
      <w:r>
        <w:rPr>
          <w:rFonts w:hint="eastAsia"/>
          <w:color w:val="auto"/>
        </w:rPr>
        <w:t>11）《信息安全技术 信息技术安全性评估准则》（</w:t>
      </w:r>
      <w:r>
        <w:rPr>
          <w:rFonts w:hint="eastAsia"/>
          <w:color w:val="auto"/>
        </w:rPr>
        <w:tab/>
      </w:r>
      <w:r>
        <w:rPr>
          <w:rFonts w:hint="eastAsia"/>
          <w:color w:val="auto"/>
        </w:rPr>
        <w:t>GB/T18336-2015）</w:t>
      </w:r>
    </w:p>
    <w:p>
      <w:pPr>
        <w:spacing w:line="360" w:lineRule="auto"/>
        <w:ind w:firstLine="420" w:firstLineChars="200"/>
        <w:rPr>
          <w:color w:val="auto"/>
        </w:rPr>
      </w:pPr>
      <w:r>
        <w:rPr>
          <w:rFonts w:hint="eastAsia"/>
          <w:color w:val="auto"/>
        </w:rPr>
        <w:t>12）《信息安全技术 信息系统安全保障评估框架》（GB/T 20274.1-2006）</w:t>
      </w:r>
    </w:p>
    <w:p>
      <w:pPr>
        <w:spacing w:line="360" w:lineRule="auto"/>
        <w:ind w:firstLine="420" w:firstLineChars="200"/>
        <w:rPr>
          <w:color w:val="auto"/>
        </w:rPr>
      </w:pPr>
      <w:r>
        <w:rPr>
          <w:rFonts w:hint="eastAsia"/>
          <w:color w:val="auto"/>
        </w:rPr>
        <w:t>13）《信息技术 安全技术 信息安全管理体系要求》（GB/T 22080-2016）</w:t>
      </w:r>
    </w:p>
    <w:p>
      <w:pPr>
        <w:spacing w:line="360" w:lineRule="auto"/>
        <w:ind w:firstLine="420" w:firstLineChars="200"/>
        <w:rPr>
          <w:color w:val="auto"/>
        </w:rPr>
      </w:pPr>
      <w:r>
        <w:rPr>
          <w:rFonts w:hint="eastAsia"/>
          <w:color w:val="auto"/>
        </w:rPr>
        <w:t>14）《信息安全技术 网络基础安全技术要求》（GB/T 20270-2006）</w:t>
      </w:r>
    </w:p>
    <w:p>
      <w:pPr>
        <w:spacing w:line="360" w:lineRule="auto"/>
        <w:ind w:firstLine="420" w:firstLineChars="200"/>
        <w:rPr>
          <w:color w:val="auto"/>
        </w:rPr>
      </w:pPr>
      <w:r>
        <w:rPr>
          <w:rFonts w:hint="eastAsia"/>
          <w:color w:val="auto"/>
        </w:rPr>
        <w:t>15）《信息安全技术 信息系统通用安全技术要求》（GB/T 20271-2006）</w:t>
      </w:r>
    </w:p>
    <w:p>
      <w:pPr>
        <w:spacing w:line="360" w:lineRule="auto"/>
        <w:ind w:firstLine="420" w:firstLineChars="200"/>
        <w:rPr>
          <w:color w:val="auto"/>
        </w:rPr>
      </w:pPr>
      <w:r>
        <w:rPr>
          <w:rFonts w:hint="eastAsia"/>
          <w:color w:val="auto"/>
        </w:rPr>
        <w:t>16）《信息安全技术 信息系统物理安全技术要求》（GB/T 21052-2007）</w:t>
      </w:r>
    </w:p>
    <w:p>
      <w:pPr>
        <w:spacing w:line="360" w:lineRule="auto"/>
        <w:ind w:firstLine="420" w:firstLineChars="200"/>
        <w:rPr>
          <w:color w:val="auto"/>
        </w:rPr>
      </w:pPr>
      <w:r>
        <w:rPr>
          <w:rFonts w:hint="eastAsia"/>
          <w:color w:val="auto"/>
        </w:rPr>
        <w:t>17）《信息安全技术 路由器安全技术要求》（GB/T 18018-2019）</w:t>
      </w:r>
    </w:p>
    <w:p>
      <w:pPr>
        <w:spacing w:line="360" w:lineRule="auto"/>
        <w:ind w:firstLine="420" w:firstLineChars="200"/>
        <w:rPr>
          <w:color w:val="auto"/>
        </w:rPr>
      </w:pPr>
      <w:r>
        <w:rPr>
          <w:rFonts w:hint="eastAsia"/>
          <w:color w:val="auto"/>
        </w:rPr>
        <w:t>18）《信息安全技术 操作系统安全技术要求》（GB/T 20272-2019）</w:t>
      </w:r>
    </w:p>
    <w:p>
      <w:pPr>
        <w:spacing w:line="360" w:lineRule="auto"/>
        <w:ind w:firstLine="420" w:firstLineChars="200"/>
        <w:rPr>
          <w:color w:val="auto"/>
        </w:rPr>
      </w:pPr>
      <w:r>
        <w:rPr>
          <w:rFonts w:hint="eastAsia"/>
          <w:color w:val="auto"/>
        </w:rPr>
        <w:t>19）《信息安全技术 操作系统安全评估准则》（GB/T 20008-2005）</w:t>
      </w:r>
    </w:p>
    <w:p>
      <w:pPr>
        <w:spacing w:line="360" w:lineRule="auto"/>
        <w:ind w:firstLine="420" w:firstLineChars="200"/>
        <w:rPr>
          <w:color w:val="auto"/>
        </w:rPr>
      </w:pPr>
      <w:r>
        <w:rPr>
          <w:rFonts w:hint="eastAsia"/>
          <w:color w:val="auto"/>
        </w:rPr>
        <w:t>20）《信息安全技术 数据库管理系统安全技术要求》（GB/T 20273-2019）</w:t>
      </w:r>
    </w:p>
    <w:p>
      <w:pPr>
        <w:spacing w:line="360" w:lineRule="auto"/>
        <w:ind w:firstLine="420" w:firstLineChars="200"/>
        <w:rPr>
          <w:color w:val="auto"/>
        </w:rPr>
      </w:pPr>
      <w:r>
        <w:rPr>
          <w:rFonts w:hint="eastAsia"/>
          <w:color w:val="auto"/>
        </w:rPr>
        <w:t>21）《信息安全技术 数据库管理系统安全评估准则》（GB/T 20009-2019）</w:t>
      </w:r>
    </w:p>
    <w:p>
      <w:pPr>
        <w:spacing w:line="360" w:lineRule="auto"/>
        <w:ind w:firstLine="420" w:firstLineChars="200"/>
        <w:rPr>
          <w:color w:val="auto"/>
        </w:rPr>
      </w:pPr>
      <w:r>
        <w:rPr>
          <w:rFonts w:hint="eastAsia"/>
          <w:color w:val="auto"/>
        </w:rPr>
        <w:t>22）《信息安全技术 防火墙技术要求和测试评价方法》（GB/T 20281-2020）</w:t>
      </w:r>
    </w:p>
    <w:p>
      <w:pPr>
        <w:spacing w:line="360" w:lineRule="auto"/>
        <w:ind w:firstLine="420" w:firstLineChars="200"/>
        <w:rPr>
          <w:color w:val="auto"/>
        </w:rPr>
      </w:pPr>
      <w:r>
        <w:rPr>
          <w:rFonts w:hint="eastAsia"/>
          <w:color w:val="auto"/>
        </w:rPr>
        <w:t>23）《信息安全技术 移动智能终端应用软件安全技术要求和测试评价方法》（GB∕T 34975-2017）</w:t>
      </w:r>
    </w:p>
    <w:p>
      <w:pPr>
        <w:spacing w:line="360" w:lineRule="auto"/>
        <w:ind w:firstLine="420" w:firstLineChars="200"/>
        <w:rPr>
          <w:color w:val="auto"/>
        </w:rPr>
      </w:pPr>
      <w:r>
        <w:rPr>
          <w:rFonts w:hint="eastAsia"/>
          <w:color w:val="auto"/>
        </w:rPr>
        <w:t>24）《移动智能终端软件安全性测试规范》（DB44_T 1557-2015）</w:t>
      </w:r>
    </w:p>
    <w:p>
      <w:pPr>
        <w:spacing w:line="360" w:lineRule="auto"/>
        <w:ind w:firstLine="420" w:firstLineChars="200"/>
        <w:rPr>
          <w:color w:val="auto"/>
        </w:rPr>
      </w:pPr>
      <w:r>
        <w:rPr>
          <w:rFonts w:hint="eastAsia"/>
          <w:color w:val="auto"/>
        </w:rPr>
        <w:t>25）《信息安全技术 代码安全审计规范》（GB/T 39412-2020）</w:t>
      </w:r>
    </w:p>
    <w:p>
      <w:pPr>
        <w:spacing w:line="360" w:lineRule="auto"/>
        <w:ind w:firstLine="422" w:firstLineChars="200"/>
        <w:rPr>
          <w:b/>
          <w:bCs/>
          <w:color w:val="auto"/>
        </w:rPr>
      </w:pPr>
      <w:r>
        <w:rPr>
          <w:rFonts w:hint="eastAsia"/>
          <w:b/>
          <w:bCs/>
          <w:color w:val="auto"/>
        </w:rPr>
        <w:t>（三）项目范围</w:t>
      </w:r>
    </w:p>
    <w:p>
      <w:pPr>
        <w:spacing w:line="360" w:lineRule="auto"/>
        <w:ind w:firstLine="420" w:firstLineChars="200"/>
        <w:rPr>
          <w:color w:val="auto"/>
        </w:rPr>
      </w:pPr>
      <w:r>
        <w:rPr>
          <w:rFonts w:hint="eastAsia"/>
          <w:color w:val="auto"/>
        </w:rPr>
        <w:t>本次项目范围分为两部分，其中网络安全等级保护测评的对象是HIS系统、互联网医院系统、电子病历系统、医院信息集成平台、智慧门诊就医服务平台系统、临床服务管理平台共6大重要业务系统。源代码安全审计、APP软件安全评估及“重保时期”安全保障的服务对象包括6大重要业务系统、2022年医院新建信息系统、医院的内网及外网涉及的信息资产。</w:t>
      </w:r>
    </w:p>
    <w:p>
      <w:pPr>
        <w:spacing w:line="360" w:lineRule="auto"/>
        <w:ind w:firstLine="420" w:firstLineChars="200"/>
        <w:rPr>
          <w:color w:val="auto"/>
        </w:rPr>
      </w:pPr>
      <w:r>
        <w:rPr>
          <w:rFonts w:hint="eastAsia"/>
          <w:color w:val="auto"/>
        </w:rPr>
        <w:t>表-服务范围列表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164"/>
        <w:gridCol w:w="6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30" w:type="pct"/>
            <w:shd w:val="clear" w:color="auto" w:fill="C0C0C0"/>
            <w:noWrap/>
            <w:vAlign w:val="center"/>
          </w:tcPr>
          <w:p>
            <w:pPr>
              <w:spacing w:line="360" w:lineRule="auto"/>
              <w:jc w:val="center"/>
              <w:rPr>
                <w:b/>
                <w:bCs/>
                <w:color w:val="auto"/>
              </w:rPr>
            </w:pPr>
            <w:r>
              <w:rPr>
                <w:rFonts w:hint="eastAsia"/>
                <w:b/>
                <w:bCs/>
                <w:color w:val="auto"/>
              </w:rPr>
              <w:t>序号</w:t>
            </w:r>
          </w:p>
        </w:tc>
        <w:tc>
          <w:tcPr>
            <w:tcW w:w="1120" w:type="pct"/>
            <w:shd w:val="clear" w:color="auto" w:fill="C0C0C0"/>
            <w:noWrap/>
            <w:vAlign w:val="center"/>
          </w:tcPr>
          <w:p>
            <w:pPr>
              <w:spacing w:line="360" w:lineRule="auto"/>
              <w:jc w:val="center"/>
              <w:rPr>
                <w:b/>
                <w:bCs/>
                <w:color w:val="auto"/>
              </w:rPr>
            </w:pPr>
            <w:r>
              <w:rPr>
                <w:rFonts w:hint="eastAsia"/>
                <w:b/>
                <w:bCs/>
                <w:color w:val="auto"/>
              </w:rPr>
              <w:t>服务名称</w:t>
            </w:r>
          </w:p>
        </w:tc>
        <w:tc>
          <w:tcPr>
            <w:tcW w:w="3550" w:type="pct"/>
            <w:shd w:val="clear" w:color="auto" w:fill="C0C0C0"/>
          </w:tcPr>
          <w:p>
            <w:pPr>
              <w:spacing w:line="360" w:lineRule="auto"/>
              <w:jc w:val="center"/>
              <w:rPr>
                <w:b/>
                <w:bCs/>
                <w:color w:val="auto"/>
              </w:rPr>
            </w:pPr>
            <w:r>
              <w:rPr>
                <w:rFonts w:hint="eastAsia"/>
                <w:color w:val="auto"/>
              </w:rPr>
              <w:t>服务范围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330" w:type="pct"/>
            <w:noWrap/>
            <w:vAlign w:val="center"/>
          </w:tcPr>
          <w:p>
            <w:pPr>
              <w:spacing w:line="360" w:lineRule="auto"/>
              <w:jc w:val="center"/>
              <w:rPr>
                <w:color w:val="auto"/>
              </w:rPr>
            </w:pPr>
            <w:r>
              <w:rPr>
                <w:rFonts w:hint="eastAsia"/>
                <w:color w:val="auto"/>
              </w:rPr>
              <w:t>1</w:t>
            </w:r>
          </w:p>
        </w:tc>
        <w:tc>
          <w:tcPr>
            <w:tcW w:w="1120" w:type="pct"/>
            <w:noWrap/>
            <w:vAlign w:val="center"/>
          </w:tcPr>
          <w:p>
            <w:pPr>
              <w:spacing w:line="360" w:lineRule="auto"/>
              <w:jc w:val="left"/>
              <w:rPr>
                <w:color w:val="auto"/>
              </w:rPr>
            </w:pPr>
            <w:r>
              <w:rPr>
                <w:rFonts w:hint="eastAsia"/>
                <w:color w:val="auto"/>
              </w:rPr>
              <w:t>等级保护测评</w:t>
            </w:r>
          </w:p>
        </w:tc>
        <w:tc>
          <w:tcPr>
            <w:tcW w:w="3550" w:type="pct"/>
          </w:tcPr>
          <w:p>
            <w:pPr>
              <w:spacing w:line="360" w:lineRule="auto"/>
              <w:jc w:val="left"/>
              <w:rPr>
                <w:color w:val="auto"/>
              </w:rPr>
            </w:pPr>
            <w:r>
              <w:rPr>
                <w:rFonts w:hint="eastAsia"/>
                <w:color w:val="auto"/>
              </w:rPr>
              <w:t>HIS系统、互联网医院系统、电子病历系统、医院信息集成平台、智慧门诊就医服务平台系统、临床服务管理平台共6大重要业务系统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330" w:type="pct"/>
            <w:noWrap/>
            <w:vAlign w:val="center"/>
          </w:tcPr>
          <w:p>
            <w:pPr>
              <w:spacing w:line="360" w:lineRule="auto"/>
              <w:jc w:val="center"/>
              <w:rPr>
                <w:color w:val="auto"/>
              </w:rPr>
            </w:pPr>
            <w:r>
              <w:rPr>
                <w:rFonts w:hint="eastAsia"/>
                <w:color w:val="auto"/>
              </w:rPr>
              <w:t>2</w:t>
            </w:r>
          </w:p>
        </w:tc>
        <w:tc>
          <w:tcPr>
            <w:tcW w:w="1120" w:type="pct"/>
            <w:noWrap/>
            <w:vAlign w:val="center"/>
          </w:tcPr>
          <w:p>
            <w:pPr>
              <w:spacing w:line="360" w:lineRule="auto"/>
              <w:jc w:val="left"/>
              <w:rPr>
                <w:color w:val="auto"/>
              </w:rPr>
            </w:pPr>
            <w:r>
              <w:rPr>
                <w:rFonts w:hint="eastAsia"/>
                <w:color w:val="auto"/>
              </w:rPr>
              <w:t>源代码安全审计、APP软件安全评估及“重保时期”安全保障</w:t>
            </w:r>
          </w:p>
        </w:tc>
        <w:tc>
          <w:tcPr>
            <w:tcW w:w="3550" w:type="pct"/>
          </w:tcPr>
          <w:p>
            <w:pPr>
              <w:spacing w:line="360" w:lineRule="auto"/>
              <w:jc w:val="left"/>
              <w:rPr>
                <w:color w:val="auto"/>
              </w:rPr>
            </w:pPr>
            <w:r>
              <w:rPr>
                <w:rFonts w:hint="eastAsia"/>
                <w:color w:val="auto"/>
              </w:rPr>
              <w:t>HIS系统、互联网医院系统、电子病历系统、医院信息集成平台、智慧门诊就医服务平台系统、临床服务管理平台共6大重要业务系统，2022年医院新建信息系统、医院的内网及外网涉及的信息资产。</w:t>
            </w:r>
          </w:p>
        </w:tc>
      </w:tr>
    </w:tbl>
    <w:p>
      <w:pPr>
        <w:spacing w:line="360" w:lineRule="auto"/>
        <w:ind w:firstLine="420" w:firstLineChars="200"/>
        <w:rPr>
          <w:color w:val="auto"/>
        </w:rPr>
      </w:pPr>
    </w:p>
    <w:p>
      <w:pPr>
        <w:spacing w:line="360" w:lineRule="auto"/>
        <w:ind w:firstLine="422" w:firstLineChars="200"/>
        <w:rPr>
          <w:b/>
          <w:bCs/>
          <w:color w:val="auto"/>
        </w:rPr>
      </w:pPr>
      <w:r>
        <w:rPr>
          <w:rFonts w:hint="eastAsia"/>
          <w:b/>
          <w:bCs/>
          <w:color w:val="auto"/>
        </w:rPr>
        <w:t>（四）项目内容</w:t>
      </w:r>
    </w:p>
    <w:p>
      <w:pPr>
        <w:spacing w:line="360" w:lineRule="auto"/>
        <w:ind w:firstLine="420" w:firstLineChars="200"/>
        <w:rPr>
          <w:color w:val="auto"/>
        </w:rPr>
      </w:pPr>
      <w:r>
        <w:rPr>
          <w:rFonts w:hint="eastAsia"/>
          <w:color w:val="auto"/>
        </w:rPr>
        <w:t>1、定级备案服务</w:t>
      </w:r>
    </w:p>
    <w:p>
      <w:pPr>
        <w:spacing w:line="360" w:lineRule="auto"/>
        <w:ind w:firstLine="420" w:firstLineChars="200"/>
        <w:rPr>
          <w:color w:val="auto"/>
        </w:rPr>
      </w:pPr>
      <w:r>
        <w:rPr>
          <w:rFonts w:hint="eastAsia"/>
          <w:color w:val="auto"/>
        </w:rPr>
        <w:t>中标供应商需协助采购人进一步完善定级备案工作，更好地符合等级保护的要求，以便顺利开展本项目工作。协助梳理定级备案材料，组织专家评审，提交《信息系统定级备案表》、《信息系统定级报告》，并协助采购人向当地公安部门办理备案，取得《信息系统安全等级保护备案证明》。</w:t>
      </w:r>
    </w:p>
    <w:p>
      <w:pPr>
        <w:spacing w:line="360" w:lineRule="auto"/>
        <w:ind w:firstLine="420" w:firstLineChars="200"/>
        <w:rPr>
          <w:color w:val="auto"/>
        </w:rPr>
      </w:pPr>
      <w:r>
        <w:rPr>
          <w:rFonts w:hint="eastAsia"/>
          <w:color w:val="auto"/>
        </w:rPr>
        <w:t>2、等级保护差距测评</w:t>
      </w:r>
    </w:p>
    <w:p>
      <w:pPr>
        <w:spacing w:line="360" w:lineRule="auto"/>
        <w:ind w:firstLine="420" w:firstLineChars="200"/>
        <w:rPr>
          <w:color w:val="auto"/>
        </w:rPr>
      </w:pPr>
      <w:r>
        <w:rPr>
          <w:rFonts w:hint="eastAsia"/>
          <w:color w:val="auto"/>
        </w:rPr>
        <w:t>以等级保护标准要求为依据，按照等级保护三级标准要求对本次项目范围的信息系统进行综合安全评估，发现信息系统的安全保护现状，并为确立安全策略、制定安全规划、开展安全建设提供改进建议，为后续采购人通过网络安全等级保护测评提供指导。等级保护测评的内容至少包括：</w:t>
      </w:r>
    </w:p>
    <w:p>
      <w:pPr>
        <w:spacing w:line="360" w:lineRule="auto"/>
        <w:ind w:firstLine="420" w:firstLineChars="200"/>
        <w:rPr>
          <w:color w:val="auto"/>
        </w:rPr>
      </w:pPr>
      <w:r>
        <w:rPr>
          <w:rFonts w:hint="eastAsia"/>
          <w:color w:val="auto"/>
        </w:rPr>
        <w:t>(1)安全物理环境</w:t>
      </w:r>
    </w:p>
    <w:p>
      <w:pPr>
        <w:spacing w:line="360" w:lineRule="auto"/>
        <w:ind w:firstLine="420" w:firstLineChars="200"/>
        <w:rPr>
          <w:color w:val="auto"/>
        </w:rPr>
      </w:pPr>
      <w:r>
        <w:rPr>
          <w:rFonts w:hint="eastAsia"/>
          <w:color w:val="auto"/>
        </w:rPr>
        <w:t>安全物理环境测评是对被测系统的机房和办公场所的物理环境安全防护情况进行测评，包括机房物理位置选择、物理访问控制、防盗窃和防破、防雷击、防火、防水和防潮、防静电应、温湿度控制、电力供应、电磁防护等方面的安全状况。</w:t>
      </w:r>
    </w:p>
    <w:p>
      <w:pPr>
        <w:spacing w:line="360" w:lineRule="auto"/>
        <w:ind w:firstLine="420" w:firstLineChars="200"/>
        <w:rPr>
          <w:color w:val="auto"/>
        </w:rPr>
      </w:pPr>
      <w:r>
        <w:rPr>
          <w:rFonts w:hint="eastAsia"/>
          <w:color w:val="auto"/>
        </w:rPr>
        <w:t>(2)安全通信网络</w:t>
      </w:r>
    </w:p>
    <w:p>
      <w:pPr>
        <w:spacing w:line="360" w:lineRule="auto"/>
        <w:ind w:firstLine="420" w:firstLineChars="200"/>
        <w:rPr>
          <w:color w:val="auto"/>
        </w:rPr>
      </w:pPr>
      <w:r>
        <w:rPr>
          <w:rFonts w:hint="eastAsia"/>
          <w:color w:val="auto"/>
        </w:rPr>
        <w:t>安全通信网络测评是对被测系统的通信网络安全防护情况进行测评，包括网络架构、通信传输、可信验证等方面的安全状况。</w:t>
      </w:r>
    </w:p>
    <w:p>
      <w:pPr>
        <w:spacing w:line="360" w:lineRule="auto"/>
        <w:ind w:firstLine="420" w:firstLineChars="200"/>
        <w:rPr>
          <w:color w:val="auto"/>
        </w:rPr>
      </w:pPr>
      <w:r>
        <w:rPr>
          <w:rFonts w:hint="eastAsia"/>
          <w:color w:val="auto"/>
        </w:rPr>
        <w:t>(3)安全区域边界</w:t>
      </w:r>
    </w:p>
    <w:p>
      <w:pPr>
        <w:spacing w:line="360" w:lineRule="auto"/>
        <w:ind w:firstLine="420" w:firstLineChars="200"/>
        <w:rPr>
          <w:color w:val="auto"/>
        </w:rPr>
      </w:pPr>
      <w:r>
        <w:rPr>
          <w:rFonts w:hint="eastAsia"/>
          <w:color w:val="auto"/>
        </w:rPr>
        <w:t>安全区域边界测评是对被测系统的区域边界的安全防护情况进行测评，包括边界防护、访问控制、入侵防范、恶意代码防范、安全审计</w:t>
      </w:r>
      <w:r>
        <w:rPr>
          <w:rFonts w:hint="eastAsia"/>
          <w:color w:val="auto"/>
        </w:rPr>
        <w:tab/>
      </w:r>
      <w:r>
        <w:rPr>
          <w:rFonts w:hint="eastAsia"/>
          <w:color w:val="auto"/>
        </w:rPr>
        <w:t>、可信验证等方面的安全状况。</w:t>
      </w:r>
    </w:p>
    <w:p>
      <w:pPr>
        <w:spacing w:line="360" w:lineRule="auto"/>
        <w:ind w:firstLine="420" w:firstLineChars="200"/>
        <w:rPr>
          <w:color w:val="auto"/>
        </w:rPr>
      </w:pPr>
      <w:r>
        <w:rPr>
          <w:rFonts w:hint="eastAsia"/>
          <w:color w:val="auto"/>
        </w:rPr>
        <w:t>(4)安全计算环境</w:t>
      </w:r>
    </w:p>
    <w:p>
      <w:pPr>
        <w:spacing w:line="360" w:lineRule="auto"/>
        <w:ind w:firstLine="420" w:firstLineChars="200"/>
        <w:rPr>
          <w:color w:val="auto"/>
        </w:rPr>
      </w:pPr>
      <w:r>
        <w:rPr>
          <w:rFonts w:hint="eastAsia"/>
          <w:color w:val="auto"/>
        </w:rPr>
        <w:t>安全计算环境测评是对被测系统的计算环境的安全防护情况进行测评，包括身份鉴别、访问控制、安全审计、入侵防范、恶意代码防范、可信验证、数据完整性、数据备份恢复、剩余信息保护、个人信息保护等方面的安全状况。</w:t>
      </w:r>
    </w:p>
    <w:p>
      <w:pPr>
        <w:spacing w:line="360" w:lineRule="auto"/>
        <w:ind w:firstLine="420" w:firstLineChars="200"/>
        <w:rPr>
          <w:color w:val="auto"/>
        </w:rPr>
      </w:pPr>
      <w:r>
        <w:rPr>
          <w:rFonts w:hint="eastAsia"/>
          <w:color w:val="auto"/>
        </w:rPr>
        <w:t>(5)安全管理中心</w:t>
      </w:r>
    </w:p>
    <w:p>
      <w:pPr>
        <w:spacing w:line="360" w:lineRule="auto"/>
        <w:ind w:firstLine="420" w:firstLineChars="200"/>
        <w:rPr>
          <w:color w:val="auto"/>
        </w:rPr>
      </w:pPr>
      <w:r>
        <w:rPr>
          <w:rFonts w:hint="eastAsia"/>
          <w:color w:val="auto"/>
        </w:rPr>
        <w:t>安全管理中心测评是对被测系统的管理中心安全保护情况进行测评，包括系统管理、审计管理。</w:t>
      </w:r>
    </w:p>
    <w:p>
      <w:pPr>
        <w:spacing w:line="360" w:lineRule="auto"/>
        <w:ind w:firstLine="420" w:firstLineChars="200"/>
        <w:rPr>
          <w:color w:val="auto"/>
        </w:rPr>
      </w:pPr>
      <w:r>
        <w:rPr>
          <w:rFonts w:hint="eastAsia"/>
          <w:color w:val="auto"/>
        </w:rPr>
        <w:t>(6)安全管理制度</w:t>
      </w:r>
    </w:p>
    <w:p>
      <w:pPr>
        <w:spacing w:line="360" w:lineRule="auto"/>
        <w:ind w:firstLine="420" w:firstLineChars="200"/>
        <w:rPr>
          <w:color w:val="auto"/>
        </w:rPr>
      </w:pPr>
      <w:r>
        <w:rPr>
          <w:rFonts w:hint="eastAsia"/>
          <w:color w:val="auto"/>
        </w:rPr>
        <w:t>安全管理制度测评是对被测系统的安全策略、管理制度、制定和发布、评审和修订等情况进行测评。</w:t>
      </w:r>
    </w:p>
    <w:p>
      <w:pPr>
        <w:spacing w:line="360" w:lineRule="auto"/>
        <w:ind w:firstLine="420" w:firstLineChars="200"/>
        <w:rPr>
          <w:color w:val="auto"/>
        </w:rPr>
      </w:pPr>
      <w:r>
        <w:rPr>
          <w:rFonts w:hint="eastAsia"/>
          <w:color w:val="auto"/>
        </w:rPr>
        <w:t>(7)安全管理机构</w:t>
      </w:r>
    </w:p>
    <w:p>
      <w:pPr>
        <w:spacing w:line="360" w:lineRule="auto"/>
        <w:ind w:firstLine="420" w:firstLineChars="200"/>
        <w:rPr>
          <w:color w:val="auto"/>
        </w:rPr>
      </w:pPr>
      <w:r>
        <w:rPr>
          <w:rFonts w:hint="eastAsia"/>
          <w:color w:val="auto"/>
        </w:rPr>
        <w:t>安全管理机构测评是对被测系统的岗位设置、授权和审批、沟通和合作、审核和检查等情况进行测评。</w:t>
      </w:r>
    </w:p>
    <w:p>
      <w:pPr>
        <w:spacing w:line="360" w:lineRule="auto"/>
        <w:ind w:firstLine="420" w:firstLineChars="200"/>
        <w:rPr>
          <w:color w:val="auto"/>
        </w:rPr>
      </w:pPr>
      <w:r>
        <w:rPr>
          <w:rFonts w:hint="eastAsia"/>
          <w:color w:val="auto"/>
        </w:rPr>
        <w:t>(8)安全管理人员</w:t>
      </w:r>
    </w:p>
    <w:p>
      <w:pPr>
        <w:spacing w:line="360" w:lineRule="auto"/>
        <w:ind w:firstLine="420" w:firstLineChars="200"/>
        <w:rPr>
          <w:color w:val="auto"/>
        </w:rPr>
      </w:pPr>
      <w:r>
        <w:rPr>
          <w:rFonts w:hint="eastAsia"/>
          <w:color w:val="auto"/>
        </w:rPr>
        <w:t>安全管理人员测评是对被测系统相关内部人员的人员录用、人员离岗、安全意识教育和培训，以及外部人员访问管理等情况进行测评。</w:t>
      </w:r>
    </w:p>
    <w:p>
      <w:pPr>
        <w:spacing w:line="360" w:lineRule="auto"/>
        <w:ind w:firstLine="420" w:firstLineChars="200"/>
        <w:rPr>
          <w:color w:val="auto"/>
        </w:rPr>
      </w:pPr>
      <w:r>
        <w:rPr>
          <w:rFonts w:hint="eastAsia"/>
          <w:color w:val="auto"/>
        </w:rPr>
        <w:t>(9)安全建设管理</w:t>
      </w:r>
    </w:p>
    <w:p>
      <w:pPr>
        <w:spacing w:line="360" w:lineRule="auto"/>
        <w:ind w:firstLine="420" w:firstLineChars="200"/>
        <w:rPr>
          <w:color w:val="auto"/>
        </w:rPr>
      </w:pPr>
      <w:r>
        <w:rPr>
          <w:rFonts w:hint="eastAsia"/>
          <w:color w:val="auto"/>
        </w:rPr>
        <w:t>安全建设管理测评是对被测系统建设过程中的系统定级和备案、安全方案设计、产品采购和使用、自主软件开发、工程实施、测试验收、系统交付、等级保护测评、服务供应商选择等情况进行测评。</w:t>
      </w:r>
    </w:p>
    <w:p>
      <w:pPr>
        <w:spacing w:line="360" w:lineRule="auto"/>
        <w:ind w:firstLine="420" w:firstLineChars="200"/>
        <w:rPr>
          <w:color w:val="auto"/>
        </w:rPr>
      </w:pPr>
      <w:r>
        <w:rPr>
          <w:rFonts w:hint="eastAsia"/>
          <w:color w:val="auto"/>
        </w:rPr>
        <w:t>（10）安全运维管理</w:t>
      </w:r>
    </w:p>
    <w:p>
      <w:pPr>
        <w:spacing w:line="360" w:lineRule="auto"/>
        <w:ind w:firstLine="420" w:firstLineChars="200"/>
        <w:rPr>
          <w:color w:val="auto"/>
        </w:rPr>
      </w:pPr>
      <w:r>
        <w:rPr>
          <w:rFonts w:hint="eastAsia"/>
          <w:color w:val="auto"/>
        </w:rPr>
        <w:t>安全运维管理测评是对被测系统运行维护过程中的环境管理、资产管理、介质管理、设备维护管理、漏洞和风险、网络和系统安全管理、配置管理、恶意代码防范管理、密码管理、变更管理、安全事件处置、应急预案管理等、外包运维管理情况进行测评。</w:t>
      </w:r>
    </w:p>
    <w:p>
      <w:pPr>
        <w:spacing w:line="360" w:lineRule="auto"/>
        <w:ind w:firstLine="420" w:firstLineChars="200"/>
        <w:rPr>
          <w:color w:val="auto"/>
        </w:rPr>
      </w:pPr>
      <w:r>
        <w:rPr>
          <w:rFonts w:hint="eastAsia"/>
          <w:color w:val="auto"/>
        </w:rPr>
        <w:t>差距测评工作完成后，中标供应商提交《测评问题清单与整改建议》。</w:t>
      </w:r>
    </w:p>
    <w:p>
      <w:pPr>
        <w:spacing w:line="360" w:lineRule="auto"/>
        <w:ind w:firstLine="420" w:firstLineChars="200"/>
        <w:rPr>
          <w:color w:val="auto"/>
        </w:rPr>
      </w:pPr>
      <w:r>
        <w:rPr>
          <w:rFonts w:hint="eastAsia"/>
          <w:color w:val="auto"/>
        </w:rPr>
        <w:t>3、安全整改协助服务</w:t>
      </w:r>
    </w:p>
    <w:p>
      <w:pPr>
        <w:spacing w:line="360" w:lineRule="auto"/>
        <w:ind w:firstLine="420" w:firstLineChars="200"/>
        <w:rPr>
          <w:color w:val="auto"/>
        </w:rPr>
      </w:pPr>
      <w:r>
        <w:rPr>
          <w:rFonts w:hint="eastAsia"/>
          <w:color w:val="auto"/>
        </w:rPr>
        <w:t>协助采购人制定并落实安全管理制度，落实安全责任，落实安全防护技术整改措施，提供无偿的咨询服务，指导采购人完成信息系统的安全整改，达到国家规定的等级保护防护安全要求。</w:t>
      </w:r>
    </w:p>
    <w:p>
      <w:pPr>
        <w:spacing w:line="360" w:lineRule="auto"/>
        <w:ind w:firstLine="420" w:firstLineChars="200"/>
        <w:rPr>
          <w:color w:val="auto"/>
        </w:rPr>
      </w:pPr>
      <w:r>
        <w:rPr>
          <w:rFonts w:hint="eastAsia"/>
          <w:color w:val="auto"/>
        </w:rPr>
        <w:t>4、等级保护验收测评</w:t>
      </w:r>
    </w:p>
    <w:p>
      <w:pPr>
        <w:spacing w:line="360" w:lineRule="auto"/>
        <w:ind w:firstLine="420" w:firstLineChars="200"/>
        <w:rPr>
          <w:color w:val="auto"/>
        </w:rPr>
      </w:pPr>
      <w:r>
        <w:rPr>
          <w:rFonts w:hint="eastAsia"/>
          <w:color w:val="auto"/>
        </w:rPr>
        <w:t>在采购人完成此次安全测评的系统风险整改工作后，中标供应商根据差距测评的结果和风险整改结果进行对比，现场回归测评分析整改结果，对实施的信息系统进行安全等级保护分析及打分，并根据实际测评结论出具符合2.0 标准的《网络安全等级保护等级测评报告》（1个系统3份），并协助采购人通过公安机关的报告审核。</w:t>
      </w:r>
    </w:p>
    <w:p>
      <w:pPr>
        <w:spacing w:line="360" w:lineRule="auto"/>
        <w:ind w:firstLine="420" w:firstLineChars="200"/>
        <w:rPr>
          <w:color w:val="auto"/>
        </w:rPr>
      </w:pPr>
      <w:r>
        <w:rPr>
          <w:rFonts w:hint="eastAsia"/>
          <w:color w:val="auto"/>
        </w:rPr>
        <w:t>5、APP软件安全检测</w:t>
      </w:r>
    </w:p>
    <w:p>
      <w:pPr>
        <w:spacing w:line="360" w:lineRule="auto"/>
        <w:ind w:firstLine="420" w:firstLineChars="200"/>
        <w:rPr>
          <w:color w:val="auto"/>
        </w:rPr>
      </w:pPr>
      <w:r>
        <w:rPr>
          <w:rFonts w:hint="eastAsia"/>
          <w:color w:val="auto"/>
        </w:rPr>
        <w:t>参考《信息安全技术 移动智能终端应用软件安全技术要求和测试评价方法》（GB∕T 34975-2017）和《移动智能终端软件安全性测试规范》（DB44_T 1557-2015）相关技术要求对医院APP软件进行安全测试，通过专业APP安全测试工具，对医院APP软件的安全功能、安全配置文件、安全配置参数、权限保护机制、源代码保护、代码编译保护、人信息保密性防护等方面进行全覆盖测试，发现APP安全缺陷漏洞，并人工验证漏洞的真伪，对存在的安全缺陷提供针对性整改加固方案，协助开发厂商进行风险整改。APP应用后台安全测试方面，通过对APP后台进行渗透测试，发现APP移动应用后台端存在安全漏洞并提出安全整改方案，协助系统开发方进行安全整改直到修复所有安全漏洞。具体测评内容见下表：</w:t>
      </w:r>
    </w:p>
    <w:p>
      <w:pPr>
        <w:spacing w:line="360" w:lineRule="auto"/>
        <w:ind w:firstLine="422" w:firstLineChars="200"/>
        <w:jc w:val="center"/>
        <w:rPr>
          <w:b/>
          <w:bCs/>
          <w:color w:val="auto"/>
        </w:rPr>
      </w:pPr>
      <w:r>
        <w:rPr>
          <w:rFonts w:hint="eastAsia"/>
          <w:b/>
          <w:bCs/>
          <w:color w:val="auto"/>
        </w:rPr>
        <w:t>表 - APP安全功能测试需求一览表</w:t>
      </w:r>
    </w:p>
    <w:tbl>
      <w:tblPr>
        <w:tblStyle w:val="46"/>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2204"/>
        <w:gridCol w:w="5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791" w:type="dxa"/>
            <w:shd w:val="clear" w:color="auto" w:fill="BFBFBF"/>
            <w:noWrap/>
            <w:vAlign w:val="center"/>
          </w:tcPr>
          <w:p>
            <w:pPr>
              <w:spacing w:line="360" w:lineRule="auto"/>
              <w:jc w:val="center"/>
              <w:rPr>
                <w:b/>
                <w:bCs/>
                <w:color w:val="auto"/>
              </w:rPr>
            </w:pPr>
            <w:r>
              <w:rPr>
                <w:rFonts w:hint="eastAsia"/>
                <w:b/>
                <w:bCs/>
                <w:color w:val="auto"/>
              </w:rPr>
              <w:t>序号</w:t>
            </w:r>
          </w:p>
        </w:tc>
        <w:tc>
          <w:tcPr>
            <w:tcW w:w="2204" w:type="dxa"/>
            <w:shd w:val="clear" w:color="auto" w:fill="BFBFBF"/>
            <w:noWrap/>
            <w:vAlign w:val="center"/>
          </w:tcPr>
          <w:p>
            <w:pPr>
              <w:spacing w:line="360" w:lineRule="auto"/>
              <w:jc w:val="center"/>
              <w:rPr>
                <w:b/>
                <w:bCs/>
                <w:color w:val="auto"/>
              </w:rPr>
            </w:pPr>
            <w:r>
              <w:rPr>
                <w:rFonts w:hint="eastAsia"/>
                <w:b/>
                <w:bCs/>
                <w:color w:val="auto"/>
              </w:rPr>
              <w:t>检测项</w:t>
            </w:r>
          </w:p>
        </w:tc>
        <w:tc>
          <w:tcPr>
            <w:tcW w:w="5681" w:type="dxa"/>
            <w:shd w:val="clear" w:color="auto" w:fill="BFBFBF"/>
            <w:noWrap/>
            <w:vAlign w:val="center"/>
          </w:tcPr>
          <w:p>
            <w:pPr>
              <w:spacing w:line="360" w:lineRule="auto"/>
              <w:jc w:val="center"/>
              <w:rPr>
                <w:b/>
                <w:bCs/>
                <w:color w:val="auto"/>
              </w:rPr>
            </w:pPr>
            <w:r>
              <w:rPr>
                <w:rFonts w:hint="eastAsia"/>
                <w:b/>
                <w:bCs/>
                <w:color w:val="auto"/>
              </w:rPr>
              <w:t>检测内容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1</w:t>
            </w:r>
          </w:p>
        </w:tc>
        <w:tc>
          <w:tcPr>
            <w:tcW w:w="2204" w:type="dxa"/>
            <w:noWrap/>
            <w:vAlign w:val="center"/>
          </w:tcPr>
          <w:p>
            <w:pPr>
              <w:spacing w:line="360" w:lineRule="auto"/>
              <w:jc w:val="center"/>
              <w:rPr>
                <w:color w:val="auto"/>
              </w:rPr>
            </w:pPr>
            <w:r>
              <w:rPr>
                <w:rFonts w:hint="eastAsia"/>
                <w:color w:val="auto"/>
              </w:rPr>
              <w:t>身份鉴别</w:t>
            </w:r>
          </w:p>
        </w:tc>
        <w:tc>
          <w:tcPr>
            <w:tcW w:w="5681" w:type="dxa"/>
            <w:noWrap/>
            <w:vAlign w:val="center"/>
          </w:tcPr>
          <w:p>
            <w:pPr>
              <w:spacing w:line="360" w:lineRule="auto"/>
              <w:rPr>
                <w:color w:val="auto"/>
              </w:rPr>
            </w:pPr>
            <w:r>
              <w:rPr>
                <w:rFonts w:hint="eastAsia"/>
                <w:color w:val="auto"/>
              </w:rPr>
              <w:t>移动应用应提供专用的登录控制模块对登录用户进行身份标识和鉴别。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91" w:type="dxa"/>
            <w:noWrap/>
            <w:vAlign w:val="center"/>
          </w:tcPr>
          <w:p>
            <w:pPr>
              <w:spacing w:line="360" w:lineRule="auto"/>
              <w:jc w:val="center"/>
              <w:rPr>
                <w:color w:val="auto"/>
              </w:rPr>
            </w:pPr>
            <w:r>
              <w:rPr>
                <w:rFonts w:hint="eastAsia"/>
                <w:color w:val="auto"/>
              </w:rPr>
              <w:t>2</w:t>
            </w:r>
          </w:p>
        </w:tc>
        <w:tc>
          <w:tcPr>
            <w:tcW w:w="2204" w:type="dxa"/>
            <w:noWrap/>
            <w:vAlign w:val="center"/>
          </w:tcPr>
          <w:p>
            <w:pPr>
              <w:spacing w:line="360" w:lineRule="auto"/>
              <w:jc w:val="center"/>
              <w:rPr>
                <w:color w:val="auto"/>
              </w:rPr>
            </w:pPr>
            <w:r>
              <w:rPr>
                <w:rFonts w:hint="eastAsia"/>
                <w:color w:val="auto"/>
              </w:rPr>
              <w:t>身份鉴别</w:t>
            </w:r>
          </w:p>
        </w:tc>
        <w:tc>
          <w:tcPr>
            <w:tcW w:w="5681" w:type="dxa"/>
            <w:noWrap/>
            <w:vAlign w:val="center"/>
          </w:tcPr>
          <w:p>
            <w:pPr>
              <w:spacing w:line="360" w:lineRule="auto"/>
              <w:rPr>
                <w:color w:val="auto"/>
              </w:rPr>
            </w:pPr>
            <w:r>
              <w:rPr>
                <w:rFonts w:hint="eastAsia"/>
                <w:color w:val="auto"/>
              </w:rPr>
              <w:t>移动应用应具有口令复杂度校验功能，对用户注册、修改用户密码等厂家进行口令复杂度校验措施。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91" w:type="dxa"/>
            <w:noWrap/>
            <w:vAlign w:val="center"/>
          </w:tcPr>
          <w:p>
            <w:pPr>
              <w:spacing w:line="360" w:lineRule="auto"/>
              <w:jc w:val="center"/>
              <w:rPr>
                <w:color w:val="auto"/>
              </w:rPr>
            </w:pPr>
            <w:r>
              <w:rPr>
                <w:rFonts w:hint="eastAsia"/>
                <w:color w:val="auto"/>
              </w:rPr>
              <w:t>3</w:t>
            </w:r>
          </w:p>
        </w:tc>
        <w:tc>
          <w:tcPr>
            <w:tcW w:w="2204" w:type="dxa"/>
            <w:noWrap/>
            <w:vAlign w:val="center"/>
          </w:tcPr>
          <w:p>
            <w:pPr>
              <w:spacing w:line="360" w:lineRule="auto"/>
              <w:jc w:val="center"/>
              <w:rPr>
                <w:color w:val="auto"/>
              </w:rPr>
            </w:pPr>
            <w:r>
              <w:rPr>
                <w:rFonts w:hint="eastAsia"/>
                <w:color w:val="auto"/>
              </w:rPr>
              <w:t>身份鉴别</w:t>
            </w:r>
          </w:p>
        </w:tc>
        <w:tc>
          <w:tcPr>
            <w:tcW w:w="5681" w:type="dxa"/>
            <w:noWrap/>
            <w:vAlign w:val="center"/>
          </w:tcPr>
          <w:p>
            <w:pPr>
              <w:spacing w:line="360" w:lineRule="auto"/>
              <w:rPr>
                <w:color w:val="auto"/>
              </w:rPr>
            </w:pPr>
            <w:r>
              <w:rPr>
                <w:rFonts w:hint="eastAsia"/>
                <w:color w:val="auto"/>
              </w:rPr>
              <w:t>移动应用应强制用户首次登录修改默认口令。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791" w:type="dxa"/>
            <w:noWrap/>
            <w:vAlign w:val="center"/>
          </w:tcPr>
          <w:p>
            <w:pPr>
              <w:spacing w:line="360" w:lineRule="auto"/>
              <w:jc w:val="center"/>
              <w:rPr>
                <w:color w:val="auto"/>
              </w:rPr>
            </w:pPr>
            <w:r>
              <w:rPr>
                <w:rFonts w:hint="eastAsia"/>
                <w:color w:val="auto"/>
              </w:rPr>
              <w:t>4</w:t>
            </w:r>
          </w:p>
        </w:tc>
        <w:tc>
          <w:tcPr>
            <w:tcW w:w="2204" w:type="dxa"/>
            <w:noWrap/>
            <w:vAlign w:val="center"/>
          </w:tcPr>
          <w:p>
            <w:pPr>
              <w:spacing w:line="360" w:lineRule="auto"/>
              <w:jc w:val="center"/>
              <w:rPr>
                <w:color w:val="auto"/>
              </w:rPr>
            </w:pPr>
            <w:r>
              <w:rPr>
                <w:rFonts w:hint="eastAsia"/>
                <w:color w:val="auto"/>
              </w:rPr>
              <w:t>身份鉴别</w:t>
            </w:r>
          </w:p>
        </w:tc>
        <w:tc>
          <w:tcPr>
            <w:tcW w:w="5681" w:type="dxa"/>
            <w:noWrap/>
            <w:vAlign w:val="center"/>
          </w:tcPr>
          <w:p>
            <w:pPr>
              <w:spacing w:line="360" w:lineRule="auto"/>
              <w:rPr>
                <w:color w:val="auto"/>
              </w:rPr>
            </w:pPr>
            <w:r>
              <w:rPr>
                <w:rFonts w:hint="eastAsia"/>
                <w:color w:val="auto"/>
              </w:rPr>
              <w:t>移动应用应具备用户登录失败处理功能。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5</w:t>
            </w:r>
          </w:p>
        </w:tc>
        <w:tc>
          <w:tcPr>
            <w:tcW w:w="2204" w:type="dxa"/>
            <w:noWrap/>
            <w:vAlign w:val="center"/>
          </w:tcPr>
          <w:p>
            <w:pPr>
              <w:spacing w:line="360" w:lineRule="auto"/>
              <w:jc w:val="center"/>
              <w:rPr>
                <w:color w:val="auto"/>
              </w:rPr>
            </w:pPr>
            <w:r>
              <w:rPr>
                <w:rFonts w:hint="eastAsia"/>
                <w:color w:val="auto"/>
              </w:rPr>
              <w:t>身份鉴别</w:t>
            </w:r>
          </w:p>
        </w:tc>
        <w:tc>
          <w:tcPr>
            <w:tcW w:w="5681" w:type="dxa"/>
            <w:noWrap/>
            <w:vAlign w:val="center"/>
          </w:tcPr>
          <w:p>
            <w:pPr>
              <w:spacing w:line="360" w:lineRule="auto"/>
              <w:rPr>
                <w:color w:val="auto"/>
              </w:rPr>
            </w:pPr>
            <w:r>
              <w:rPr>
                <w:rFonts w:hint="eastAsia"/>
                <w:color w:val="auto"/>
              </w:rPr>
              <w:t>涉及资金交易业务场景，移动应用应具备二次身份认证功能（如支付口令、指纹、动态人脸识别等）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6</w:t>
            </w:r>
          </w:p>
        </w:tc>
        <w:tc>
          <w:tcPr>
            <w:tcW w:w="2204" w:type="dxa"/>
            <w:noWrap/>
            <w:vAlign w:val="center"/>
          </w:tcPr>
          <w:p>
            <w:pPr>
              <w:spacing w:line="360" w:lineRule="auto"/>
              <w:jc w:val="center"/>
              <w:rPr>
                <w:color w:val="auto"/>
              </w:rPr>
            </w:pPr>
            <w:r>
              <w:rPr>
                <w:rFonts w:hint="eastAsia"/>
                <w:color w:val="auto"/>
              </w:rPr>
              <w:t>密码软键盘安全性</w:t>
            </w:r>
          </w:p>
        </w:tc>
        <w:tc>
          <w:tcPr>
            <w:tcW w:w="5681" w:type="dxa"/>
            <w:noWrap/>
            <w:vAlign w:val="center"/>
          </w:tcPr>
          <w:p>
            <w:pPr>
              <w:spacing w:line="360" w:lineRule="auto"/>
              <w:rPr>
                <w:color w:val="auto"/>
              </w:rPr>
            </w:pPr>
            <w:r>
              <w:rPr>
                <w:rFonts w:hint="eastAsia"/>
                <w:color w:val="auto"/>
              </w:rPr>
              <w:t>移动应用应自定义软键盘。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7</w:t>
            </w:r>
          </w:p>
        </w:tc>
        <w:tc>
          <w:tcPr>
            <w:tcW w:w="2204" w:type="dxa"/>
            <w:noWrap/>
            <w:vAlign w:val="center"/>
          </w:tcPr>
          <w:p>
            <w:pPr>
              <w:spacing w:line="360" w:lineRule="auto"/>
              <w:jc w:val="center"/>
              <w:rPr>
                <w:color w:val="auto"/>
              </w:rPr>
            </w:pPr>
            <w:r>
              <w:rPr>
                <w:rFonts w:hint="eastAsia"/>
                <w:color w:val="auto"/>
              </w:rPr>
              <w:t>密码软键盘安全性</w:t>
            </w:r>
          </w:p>
        </w:tc>
        <w:tc>
          <w:tcPr>
            <w:tcW w:w="5681" w:type="dxa"/>
            <w:noWrap/>
            <w:vAlign w:val="center"/>
          </w:tcPr>
          <w:p>
            <w:pPr>
              <w:spacing w:line="360" w:lineRule="auto"/>
              <w:rPr>
                <w:color w:val="auto"/>
              </w:rPr>
            </w:pPr>
            <w:r>
              <w:rPr>
                <w:rFonts w:hint="eastAsia"/>
                <w:color w:val="auto"/>
              </w:rPr>
              <w:t>移动应用应使用随机布局的密码数字软键盘。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91" w:type="dxa"/>
            <w:noWrap/>
            <w:vAlign w:val="center"/>
          </w:tcPr>
          <w:p>
            <w:pPr>
              <w:spacing w:line="360" w:lineRule="auto"/>
              <w:jc w:val="center"/>
              <w:rPr>
                <w:color w:val="auto"/>
              </w:rPr>
            </w:pPr>
            <w:r>
              <w:rPr>
                <w:rFonts w:hint="eastAsia"/>
                <w:color w:val="auto"/>
              </w:rPr>
              <w:t>8</w:t>
            </w:r>
          </w:p>
        </w:tc>
        <w:tc>
          <w:tcPr>
            <w:tcW w:w="2204" w:type="dxa"/>
            <w:noWrap/>
            <w:vAlign w:val="center"/>
          </w:tcPr>
          <w:p>
            <w:pPr>
              <w:spacing w:line="360" w:lineRule="auto"/>
              <w:jc w:val="center"/>
              <w:rPr>
                <w:color w:val="auto"/>
              </w:rPr>
            </w:pPr>
            <w:r>
              <w:rPr>
                <w:rFonts w:hint="eastAsia"/>
                <w:color w:val="auto"/>
              </w:rPr>
              <w:t>密码软键盘安全性</w:t>
            </w:r>
          </w:p>
        </w:tc>
        <w:tc>
          <w:tcPr>
            <w:tcW w:w="5681" w:type="dxa"/>
            <w:noWrap/>
            <w:vAlign w:val="center"/>
          </w:tcPr>
          <w:p>
            <w:pPr>
              <w:spacing w:line="360" w:lineRule="auto"/>
              <w:rPr>
                <w:color w:val="auto"/>
              </w:rPr>
            </w:pPr>
            <w:r>
              <w:rPr>
                <w:rFonts w:hint="eastAsia"/>
                <w:color w:val="auto"/>
              </w:rPr>
              <w:t>涉及到资金支付、用户登录等业务场景时应调用自定义软件盘。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91" w:type="dxa"/>
            <w:noWrap/>
            <w:vAlign w:val="center"/>
          </w:tcPr>
          <w:p>
            <w:pPr>
              <w:spacing w:line="360" w:lineRule="auto"/>
              <w:jc w:val="center"/>
              <w:rPr>
                <w:color w:val="auto"/>
              </w:rPr>
            </w:pPr>
            <w:r>
              <w:rPr>
                <w:rFonts w:hint="eastAsia"/>
                <w:color w:val="auto"/>
              </w:rPr>
              <w:t>9</w:t>
            </w:r>
          </w:p>
        </w:tc>
        <w:tc>
          <w:tcPr>
            <w:tcW w:w="2204" w:type="dxa"/>
            <w:noWrap/>
            <w:vAlign w:val="center"/>
          </w:tcPr>
          <w:p>
            <w:pPr>
              <w:spacing w:line="360" w:lineRule="auto"/>
              <w:jc w:val="center"/>
              <w:rPr>
                <w:color w:val="auto"/>
              </w:rPr>
            </w:pPr>
            <w:r>
              <w:rPr>
                <w:rFonts w:hint="eastAsia"/>
                <w:color w:val="auto"/>
              </w:rPr>
              <w:t>会话安全保护</w:t>
            </w:r>
          </w:p>
        </w:tc>
        <w:tc>
          <w:tcPr>
            <w:tcW w:w="5681" w:type="dxa"/>
            <w:noWrap/>
            <w:vAlign w:val="center"/>
          </w:tcPr>
          <w:p>
            <w:pPr>
              <w:spacing w:line="360" w:lineRule="auto"/>
              <w:rPr>
                <w:color w:val="auto"/>
              </w:rPr>
            </w:pPr>
            <w:r>
              <w:rPr>
                <w:rFonts w:hint="eastAsia"/>
                <w:color w:val="auto"/>
              </w:rPr>
              <w:t>移动应用应具备空闲会话超时自动结束功能。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10</w:t>
            </w:r>
          </w:p>
        </w:tc>
        <w:tc>
          <w:tcPr>
            <w:tcW w:w="2204" w:type="dxa"/>
            <w:noWrap/>
            <w:vAlign w:val="center"/>
          </w:tcPr>
          <w:p>
            <w:pPr>
              <w:spacing w:line="360" w:lineRule="auto"/>
              <w:jc w:val="center"/>
              <w:rPr>
                <w:color w:val="auto"/>
              </w:rPr>
            </w:pPr>
            <w:r>
              <w:rPr>
                <w:rFonts w:hint="eastAsia"/>
                <w:color w:val="auto"/>
              </w:rPr>
              <w:t>会话安全保护</w:t>
            </w:r>
          </w:p>
        </w:tc>
        <w:tc>
          <w:tcPr>
            <w:tcW w:w="5681" w:type="dxa"/>
            <w:noWrap/>
            <w:vAlign w:val="center"/>
          </w:tcPr>
          <w:p>
            <w:pPr>
              <w:spacing w:line="360" w:lineRule="auto"/>
              <w:rPr>
                <w:color w:val="auto"/>
              </w:rPr>
            </w:pPr>
            <w:r>
              <w:rPr>
                <w:rFonts w:hint="eastAsia"/>
                <w:color w:val="auto"/>
              </w:rPr>
              <w:t>金融类移动应用从后台运行中唤醒应重新登录移动应用。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91" w:type="dxa"/>
            <w:noWrap/>
            <w:vAlign w:val="center"/>
          </w:tcPr>
          <w:p>
            <w:pPr>
              <w:spacing w:line="360" w:lineRule="auto"/>
              <w:jc w:val="center"/>
              <w:rPr>
                <w:color w:val="auto"/>
              </w:rPr>
            </w:pPr>
            <w:r>
              <w:rPr>
                <w:rFonts w:hint="eastAsia"/>
                <w:color w:val="auto"/>
              </w:rPr>
              <w:t>11</w:t>
            </w:r>
          </w:p>
        </w:tc>
        <w:tc>
          <w:tcPr>
            <w:tcW w:w="2204" w:type="dxa"/>
            <w:noWrap/>
            <w:vAlign w:val="center"/>
          </w:tcPr>
          <w:p>
            <w:pPr>
              <w:spacing w:line="360" w:lineRule="auto"/>
              <w:jc w:val="center"/>
              <w:rPr>
                <w:color w:val="auto"/>
              </w:rPr>
            </w:pPr>
            <w:r>
              <w:rPr>
                <w:rFonts w:hint="eastAsia"/>
                <w:color w:val="auto"/>
              </w:rPr>
              <w:t>通信安全</w:t>
            </w:r>
          </w:p>
        </w:tc>
        <w:tc>
          <w:tcPr>
            <w:tcW w:w="5681" w:type="dxa"/>
            <w:noWrap/>
            <w:vAlign w:val="center"/>
          </w:tcPr>
          <w:p>
            <w:pPr>
              <w:spacing w:line="360" w:lineRule="auto"/>
              <w:rPr>
                <w:color w:val="auto"/>
              </w:rPr>
            </w:pPr>
            <w:r>
              <w:rPr>
                <w:rFonts w:hint="eastAsia"/>
                <w:color w:val="auto"/>
              </w:rPr>
              <w:t>移动应用应使用TSL/SSL通信协议或其他通道加密手段进行传输通信。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12</w:t>
            </w:r>
          </w:p>
        </w:tc>
        <w:tc>
          <w:tcPr>
            <w:tcW w:w="2204" w:type="dxa"/>
            <w:noWrap/>
            <w:vAlign w:val="center"/>
          </w:tcPr>
          <w:p>
            <w:pPr>
              <w:spacing w:line="360" w:lineRule="auto"/>
              <w:jc w:val="center"/>
              <w:rPr>
                <w:color w:val="auto"/>
              </w:rPr>
            </w:pPr>
            <w:r>
              <w:rPr>
                <w:rFonts w:hint="eastAsia"/>
                <w:color w:val="auto"/>
              </w:rPr>
              <w:t>通信安全</w:t>
            </w:r>
          </w:p>
        </w:tc>
        <w:tc>
          <w:tcPr>
            <w:tcW w:w="5681" w:type="dxa"/>
            <w:noWrap/>
            <w:vAlign w:val="center"/>
          </w:tcPr>
          <w:p>
            <w:pPr>
              <w:spacing w:line="360" w:lineRule="auto"/>
              <w:rPr>
                <w:color w:val="auto"/>
              </w:rPr>
            </w:pPr>
            <w:r>
              <w:rPr>
                <w:rFonts w:hint="eastAsia"/>
                <w:color w:val="auto"/>
              </w:rPr>
              <w:t>移动应用应对通信过程中的敏感信息字段进行加密。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13</w:t>
            </w:r>
          </w:p>
        </w:tc>
        <w:tc>
          <w:tcPr>
            <w:tcW w:w="2204" w:type="dxa"/>
            <w:noWrap/>
            <w:vAlign w:val="center"/>
          </w:tcPr>
          <w:p>
            <w:pPr>
              <w:spacing w:line="360" w:lineRule="auto"/>
              <w:jc w:val="center"/>
              <w:rPr>
                <w:color w:val="auto"/>
              </w:rPr>
            </w:pPr>
            <w:r>
              <w:rPr>
                <w:rFonts w:hint="eastAsia"/>
                <w:color w:val="auto"/>
              </w:rPr>
              <w:t>数据存储安全</w:t>
            </w:r>
          </w:p>
        </w:tc>
        <w:tc>
          <w:tcPr>
            <w:tcW w:w="5681" w:type="dxa"/>
            <w:noWrap/>
            <w:vAlign w:val="center"/>
          </w:tcPr>
          <w:p>
            <w:pPr>
              <w:spacing w:line="360" w:lineRule="auto"/>
              <w:rPr>
                <w:color w:val="auto"/>
              </w:rPr>
            </w:pPr>
            <w:r>
              <w:rPr>
                <w:rFonts w:hint="eastAsia"/>
                <w:color w:val="auto"/>
              </w:rPr>
              <w:t>移动应用应加密或采用其他保护措施实现本地敏感信息的存储保密性。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91" w:type="dxa"/>
            <w:noWrap/>
            <w:vAlign w:val="center"/>
          </w:tcPr>
          <w:p>
            <w:pPr>
              <w:spacing w:line="360" w:lineRule="auto"/>
              <w:jc w:val="center"/>
              <w:rPr>
                <w:color w:val="auto"/>
              </w:rPr>
            </w:pPr>
            <w:r>
              <w:rPr>
                <w:rFonts w:hint="eastAsia"/>
                <w:color w:val="auto"/>
              </w:rPr>
              <w:t>14</w:t>
            </w:r>
          </w:p>
        </w:tc>
        <w:tc>
          <w:tcPr>
            <w:tcW w:w="2204" w:type="dxa"/>
            <w:noWrap/>
            <w:vAlign w:val="center"/>
          </w:tcPr>
          <w:p>
            <w:pPr>
              <w:spacing w:line="360" w:lineRule="auto"/>
              <w:jc w:val="center"/>
              <w:rPr>
                <w:color w:val="auto"/>
              </w:rPr>
            </w:pPr>
            <w:r>
              <w:rPr>
                <w:rFonts w:hint="eastAsia"/>
                <w:color w:val="auto"/>
              </w:rPr>
              <w:t>数据存储安全</w:t>
            </w:r>
          </w:p>
        </w:tc>
        <w:tc>
          <w:tcPr>
            <w:tcW w:w="5681" w:type="dxa"/>
            <w:noWrap/>
            <w:vAlign w:val="center"/>
          </w:tcPr>
          <w:p>
            <w:pPr>
              <w:spacing w:line="360" w:lineRule="auto"/>
              <w:rPr>
                <w:color w:val="auto"/>
              </w:rPr>
            </w:pPr>
            <w:r>
              <w:rPr>
                <w:rFonts w:hint="eastAsia"/>
                <w:color w:val="auto"/>
              </w:rPr>
              <w:t>移动应用应加密或其他保护措施对Logcat的日志敏感信息进行保护。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791" w:type="dxa"/>
            <w:noWrap/>
            <w:vAlign w:val="center"/>
          </w:tcPr>
          <w:p>
            <w:pPr>
              <w:spacing w:line="360" w:lineRule="auto"/>
              <w:jc w:val="center"/>
              <w:rPr>
                <w:color w:val="auto"/>
              </w:rPr>
            </w:pPr>
            <w:r>
              <w:rPr>
                <w:rFonts w:hint="eastAsia"/>
                <w:color w:val="auto"/>
              </w:rPr>
              <w:t>15</w:t>
            </w:r>
          </w:p>
        </w:tc>
        <w:tc>
          <w:tcPr>
            <w:tcW w:w="2204" w:type="dxa"/>
            <w:noWrap/>
            <w:vAlign w:val="center"/>
          </w:tcPr>
          <w:p>
            <w:pPr>
              <w:spacing w:line="360" w:lineRule="auto"/>
              <w:jc w:val="center"/>
              <w:rPr>
                <w:color w:val="auto"/>
              </w:rPr>
            </w:pPr>
            <w:r>
              <w:rPr>
                <w:rFonts w:hint="eastAsia"/>
                <w:color w:val="auto"/>
              </w:rPr>
              <w:t>数据存储安全</w:t>
            </w:r>
          </w:p>
        </w:tc>
        <w:tc>
          <w:tcPr>
            <w:tcW w:w="5681" w:type="dxa"/>
            <w:noWrap/>
            <w:vAlign w:val="center"/>
          </w:tcPr>
          <w:p>
            <w:pPr>
              <w:spacing w:line="360" w:lineRule="auto"/>
              <w:rPr>
                <w:color w:val="auto"/>
              </w:rPr>
            </w:pPr>
            <w:r>
              <w:rPr>
                <w:rFonts w:hint="eastAsia"/>
                <w:color w:val="auto"/>
              </w:rPr>
              <w:t>移动应用敏感信息应在数据库加密存储。</w:t>
            </w:r>
          </w:p>
        </w:tc>
      </w:tr>
    </w:tbl>
    <w:p>
      <w:pPr>
        <w:spacing w:line="360" w:lineRule="auto"/>
        <w:ind w:firstLine="420" w:firstLineChars="200"/>
        <w:rPr>
          <w:color w:val="auto"/>
        </w:rPr>
      </w:pPr>
    </w:p>
    <w:p>
      <w:pPr>
        <w:spacing w:line="360" w:lineRule="auto"/>
        <w:ind w:firstLine="420" w:firstLineChars="200"/>
        <w:rPr>
          <w:color w:val="auto"/>
        </w:rPr>
      </w:pPr>
      <w:r>
        <w:rPr>
          <w:rFonts w:hint="eastAsia"/>
          <w:color w:val="auto"/>
        </w:rPr>
        <w:t xml:space="preserve"> 6、源代码安全审计</w:t>
      </w:r>
    </w:p>
    <w:p>
      <w:pPr>
        <w:spacing w:line="360" w:lineRule="auto"/>
        <w:ind w:firstLine="420" w:firstLineChars="200"/>
        <w:rPr>
          <w:color w:val="auto"/>
        </w:rPr>
      </w:pPr>
      <w:r>
        <w:rPr>
          <w:rFonts w:hint="eastAsia"/>
          <w:color w:val="auto"/>
        </w:rPr>
        <w:t>依据《信息安全技术 代码安全审计规范》（GB/T 39412-2020）和《软件安全开发标准》（ISO/IEC 27034）标准要求，对HIS系统、互联网医院系统、电子病历系统、医院信息集成平台、智慧门诊就医服务平台系统、临床服务管理平台系统、2022年新建信息系统进行源代码安全审计，通过专业的源代码安全审计工具对目标源代码进行全覆盖安全审计扫描，快速定位源代码中存在的代码缺陷，判断源代码中是否存在逻辑后门漏洞，并通过人工手段逐步核查缺陷代码的真伪，并针对存在的代码缺陷提供相应的整改加固方案，最终输出源代码安全审计报告。</w:t>
      </w:r>
    </w:p>
    <w:p>
      <w:pPr>
        <w:spacing w:line="360" w:lineRule="auto"/>
        <w:ind w:firstLine="420" w:firstLineChars="200"/>
        <w:rPr>
          <w:color w:val="auto"/>
        </w:rPr>
      </w:pPr>
      <w:r>
        <w:rPr>
          <w:rFonts w:hint="eastAsia"/>
          <w:color w:val="auto"/>
        </w:rPr>
        <w:t>审计内容至少覆盖身份鉴别模块、输入输出模块、上传下载模块、异常处置模块、软件权限框架、数据传输与存储机制等常见软件功能模块。依据源代码安全测评常见结果和人工审计情况，在代码安全测评中常常会遇到一些常见的代码安全问题，对这些安全问题进行深入分析研究，源代码安全审计覆盖以下内容：</w:t>
      </w:r>
    </w:p>
    <w:p>
      <w:pPr>
        <w:spacing w:line="360" w:lineRule="auto"/>
        <w:ind w:firstLine="422" w:firstLineChars="200"/>
        <w:jc w:val="center"/>
        <w:rPr>
          <w:b/>
          <w:bCs/>
          <w:color w:val="auto"/>
        </w:rPr>
      </w:pPr>
      <w:r>
        <w:rPr>
          <w:rFonts w:hint="eastAsia"/>
          <w:b/>
          <w:bCs/>
          <w:color w:val="auto"/>
        </w:rPr>
        <w:t>表- 源代码安全审计内容表</w:t>
      </w:r>
    </w:p>
    <w:tbl>
      <w:tblPr>
        <w:tblStyle w:val="46"/>
        <w:tblW w:w="4837" w:type="pct"/>
        <w:jc w:val="center"/>
        <w:tblLayout w:type="autofit"/>
        <w:tblCellMar>
          <w:top w:w="0" w:type="dxa"/>
          <w:left w:w="108" w:type="dxa"/>
          <w:bottom w:w="0" w:type="dxa"/>
          <w:right w:w="108" w:type="dxa"/>
        </w:tblCellMar>
      </w:tblPr>
      <w:tblGrid>
        <w:gridCol w:w="584"/>
        <w:gridCol w:w="1768"/>
        <w:gridCol w:w="7310"/>
      </w:tblGrid>
      <w:tr>
        <w:tblPrEx>
          <w:tblCellMar>
            <w:top w:w="0" w:type="dxa"/>
            <w:left w:w="108" w:type="dxa"/>
            <w:bottom w:w="0" w:type="dxa"/>
            <w:right w:w="108" w:type="dxa"/>
          </w:tblCellMar>
        </w:tblPrEx>
        <w:trPr>
          <w:trHeight w:val="170" w:hRule="atLeast"/>
          <w:jc w:val="center"/>
        </w:trPr>
        <w:tc>
          <w:tcPr>
            <w:tcW w:w="414" w:type="pct"/>
            <w:tcBorders>
              <w:top w:val="single" w:color="auto" w:sz="4" w:space="0"/>
              <w:left w:val="single" w:color="auto" w:sz="4" w:space="0"/>
              <w:bottom w:val="single" w:color="auto" w:sz="4" w:space="0"/>
              <w:right w:val="single" w:color="auto" w:sz="4" w:space="0"/>
            </w:tcBorders>
            <w:shd w:val="clear" w:color="000000" w:fill="D9D9D9"/>
            <w:noWrap/>
            <w:vAlign w:val="center"/>
          </w:tcPr>
          <w:p>
            <w:pPr>
              <w:spacing w:line="360" w:lineRule="auto"/>
              <w:jc w:val="center"/>
              <w:rPr>
                <w:b/>
                <w:bCs/>
                <w:color w:val="auto"/>
              </w:rPr>
            </w:pPr>
            <w:r>
              <w:rPr>
                <w:rFonts w:hint="eastAsia"/>
                <w:b/>
                <w:bCs/>
                <w:color w:val="auto"/>
              </w:rPr>
              <w:t>序号</w:t>
            </w:r>
          </w:p>
        </w:tc>
        <w:tc>
          <w:tcPr>
            <w:tcW w:w="1041" w:type="pct"/>
            <w:tcBorders>
              <w:top w:val="single" w:color="auto" w:sz="4" w:space="0"/>
              <w:left w:val="nil"/>
              <w:bottom w:val="single" w:color="auto" w:sz="4" w:space="0"/>
              <w:right w:val="single" w:color="auto" w:sz="4" w:space="0"/>
            </w:tcBorders>
            <w:shd w:val="clear" w:color="000000" w:fill="D9D9D9"/>
            <w:noWrap/>
            <w:vAlign w:val="center"/>
          </w:tcPr>
          <w:p>
            <w:pPr>
              <w:spacing w:line="360" w:lineRule="auto"/>
              <w:jc w:val="center"/>
              <w:rPr>
                <w:b/>
                <w:bCs/>
                <w:color w:val="auto"/>
              </w:rPr>
            </w:pPr>
            <w:r>
              <w:rPr>
                <w:rFonts w:hint="eastAsia"/>
                <w:b/>
                <w:bCs/>
                <w:color w:val="auto"/>
              </w:rPr>
              <w:t>指标类</w:t>
            </w:r>
          </w:p>
        </w:tc>
        <w:tc>
          <w:tcPr>
            <w:tcW w:w="3544" w:type="pct"/>
            <w:tcBorders>
              <w:top w:val="single" w:color="auto" w:sz="4" w:space="0"/>
              <w:left w:val="nil"/>
              <w:bottom w:val="single" w:color="auto" w:sz="4" w:space="0"/>
              <w:right w:val="single" w:color="auto" w:sz="4" w:space="0"/>
            </w:tcBorders>
            <w:shd w:val="clear" w:color="000000" w:fill="D9D9D9"/>
            <w:noWrap/>
            <w:vAlign w:val="center"/>
          </w:tcPr>
          <w:p>
            <w:pPr>
              <w:spacing w:line="360" w:lineRule="auto"/>
              <w:jc w:val="center"/>
              <w:rPr>
                <w:b/>
                <w:bCs/>
                <w:color w:val="auto"/>
              </w:rPr>
            </w:pPr>
            <w:r>
              <w:rPr>
                <w:rFonts w:hint="eastAsia"/>
                <w:b/>
                <w:bCs/>
                <w:color w:val="auto"/>
              </w:rPr>
              <w:t>指标名称</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SQL注入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SQL_Injection(SQL注入)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SQL Injection: MyBatis Mapper(SQL注入：MyBatis Mapper)</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SQL Injection: Hibernate(SQL注入：Hibernate)</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SQL Injection: iBatis Data Map(SQL注入：iBatis Map)</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5</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SQL Injection: JDO(SQL注入：JDO)</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6</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跨站</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Cross-Site Scripting: Reflected(跨站脚本：反射型)</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7</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Cross-Site Scripting: Persistent(跨站脚本：存储型)</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8</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Cross-Site Scripting: DOM(跨站脚本：DOM型)</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9</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代码注入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Code Injection(代码注入)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10</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Dynamic Code Evaluation: Code Injection(动态代码执行：代码注入)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11</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Dynamic Code Evaluation: Unsafe Deserialization (动态代码执行：不安全反序列化)</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12</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命令注入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Command_Injection(命令注入)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13</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Mail Command Injection: SMTP(邮件命令注入：SMTP)</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14</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Mail Command Injection: POP(邮件命令注入：POP)</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15</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Xpath注入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XPath_Injection(Xpath注入)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16</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头部操纵</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Header Manipulation（头部操纵）</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17</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Header Manipulation: SMTP(头部操纵：SMTP)</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18</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Header Manipulation: Cookies(头部操纵：Cookies)</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19</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资源注入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Resource Injection(资源注入)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20</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路径操作</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Path Manipulation(路径操作)</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21</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XML外部实体注入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XML External Entity Injection(XML外部实体注入)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22</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隐私侵犯</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Privacy Violation(隐私侵犯)</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23</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Privacy Violation: Heap Inspection(隐私侵犯：堆检查)</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24</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Privacy Violation: Autocomplete(隐私侵犯：自动完成)</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25</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Privacy Violation: Password(隐私侵犯：密码)</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26</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日志伪造</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Log Forging(日志伪造)</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27</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Open重定向</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Open Redirect(Open重定向)</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28</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密码管理</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Password Management: Hardcoded Password(密码管理：密码硬编码)</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29</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Password Management: Insecure Submission(密码管理：不安全的提交)</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30</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Password Management: Password in Configuration File(密码管理：明文密码在配置文件中)</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31</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Password Management: Password in HTML Form (密码管理：密码在HTML中)</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32</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Key Management: Hardcoded Key(密钥管理：密钥硬编码)</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33</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竞争条件</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Race Condition: Singleton Member Field (竞争条件：单实例参数)</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34</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资源未释放</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Unreleased Resource:Streams（资源未释放：数据流）</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35</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Unreleased Resource:Database（资源未释放：数据库）</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36</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Unreleased Resource:Sockets（资源未释放：套接字）</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37</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OGNL表达式注入</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OGNL Expression Injection: Struts 2 (OGNL表达式注入：Struts 2)</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38</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Cookie安全</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Cookie Security: Overly Broad Path (Cookie安全：过于宽泛的路径范围)</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39</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弱加密</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Weak Encryption (弱加密)</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40</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空对象间接引用</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Null Dereference (空对象间接引用)</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41</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安全的随机数</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Insecure Randomness (不安全的随机数)</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42</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访问控制：数据库</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Access ControlC: Database(访问控制：数据库)</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43</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代码正确性</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Code Correctness: Double-Checked Locking(代码正确性：双重检查锁)</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44</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可移植缺陷</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Portability Flaw: File Separator(可移植缺陷：文件分隔符)</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45</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不安全传输</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Insecure Transport:Mail Transmission (不安全传输：邮件传输)</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46</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系统信息泄露</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System Information Leak: External(系统信息泄露：外部)</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47</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HTTP Verb篡改</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HTTP Verb Tampering (HTTP Verb篡改)</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48</w:t>
            </w:r>
          </w:p>
        </w:tc>
        <w:tc>
          <w:tcPr>
            <w:tcW w:w="1041" w:type="pct"/>
            <w:tcBorders>
              <w:top w:val="nil"/>
              <w:left w:val="nil"/>
              <w:bottom w:val="single" w:color="auto" w:sz="4" w:space="0"/>
              <w:right w:val="single" w:color="auto" w:sz="4" w:space="0"/>
            </w:tcBorders>
            <w:noWrap/>
            <w:vAlign w:val="center"/>
          </w:tcPr>
          <w:p>
            <w:pPr>
              <w:spacing w:line="360" w:lineRule="auto"/>
              <w:jc w:val="center"/>
              <w:rPr>
                <w:color w:val="auto"/>
              </w:rPr>
            </w:pPr>
            <w:r>
              <w:rPr>
                <w:rFonts w:hint="eastAsia"/>
                <w:color w:val="auto"/>
              </w:rPr>
              <w:t>访问标识符操作</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Access Specifier Manipulation (访问标识符操作)</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49</w:t>
            </w:r>
          </w:p>
        </w:tc>
        <w:tc>
          <w:tcPr>
            <w:tcW w:w="1041" w:type="pct"/>
            <w:vMerge w:val="restar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rPr>
              <w:t>不安全SSL</w:t>
            </w: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Insecure SSL: Android Hostname Verification Disabled(不安全SSL:Android忽略主机名校验)</w:t>
            </w:r>
          </w:p>
        </w:tc>
      </w:tr>
      <w:tr>
        <w:tblPrEx>
          <w:tblCellMar>
            <w:top w:w="0" w:type="dxa"/>
            <w:left w:w="108" w:type="dxa"/>
            <w:bottom w:w="0" w:type="dxa"/>
            <w:right w:w="108" w:type="dxa"/>
          </w:tblCellMar>
        </w:tblPrEx>
        <w:trPr>
          <w:trHeight w:val="170" w:hRule="atLeast"/>
          <w:jc w:val="center"/>
        </w:trPr>
        <w:tc>
          <w:tcPr>
            <w:tcW w:w="414" w:type="pct"/>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r>
              <w:rPr>
                <w:rFonts w:hint="eastAsia"/>
                <w:color w:val="auto"/>
                <w:lang w:val="en-GB"/>
              </w:rPr>
              <w:t>50</w:t>
            </w:r>
          </w:p>
        </w:tc>
        <w:tc>
          <w:tcPr>
            <w:tcW w:w="1041" w:type="pct"/>
            <w:vMerge w:val="continue"/>
            <w:tcBorders>
              <w:top w:val="nil"/>
              <w:left w:val="single" w:color="auto" w:sz="4" w:space="0"/>
              <w:bottom w:val="single" w:color="auto" w:sz="4" w:space="0"/>
              <w:right w:val="single" w:color="auto" w:sz="4" w:space="0"/>
            </w:tcBorders>
            <w:noWrap/>
            <w:vAlign w:val="center"/>
          </w:tcPr>
          <w:p>
            <w:pPr>
              <w:spacing w:line="360" w:lineRule="auto"/>
              <w:jc w:val="center"/>
              <w:rPr>
                <w:color w:val="auto"/>
              </w:rPr>
            </w:pPr>
          </w:p>
        </w:tc>
        <w:tc>
          <w:tcPr>
            <w:tcW w:w="3544" w:type="pct"/>
            <w:tcBorders>
              <w:top w:val="nil"/>
              <w:left w:val="nil"/>
              <w:bottom w:val="single" w:color="auto" w:sz="4" w:space="0"/>
              <w:right w:val="single" w:color="auto" w:sz="4" w:space="0"/>
            </w:tcBorders>
            <w:noWrap/>
            <w:vAlign w:val="center"/>
          </w:tcPr>
          <w:p>
            <w:pPr>
              <w:spacing w:line="360" w:lineRule="auto"/>
              <w:jc w:val="left"/>
              <w:rPr>
                <w:color w:val="auto"/>
              </w:rPr>
            </w:pPr>
            <w:r>
              <w:rPr>
                <w:rFonts w:hint="eastAsia"/>
                <w:color w:val="auto"/>
                <w:lang w:val="en-GB"/>
              </w:rPr>
              <w:t>Insecure SSL: Android Customized Implementation (不安全SSL:Android自定义映射)</w:t>
            </w:r>
          </w:p>
        </w:tc>
      </w:tr>
    </w:tbl>
    <w:p>
      <w:pPr>
        <w:spacing w:line="360" w:lineRule="auto"/>
        <w:ind w:firstLine="420" w:firstLineChars="200"/>
        <w:rPr>
          <w:color w:val="auto"/>
        </w:rPr>
      </w:pPr>
      <w:r>
        <w:rPr>
          <w:rFonts w:hint="eastAsia"/>
          <w:color w:val="auto"/>
        </w:rPr>
        <w:t>7、“重保时期”网络安全保障服务</w:t>
      </w:r>
    </w:p>
    <w:p>
      <w:pPr>
        <w:spacing w:line="360" w:lineRule="auto"/>
        <w:ind w:firstLine="420" w:firstLineChars="200"/>
        <w:rPr>
          <w:color w:val="auto"/>
        </w:rPr>
      </w:pPr>
      <w:r>
        <w:rPr>
          <w:rFonts w:hint="eastAsia"/>
          <w:color w:val="auto"/>
        </w:rPr>
        <w:t>（1）渗透测试服务，委派富有经验的网络安全工程师使用主流安全扫描软件和人工渗透方式对我院所有面向互联网的系统进行全面非破坏性的模拟攻击，发现系统可能存在的SQL注入、跨站脚本、弱口令、溢出、文件上传、认证会话管理类、未授权访问类等漏洞，并提供针对性整改方案，避免高中危漏洞暴露于互联网。</w:t>
      </w:r>
    </w:p>
    <w:p>
      <w:pPr>
        <w:spacing w:line="360" w:lineRule="auto"/>
        <w:ind w:firstLine="420" w:firstLineChars="200"/>
        <w:rPr>
          <w:color w:val="auto"/>
        </w:rPr>
      </w:pPr>
      <w:r>
        <w:rPr>
          <w:rFonts w:hint="eastAsia"/>
          <w:color w:val="auto"/>
        </w:rPr>
        <w:t>（2）漏洞扫描服务，定期使用“安全漏洞扫描工具”对重要资产进行操作系统层面和应用系统层面的安全扫描，扫描可能存在的SQL注入漏洞、跨站脚本漏洞、弱口令、溢出漏洞、文件上传漏洞等；</w:t>
      </w:r>
    </w:p>
    <w:p>
      <w:pPr>
        <w:spacing w:line="360" w:lineRule="auto"/>
        <w:ind w:firstLine="420" w:firstLineChars="200"/>
        <w:rPr>
          <w:color w:val="auto"/>
        </w:rPr>
      </w:pPr>
      <w:r>
        <w:rPr>
          <w:rFonts w:hint="eastAsia"/>
          <w:color w:val="auto"/>
        </w:rPr>
        <w:t>（3）攻防演练服务，制定攻防演练方案，模拟网络遭受病毒传播、网络攻击安全事件进行应急演练，组织应急演练至少包含以下演练场景：</w:t>
      </w:r>
    </w:p>
    <w:p>
      <w:pPr>
        <w:spacing w:line="360" w:lineRule="auto"/>
        <w:ind w:firstLine="420" w:firstLineChars="200"/>
        <w:rPr>
          <w:color w:val="auto"/>
        </w:rPr>
      </w:pPr>
      <w:r>
        <w:rPr>
          <w:rFonts w:hint="eastAsia"/>
          <w:color w:val="auto"/>
        </w:rPr>
        <w:t>a)信息破坏事件演练场景：服务器或业务终端感染勒索病毒。</w:t>
      </w:r>
    </w:p>
    <w:p>
      <w:pPr>
        <w:spacing w:line="360" w:lineRule="auto"/>
        <w:ind w:firstLine="420" w:firstLineChars="200"/>
        <w:rPr>
          <w:color w:val="auto"/>
        </w:rPr>
      </w:pPr>
      <w:r>
        <w:rPr>
          <w:rFonts w:hint="eastAsia"/>
          <w:color w:val="auto"/>
        </w:rPr>
        <w:t>b)业务破坏事件演练场景：互联网系统被入侵。</w:t>
      </w:r>
    </w:p>
    <w:p>
      <w:pPr>
        <w:spacing w:line="360" w:lineRule="auto"/>
        <w:ind w:firstLine="420" w:firstLineChars="200"/>
        <w:rPr>
          <w:color w:val="auto"/>
        </w:rPr>
      </w:pPr>
      <w:r>
        <w:rPr>
          <w:rFonts w:hint="eastAsia"/>
          <w:color w:val="auto"/>
        </w:rPr>
        <w:t>（4）安全技术培训服务，提供一次网络安全技术培训服务，增强技术人员网络安全意识、提升网络安全技能。</w:t>
      </w:r>
    </w:p>
    <w:p>
      <w:pPr>
        <w:spacing w:line="360" w:lineRule="auto"/>
        <w:ind w:firstLine="420" w:firstLineChars="200"/>
        <w:rPr>
          <w:color w:val="auto"/>
        </w:rPr>
      </w:pPr>
      <w:r>
        <w:rPr>
          <w:rFonts w:hint="eastAsia"/>
          <w:color w:val="auto"/>
        </w:rPr>
        <w:t>（5）应急响应服务，“重保时期”安排一名或以上安全工程师对系统出现安全相关的突发事件（疑难问题）提供7*24小时现场响应服务，协助做好事件分析处理工作，并提供分析结论与建议报告。</w:t>
      </w:r>
    </w:p>
    <w:p>
      <w:pPr>
        <w:spacing w:line="360" w:lineRule="auto"/>
        <w:ind w:firstLine="422" w:firstLineChars="200"/>
        <w:rPr>
          <w:b/>
          <w:bCs/>
          <w:color w:val="auto"/>
        </w:rPr>
      </w:pPr>
      <w:r>
        <w:rPr>
          <w:rFonts w:hint="eastAsia"/>
          <w:b/>
          <w:bCs/>
          <w:color w:val="auto"/>
        </w:rPr>
        <w:t>二、项目采购要求</w:t>
      </w:r>
    </w:p>
    <w:p>
      <w:pPr>
        <w:spacing w:line="360" w:lineRule="auto"/>
        <w:ind w:firstLine="422" w:firstLineChars="200"/>
        <w:rPr>
          <w:b/>
          <w:bCs/>
          <w:color w:val="auto"/>
        </w:rPr>
      </w:pPr>
      <w:r>
        <w:rPr>
          <w:rFonts w:hint="eastAsia"/>
          <w:b/>
          <w:bCs/>
          <w:color w:val="auto"/>
        </w:rPr>
        <w:t>（一）整体技术要求</w:t>
      </w:r>
    </w:p>
    <w:p>
      <w:pPr>
        <w:spacing w:line="360" w:lineRule="auto"/>
        <w:ind w:firstLine="420" w:firstLineChars="200"/>
        <w:rPr>
          <w:color w:val="auto"/>
        </w:rPr>
      </w:pPr>
      <w:r>
        <w:rPr>
          <w:rFonts w:hint="eastAsia"/>
          <w:color w:val="auto"/>
        </w:rPr>
        <w:t>（1）本项目中需要的测试硬件平台（如笔记本电脑、PC、工作站、测试工具等）均由中标供应商提供，采购人将按照信息安全相关要求对设备进行必要的处理。中标供应商在服务期间未经采购人许可不得将设备带离采购人指定场所，也不得使用任何未经采购人确认的存储设备对评估数据进行复制。中标供应商应做好项目安全技术文档的保密工作，不得以任何形式向第三方提供安全技术文档的全部或部分内容，并与采购人签订项目保密协议。</w:t>
      </w:r>
    </w:p>
    <w:p>
      <w:pPr>
        <w:spacing w:line="360" w:lineRule="auto"/>
        <w:ind w:firstLine="420" w:firstLineChars="200"/>
        <w:rPr>
          <w:color w:val="auto"/>
        </w:rPr>
      </w:pPr>
      <w:r>
        <w:rPr>
          <w:rFonts w:hint="eastAsia"/>
          <w:color w:val="auto"/>
        </w:rPr>
        <w:t>（2）安全调查和评估的过程中，中标供应商如需采购人配合，中标供应商需要详细描述需要配合的内容。如需要采购人协助完成各种表单，需要详细描述表单的名称、功能及主要表项等等，并由中标供应商给出具体示例。采购人有权利拒绝提供任何未事先提出的配合要求，由此产生的损失由中标供应商负全责。</w:t>
      </w:r>
    </w:p>
    <w:p>
      <w:pPr>
        <w:spacing w:line="360" w:lineRule="auto"/>
        <w:ind w:firstLine="420" w:firstLineChars="200"/>
        <w:rPr>
          <w:color w:val="auto"/>
        </w:rPr>
      </w:pPr>
      <w:r>
        <w:rPr>
          <w:rFonts w:hint="eastAsia"/>
          <w:color w:val="auto"/>
        </w:rPr>
        <w:t>（3）中标供应商需要给出采购人在进行调查和评估时所需要提供的信息列表。经采购人确认后提供给中标供应商。采购人有权利拒绝提供任何信息列表以外的采购人资产信息。</w:t>
      </w:r>
    </w:p>
    <w:p>
      <w:pPr>
        <w:spacing w:line="360" w:lineRule="auto"/>
        <w:ind w:firstLine="420" w:firstLineChars="200"/>
        <w:rPr>
          <w:color w:val="auto"/>
        </w:rPr>
      </w:pPr>
      <w:r>
        <w:rPr>
          <w:rFonts w:hint="eastAsia"/>
          <w:color w:val="auto"/>
        </w:rPr>
        <w:t>（4）中标供应商应在加固建议中详细描述安全加固中需要人工参与的工作内容，以及可能对系统造成的影响。</w:t>
      </w:r>
    </w:p>
    <w:p>
      <w:pPr>
        <w:spacing w:line="360" w:lineRule="auto"/>
        <w:ind w:firstLine="420" w:firstLineChars="200"/>
        <w:rPr>
          <w:color w:val="auto"/>
        </w:rPr>
      </w:pPr>
      <w:r>
        <w:rPr>
          <w:rFonts w:hint="eastAsia"/>
          <w:color w:val="auto"/>
        </w:rPr>
        <w:t>（5）中标供应商应向采购人提供详细的评估原始材料、各种表单及结果报告。</w:t>
      </w:r>
    </w:p>
    <w:p>
      <w:pPr>
        <w:spacing w:line="360" w:lineRule="auto"/>
        <w:ind w:firstLine="420" w:firstLineChars="200"/>
        <w:rPr>
          <w:color w:val="auto"/>
        </w:rPr>
      </w:pPr>
      <w:r>
        <w:rPr>
          <w:rFonts w:hint="eastAsia"/>
          <w:color w:val="auto"/>
        </w:rPr>
        <w:t>（6）中标供应商应按等级保护测评要求制定测评服务过程中产生的文档，做到科学、规范、详尽、统一等。</w:t>
      </w:r>
    </w:p>
    <w:p>
      <w:pPr>
        <w:spacing w:line="360" w:lineRule="auto"/>
        <w:ind w:firstLine="422" w:firstLineChars="200"/>
        <w:rPr>
          <w:b/>
          <w:bCs/>
          <w:color w:val="auto"/>
        </w:rPr>
      </w:pPr>
      <w:r>
        <w:rPr>
          <w:rFonts w:hint="eastAsia"/>
          <w:b/>
          <w:bCs/>
          <w:color w:val="auto"/>
        </w:rPr>
        <w:t>（二）服务原则要求</w:t>
      </w:r>
    </w:p>
    <w:p>
      <w:pPr>
        <w:spacing w:line="360" w:lineRule="auto"/>
        <w:ind w:firstLine="420" w:firstLineChars="200"/>
        <w:rPr>
          <w:color w:val="auto"/>
        </w:rPr>
      </w:pPr>
      <w:r>
        <w:rPr>
          <w:rFonts w:hint="eastAsia"/>
          <w:color w:val="auto"/>
        </w:rPr>
        <w:t>应依据客观性和公正性原则 、经济性和可重用性原则 、可重复性和可再现性原则 、 结果 完善性原则 、最小影响原则 、规范性原则为采购人提供信息系统安全等级保护测评服务 。</w:t>
      </w:r>
    </w:p>
    <w:p>
      <w:pPr>
        <w:spacing w:line="360" w:lineRule="auto"/>
        <w:ind w:firstLine="420" w:firstLineChars="200"/>
        <w:rPr>
          <w:color w:val="auto"/>
        </w:rPr>
      </w:pPr>
      <w:r>
        <w:rPr>
          <w:rFonts w:hint="eastAsia"/>
          <w:color w:val="auto"/>
        </w:rPr>
        <w:t>（1）客观性和公正性原则</w:t>
      </w:r>
    </w:p>
    <w:p>
      <w:pPr>
        <w:spacing w:line="360" w:lineRule="auto"/>
        <w:ind w:firstLine="420" w:firstLineChars="200"/>
        <w:rPr>
          <w:color w:val="auto"/>
        </w:rPr>
      </w:pPr>
      <w:r>
        <w:rPr>
          <w:rFonts w:hint="eastAsia"/>
          <w:color w:val="auto"/>
        </w:rPr>
        <w:t>测评人员应当没有偏见 ，在最小主观判断情形下 ，按照测评双方相互认可的测评方案 ，基于明 确定义的测评方式和解释 ，实施测评活动 。</w:t>
      </w:r>
    </w:p>
    <w:p>
      <w:pPr>
        <w:spacing w:line="360" w:lineRule="auto"/>
        <w:ind w:firstLine="420" w:firstLineChars="200"/>
        <w:rPr>
          <w:color w:val="auto"/>
        </w:rPr>
      </w:pPr>
      <w:r>
        <w:rPr>
          <w:rFonts w:hint="eastAsia"/>
          <w:color w:val="auto"/>
        </w:rPr>
        <w:t>（2）可重复性和可再现性原则</w:t>
      </w:r>
    </w:p>
    <w:p>
      <w:pPr>
        <w:spacing w:line="360" w:lineRule="auto"/>
        <w:ind w:firstLine="420" w:firstLineChars="200"/>
        <w:rPr>
          <w:color w:val="auto"/>
        </w:rPr>
      </w:pPr>
      <w:r>
        <w:rPr>
          <w:rFonts w:hint="eastAsia"/>
          <w:color w:val="auto"/>
        </w:rPr>
        <w:t>不论谁执行测评 ，依照同样的要求 ，使用同样的测评方式 ，对每个测评实施过程的重复执行应 该得到同样的结果 。可再现性和可重复性的区别在于 ，前者与不同测评者测评结果的一致性有关 ， 后者与同一测评者测评结果的一致性有关 。</w:t>
      </w:r>
    </w:p>
    <w:p>
      <w:pPr>
        <w:spacing w:line="360" w:lineRule="auto"/>
        <w:ind w:firstLine="420" w:firstLineChars="200"/>
        <w:rPr>
          <w:color w:val="auto"/>
        </w:rPr>
      </w:pPr>
      <w:r>
        <w:rPr>
          <w:rFonts w:hint="eastAsia"/>
          <w:color w:val="auto"/>
        </w:rPr>
        <w:t>（3）结果完善性原则</w:t>
      </w:r>
    </w:p>
    <w:p>
      <w:pPr>
        <w:spacing w:line="360" w:lineRule="auto"/>
        <w:ind w:firstLine="420" w:firstLineChars="200"/>
        <w:rPr>
          <w:color w:val="auto"/>
        </w:rPr>
      </w:pPr>
      <w:r>
        <w:rPr>
          <w:rFonts w:hint="eastAsia"/>
          <w:color w:val="auto"/>
        </w:rPr>
        <w:t>测评所产生的结果应当证明是良好的判断和对测评项的正确理解 ，测评过程和结果应当服从正 确的测评方法以确保其满足了测评项的要求 。</w:t>
      </w:r>
    </w:p>
    <w:p>
      <w:pPr>
        <w:spacing w:line="360" w:lineRule="auto"/>
        <w:ind w:firstLine="420" w:firstLineChars="200"/>
        <w:rPr>
          <w:color w:val="auto"/>
        </w:rPr>
      </w:pPr>
      <w:r>
        <w:rPr>
          <w:rFonts w:hint="eastAsia"/>
          <w:color w:val="auto"/>
        </w:rPr>
        <w:t>（4）最小影响原则</w:t>
      </w:r>
    </w:p>
    <w:p>
      <w:pPr>
        <w:spacing w:line="360" w:lineRule="auto"/>
        <w:ind w:firstLine="420" w:firstLineChars="200"/>
        <w:rPr>
          <w:color w:val="auto"/>
        </w:rPr>
      </w:pPr>
      <w:r>
        <w:rPr>
          <w:rFonts w:hint="eastAsia"/>
          <w:color w:val="auto"/>
        </w:rPr>
        <w:t>测评工作应该尽可能小地影响系统和网络的正常运行 ，不能对业务的正常运行产生明显的影响 （包括系统性能明显下降 、 网络阻塞 、服务中断等） ，则应做出说明 。</w:t>
      </w:r>
    </w:p>
    <w:p>
      <w:pPr>
        <w:spacing w:line="360" w:lineRule="auto"/>
        <w:ind w:firstLine="420" w:firstLineChars="200"/>
        <w:rPr>
          <w:color w:val="auto"/>
        </w:rPr>
      </w:pPr>
      <w:r>
        <w:rPr>
          <w:rFonts w:hint="eastAsia"/>
          <w:color w:val="auto"/>
        </w:rPr>
        <w:t>（5）规范性原则</w:t>
      </w:r>
    </w:p>
    <w:p>
      <w:pPr>
        <w:spacing w:line="360" w:lineRule="auto"/>
        <w:ind w:firstLine="420" w:firstLineChars="200"/>
        <w:rPr>
          <w:color w:val="auto"/>
        </w:rPr>
      </w:pPr>
      <w:r>
        <w:rPr>
          <w:rFonts w:hint="eastAsia"/>
          <w:color w:val="auto"/>
        </w:rPr>
        <w:t>信息系统安全等级保护测评服务的实施应由专业的测评服务人员依照规范的操作。</w:t>
      </w:r>
    </w:p>
    <w:p>
      <w:pPr>
        <w:spacing w:line="360" w:lineRule="auto"/>
        <w:ind w:firstLine="422" w:firstLineChars="200"/>
        <w:rPr>
          <w:b/>
          <w:bCs/>
          <w:color w:val="auto"/>
        </w:rPr>
      </w:pPr>
      <w:r>
        <w:rPr>
          <w:rFonts w:hint="eastAsia"/>
          <w:b/>
          <w:bCs/>
          <w:color w:val="auto"/>
        </w:rPr>
        <w:t>（三）服务工具要求</w:t>
      </w:r>
    </w:p>
    <w:p>
      <w:pPr>
        <w:spacing w:line="360" w:lineRule="auto"/>
        <w:ind w:firstLine="420" w:firstLineChars="200"/>
        <w:rPr>
          <w:color w:val="auto"/>
        </w:rPr>
      </w:pPr>
      <w:r>
        <w:rPr>
          <w:rFonts w:hint="eastAsia"/>
          <w:color w:val="auto"/>
        </w:rPr>
        <w:t>在安全服务过程中，应采用询问、检查、测试、工具扫描等多种手段组合的方式。为确保本项目实施质量，在项目实施过程中所使用到的安全服务工具至少包括：测评软件系统工具、源代码安全审计工具、漏洞安全扫描工具，测评软件系统工具具备足够支撑测评全过程的功能，如项目前期的调研功能、现场测评及测评方案编制、风险分析、报告编制等，并且兼容其他第三方安全检查工具扫描文档上传等，系统可以实现对等级保护测评过程中的实施、测评等具体服务过程的全程监管，解决用户由于不了解等级保护测评相关标准和要求，导致无法监管在测评过程中出现的无规范、无指导、无流程等问题，保障测评过程的标准化、规范化。为用户提供监管手段，协助用户按照等级保护标准要求推进信息系统安全等级保护工作。漏洞安全扫描工具具备高效、全方位的检测网络中的各类脆弱性风险，充分发现网络设备、服务器、数据库、业务应用系统存在的安全隐患（如 ：SQL注入攻击、跨站脚本、文件包含、远程代码执行、主流CMS漏洞检测等），提供有效的安全分析和修补建议。源代码安全审计工具具备发现源代码逻辑缺陷，发现业务系统源代码安全漏洞并提供相关修正方案，从源头上发现整改安全漏洞。</w:t>
      </w:r>
    </w:p>
    <w:p>
      <w:pPr>
        <w:spacing w:line="360" w:lineRule="auto"/>
        <w:ind w:firstLine="420" w:firstLineChars="200"/>
        <w:rPr>
          <w:color w:val="auto"/>
        </w:rPr>
      </w:pPr>
      <w:r>
        <w:rPr>
          <w:rFonts w:hint="eastAsia"/>
          <w:color w:val="auto"/>
        </w:rPr>
        <w:t>本次项目的服务工具无需采购人购买，应由中标供应商提供，确保等级保护测评、源代码安全审计、数据保密性安全评估工作服务质量。中标供应商必须出具针对本项目的原厂工具使用授权书，以此保证工具和软件可用性和可靠性。本项目使用的所有服务工具和软件如下（包括但不限于）：</w:t>
      </w:r>
    </w:p>
    <w:p>
      <w:pPr>
        <w:spacing w:line="360" w:lineRule="auto"/>
        <w:ind w:firstLine="420" w:firstLineChars="200"/>
        <w:rPr>
          <w:color w:val="auto"/>
        </w:rPr>
      </w:pPr>
      <w:r>
        <w:rPr>
          <w:rFonts w:hint="eastAsia"/>
          <w:color w:val="auto"/>
        </w:rPr>
        <w:t>1、测评软件系统工具</w:t>
      </w:r>
    </w:p>
    <w:tbl>
      <w:tblPr>
        <w:tblStyle w:val="46"/>
        <w:tblW w:w="502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84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558" w:type="pct"/>
            <w:tcBorders>
              <w:top w:val="single" w:color="000000" w:sz="2" w:space="0"/>
              <w:left w:val="single" w:color="000000" w:sz="6" w:space="0"/>
              <w:bottom w:val="single" w:color="000000" w:sz="6" w:space="0"/>
              <w:right w:val="single" w:color="000000" w:sz="6" w:space="0"/>
            </w:tcBorders>
            <w:shd w:val="clear" w:color="auto" w:fill="A6A6A6"/>
            <w:noWrap/>
            <w:vAlign w:val="center"/>
          </w:tcPr>
          <w:p>
            <w:pPr>
              <w:spacing w:line="360" w:lineRule="auto"/>
              <w:jc w:val="center"/>
              <w:rPr>
                <w:b/>
                <w:bCs/>
                <w:color w:val="auto"/>
              </w:rPr>
            </w:pPr>
            <w:r>
              <w:rPr>
                <w:rFonts w:hint="eastAsia"/>
                <w:b/>
                <w:bCs/>
                <w:color w:val="auto"/>
              </w:rPr>
              <w:t>技术项</w:t>
            </w:r>
          </w:p>
        </w:tc>
        <w:tc>
          <w:tcPr>
            <w:tcW w:w="4442" w:type="pct"/>
            <w:tcBorders>
              <w:top w:val="single" w:color="000000" w:sz="2" w:space="0"/>
              <w:left w:val="single" w:color="000000" w:sz="6" w:space="0"/>
              <w:bottom w:val="single" w:color="000000" w:sz="6" w:space="0"/>
              <w:right w:val="single" w:color="000000" w:sz="2" w:space="0"/>
            </w:tcBorders>
            <w:shd w:val="clear" w:color="auto" w:fill="A6A6A6"/>
            <w:noWrap/>
            <w:vAlign w:val="center"/>
          </w:tcPr>
          <w:p>
            <w:pPr>
              <w:spacing w:line="360" w:lineRule="auto"/>
              <w:jc w:val="center"/>
              <w:rPr>
                <w:b/>
                <w:bCs/>
                <w:color w:val="auto"/>
              </w:rPr>
            </w:pPr>
            <w:r>
              <w:rPr>
                <w:rFonts w:hint="eastAsia"/>
                <w:b/>
                <w:bCs/>
                <w:color w:val="auto"/>
              </w:rPr>
              <w:t>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2" w:hRule="atLeast"/>
        </w:trPr>
        <w:tc>
          <w:tcPr>
            <w:tcW w:w="558" w:type="pct"/>
            <w:tcBorders>
              <w:top w:val="single" w:color="000000" w:sz="6" w:space="0"/>
            </w:tcBorders>
            <w:noWrap/>
            <w:vAlign w:val="center"/>
          </w:tcPr>
          <w:p>
            <w:pPr>
              <w:spacing w:line="360" w:lineRule="auto"/>
              <w:jc w:val="center"/>
              <w:rPr>
                <w:color w:val="auto"/>
              </w:rPr>
            </w:pPr>
            <w:r>
              <w:rPr>
                <w:rFonts w:hint="eastAsia"/>
                <w:color w:val="auto"/>
              </w:rPr>
              <w:t>审计功能</w:t>
            </w:r>
          </w:p>
        </w:tc>
        <w:tc>
          <w:tcPr>
            <w:tcW w:w="4442" w:type="pct"/>
            <w:tcBorders>
              <w:top w:val="single" w:color="000000" w:sz="6" w:space="0"/>
              <w:right w:val="single" w:color="000000" w:sz="2" w:space="0"/>
            </w:tcBorders>
            <w:noWrap/>
            <w:vAlign w:val="center"/>
          </w:tcPr>
          <w:p>
            <w:pPr>
              <w:spacing w:line="360" w:lineRule="auto"/>
              <w:jc w:val="left"/>
              <w:rPr>
                <w:color w:val="auto"/>
              </w:rPr>
            </w:pPr>
            <w:r>
              <w:rPr>
                <w:rFonts w:hint="eastAsia"/>
                <w:color w:val="auto"/>
              </w:rPr>
              <w:t>▲基于安全可控 ，应具备完善的日志管理 ，可对相关操作进行日志 审计 、操作回溯系统（提供截图证明并加盖投标人公章）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58" w:type="pct"/>
            <w:noWrap/>
            <w:vAlign w:val="center"/>
          </w:tcPr>
          <w:p>
            <w:pPr>
              <w:spacing w:line="360" w:lineRule="auto"/>
              <w:jc w:val="center"/>
              <w:rPr>
                <w:color w:val="auto"/>
              </w:rPr>
            </w:pPr>
            <w:r>
              <w:rPr>
                <w:rFonts w:hint="eastAsia"/>
                <w:color w:val="auto"/>
              </w:rPr>
              <w:t>测评管理</w:t>
            </w:r>
          </w:p>
        </w:tc>
        <w:tc>
          <w:tcPr>
            <w:tcW w:w="4442" w:type="pct"/>
            <w:tcBorders>
              <w:right w:val="single" w:color="000000" w:sz="2" w:space="0"/>
            </w:tcBorders>
            <w:noWrap/>
            <w:vAlign w:val="center"/>
          </w:tcPr>
          <w:p>
            <w:pPr>
              <w:spacing w:line="360" w:lineRule="auto"/>
              <w:jc w:val="left"/>
              <w:rPr>
                <w:color w:val="auto"/>
              </w:rPr>
            </w:pPr>
            <w:r>
              <w:rPr>
                <w:rFonts w:hint="eastAsia"/>
                <w:color w:val="auto"/>
              </w:rPr>
              <w:t>应具备测评全过程的核心功能 ：支持系统调研信息输入</w:t>
            </w:r>
          </w:p>
          <w:p>
            <w:pPr>
              <w:spacing w:line="360" w:lineRule="auto"/>
              <w:jc w:val="left"/>
              <w:rPr>
                <w:color w:val="auto"/>
              </w:rPr>
            </w:pPr>
            <w:r>
              <w:rPr>
                <w:rFonts w:hint="eastAsia"/>
                <w:color w:val="auto"/>
              </w:rPr>
              <w:t>▲支持现场记录 、整改建议 、 问题描述等编制 （提供截图证明并加盖投标人公章）</w:t>
            </w:r>
          </w:p>
          <w:p>
            <w:pPr>
              <w:spacing w:line="360" w:lineRule="auto"/>
              <w:jc w:val="left"/>
              <w:rPr>
                <w:color w:val="auto"/>
              </w:rPr>
            </w:pPr>
            <w:r>
              <w:rPr>
                <w:rFonts w:hint="eastAsia"/>
                <w:color w:val="auto"/>
              </w:rPr>
              <w:t xml:space="preserve"> ▲支持测评方案 、实施计划等 （测评过程材料）文件生成 、上传（提供截图证明并加盖投标人公章）</w:t>
            </w:r>
          </w:p>
          <w:p>
            <w:pPr>
              <w:spacing w:line="360" w:lineRule="auto"/>
              <w:jc w:val="left"/>
              <w:rPr>
                <w:color w:val="auto"/>
              </w:rPr>
            </w:pPr>
            <w:r>
              <w:rPr>
                <w:rFonts w:hint="eastAsia"/>
                <w:color w:val="auto"/>
              </w:rPr>
              <w:t>▲支持测评结果分析 、安全问题汇总 、安全问题风险分析 、判定汇 总（提供截图证明并加盖投标人公章）</w:t>
            </w:r>
          </w:p>
          <w:p>
            <w:pPr>
              <w:spacing w:line="360" w:lineRule="auto"/>
              <w:jc w:val="left"/>
              <w:rPr>
                <w:color w:val="auto"/>
              </w:rPr>
            </w:pPr>
            <w:r>
              <w:rPr>
                <w:rFonts w:hint="eastAsia"/>
                <w:color w:val="auto"/>
              </w:rPr>
              <w:t>对测评过程文件进行归档管理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558" w:type="pct"/>
            <w:noWrap/>
            <w:vAlign w:val="center"/>
          </w:tcPr>
          <w:p>
            <w:pPr>
              <w:spacing w:line="360" w:lineRule="auto"/>
              <w:jc w:val="center"/>
              <w:rPr>
                <w:color w:val="auto"/>
              </w:rPr>
            </w:pPr>
            <w:r>
              <w:rPr>
                <w:rFonts w:hint="eastAsia"/>
                <w:color w:val="auto"/>
              </w:rPr>
              <w:t>第三方兼容</w:t>
            </w:r>
          </w:p>
          <w:p>
            <w:pPr>
              <w:spacing w:line="360" w:lineRule="auto"/>
              <w:jc w:val="center"/>
              <w:rPr>
                <w:color w:val="auto"/>
              </w:rPr>
            </w:pPr>
            <w:r>
              <w:rPr>
                <w:rFonts w:hint="eastAsia"/>
                <w:color w:val="auto"/>
              </w:rPr>
              <w:t>支持</w:t>
            </w:r>
          </w:p>
        </w:tc>
        <w:tc>
          <w:tcPr>
            <w:tcW w:w="4442" w:type="pct"/>
            <w:tcBorders>
              <w:right w:val="single" w:color="000000" w:sz="2" w:space="0"/>
            </w:tcBorders>
            <w:noWrap/>
            <w:vAlign w:val="center"/>
          </w:tcPr>
          <w:p>
            <w:pPr>
              <w:spacing w:line="360" w:lineRule="auto"/>
              <w:jc w:val="left"/>
              <w:rPr>
                <w:color w:val="auto"/>
              </w:rPr>
            </w:pPr>
            <w:r>
              <w:rPr>
                <w:rFonts w:hint="eastAsia"/>
                <w:color w:val="auto"/>
              </w:rPr>
              <w:t>▲应支持手动填写漏洞扫描信息 ，或就漏洞扫描层面支持第三方检 查工具检查结果文档上传（提供截图证明并加盖投标人公章）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558" w:type="pct"/>
            <w:noWrap/>
            <w:vAlign w:val="center"/>
          </w:tcPr>
          <w:p>
            <w:pPr>
              <w:spacing w:line="360" w:lineRule="auto"/>
              <w:jc w:val="center"/>
              <w:rPr>
                <w:color w:val="auto"/>
              </w:rPr>
            </w:pPr>
            <w:r>
              <w:rPr>
                <w:rFonts w:hint="eastAsia"/>
                <w:color w:val="auto"/>
              </w:rPr>
              <w:t>离线支撑</w:t>
            </w:r>
          </w:p>
        </w:tc>
        <w:tc>
          <w:tcPr>
            <w:tcW w:w="4442" w:type="pct"/>
            <w:tcBorders>
              <w:right w:val="single" w:color="000000" w:sz="2" w:space="0"/>
            </w:tcBorders>
            <w:noWrap/>
            <w:vAlign w:val="center"/>
          </w:tcPr>
          <w:p>
            <w:pPr>
              <w:spacing w:line="360" w:lineRule="auto"/>
              <w:jc w:val="left"/>
              <w:rPr>
                <w:color w:val="auto"/>
              </w:rPr>
            </w:pPr>
            <w:r>
              <w:rPr>
                <w:rFonts w:hint="eastAsia"/>
                <w:color w:val="auto"/>
              </w:rPr>
              <w:t>▲应具备离线可作业机制 ，支持无网络环境脱机作业 （提供截图 证明并加盖投标人公章）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558" w:type="pct"/>
            <w:noWrap/>
            <w:vAlign w:val="center"/>
          </w:tcPr>
          <w:p>
            <w:pPr>
              <w:spacing w:line="360" w:lineRule="auto"/>
              <w:jc w:val="center"/>
              <w:rPr>
                <w:color w:val="auto"/>
              </w:rPr>
            </w:pPr>
            <w:r>
              <w:rPr>
                <w:rFonts w:hint="eastAsia"/>
                <w:color w:val="auto"/>
              </w:rPr>
              <w:t>自主研发</w:t>
            </w:r>
          </w:p>
        </w:tc>
        <w:tc>
          <w:tcPr>
            <w:tcW w:w="4442" w:type="pct"/>
            <w:tcBorders>
              <w:right w:val="single" w:color="000000" w:sz="2" w:space="0"/>
            </w:tcBorders>
            <w:noWrap/>
            <w:vAlign w:val="center"/>
          </w:tcPr>
          <w:p>
            <w:pPr>
              <w:spacing w:line="360" w:lineRule="auto"/>
              <w:jc w:val="left"/>
              <w:rPr>
                <w:color w:val="auto"/>
              </w:rPr>
            </w:pPr>
            <w:r>
              <w:rPr>
                <w:rFonts w:hint="eastAsia"/>
                <w:color w:val="auto"/>
              </w:rPr>
              <w:t xml:space="preserve">应具备计算机软件著作权登记证书 </w:t>
            </w:r>
          </w:p>
        </w:tc>
      </w:tr>
    </w:tbl>
    <w:p>
      <w:pPr>
        <w:spacing w:line="360" w:lineRule="auto"/>
        <w:ind w:firstLine="420" w:firstLineChars="200"/>
        <w:rPr>
          <w:color w:val="auto"/>
        </w:rPr>
      </w:pPr>
    </w:p>
    <w:p>
      <w:pPr>
        <w:spacing w:line="360" w:lineRule="auto"/>
        <w:ind w:firstLine="420" w:firstLineChars="200"/>
        <w:rPr>
          <w:color w:val="auto"/>
        </w:rPr>
      </w:pPr>
      <w:r>
        <w:rPr>
          <w:rFonts w:hint="eastAsia"/>
          <w:color w:val="auto"/>
        </w:rPr>
        <w:t>2、源代码安全审计工具</w:t>
      </w:r>
    </w:p>
    <w:tbl>
      <w:tblPr>
        <w:tblStyle w:val="46"/>
        <w:tblW w:w="4919" w:type="pct"/>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8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shd w:val="clear" w:color="auto" w:fill="A5A5A5"/>
            <w:noWrap/>
            <w:vAlign w:val="center"/>
          </w:tcPr>
          <w:p>
            <w:pPr>
              <w:spacing w:line="360" w:lineRule="auto"/>
              <w:jc w:val="center"/>
              <w:rPr>
                <w:b/>
                <w:bCs/>
                <w:color w:val="auto"/>
              </w:rPr>
            </w:pPr>
            <w:r>
              <w:rPr>
                <w:rFonts w:hint="eastAsia"/>
                <w:b/>
                <w:bCs/>
                <w:color w:val="auto"/>
              </w:rPr>
              <w:t>技术项</w:t>
            </w:r>
          </w:p>
        </w:tc>
        <w:tc>
          <w:tcPr>
            <w:tcW w:w="4275" w:type="pct"/>
            <w:shd w:val="clear" w:color="auto" w:fill="A5A5A5"/>
            <w:noWrap/>
            <w:vAlign w:val="center"/>
          </w:tcPr>
          <w:p>
            <w:pPr>
              <w:spacing w:line="360" w:lineRule="auto"/>
              <w:jc w:val="center"/>
              <w:rPr>
                <w:b/>
                <w:bCs/>
                <w:color w:val="auto"/>
              </w:rPr>
            </w:pPr>
            <w:r>
              <w:rPr>
                <w:rFonts w:hint="eastAsia"/>
                <w:b/>
                <w:bCs/>
                <w:color w:val="auto"/>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r>
              <w:rPr>
                <w:rFonts w:hint="eastAsia"/>
                <w:color w:val="auto"/>
              </w:rPr>
              <w:t>产品资质</w:t>
            </w:r>
          </w:p>
        </w:tc>
        <w:tc>
          <w:tcPr>
            <w:tcW w:w="4275" w:type="pct"/>
            <w:noWrap/>
            <w:vAlign w:val="center"/>
          </w:tcPr>
          <w:p>
            <w:pPr>
              <w:spacing w:line="360" w:lineRule="auto"/>
              <w:jc w:val="left"/>
              <w:rPr>
                <w:color w:val="auto"/>
              </w:rPr>
            </w:pPr>
            <w:r>
              <w:rPr>
                <w:rFonts w:hint="eastAsia"/>
                <w:color w:val="auto"/>
              </w:rPr>
              <w:t>▲国内自主研发产品，并提供厂家针对本项目的原厂授权书。（提供授权证明材料加盖投标人公章）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具有中华人民共和国国家版权局颁发的计算机软件著作权登记证书。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具有国家信息安全漏洞库兼容性资质证书。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具有公安部颁发的软件源代码安全缺陷检测产品的《计算机信息系统安全专用产品销售许可证》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r>
              <w:rPr>
                <w:rFonts w:hint="eastAsia"/>
                <w:color w:val="auto"/>
              </w:rPr>
              <w:t>源代码缺陷分析功能</w:t>
            </w:r>
          </w:p>
        </w:tc>
        <w:tc>
          <w:tcPr>
            <w:tcW w:w="4275" w:type="pct"/>
            <w:noWrap/>
            <w:vAlign w:val="center"/>
          </w:tcPr>
          <w:p>
            <w:pPr>
              <w:spacing w:line="360" w:lineRule="auto"/>
              <w:jc w:val="left"/>
              <w:rPr>
                <w:color w:val="auto"/>
              </w:rPr>
            </w:pPr>
            <w:r>
              <w:rPr>
                <w:rFonts w:hint="eastAsia"/>
                <w:color w:val="auto"/>
              </w:rPr>
              <w:t>▲（1）支持C/C++、Objective-C、C#、Java、PHP、Swift、Go、Python、Cobol、Node.js等主流编程语言开发的软件源代码的缺陷检测。</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▲（2）支持代码注入、跨站脚本、输入验证、危险函数、代码质量、API误用、密码管理、异常处理等常见安全缺陷问题的检测，二级缺陷类型不低于1400个。</w:t>
            </w:r>
          </w:p>
          <w:p>
            <w:pPr>
              <w:spacing w:line="360" w:lineRule="auto"/>
              <w:jc w:val="left"/>
              <w:rPr>
                <w:color w:val="auto"/>
              </w:rPr>
            </w:pPr>
            <w:r>
              <w:rPr>
                <w:rFonts w:hint="eastAsia"/>
                <w:color w:val="auto"/>
              </w:rPr>
              <w:t>注：提供产品界面截图或证明材料，并加盖投标人公章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（3）支持用户对源代码缺陷分析模板的灵活配置，具体到每一个缺陷类型。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▲（4）支持函数白名单功能，检测过程中自动识别白名单函数进行路径裁剪，减少误报。注：提供产品界面截图，并加盖投标人公章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（5）支持文件/文件夹白名单功能，可以对多个文件或文件夹进行过滤，不统计该文件和文件夹下检测的问题结果，提高系统检测精准性。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 xml:space="preserve">（6）支持对检测失败的任务重新发起检测，无需重新上传代码。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（7）支持通过产品界面下载单个检测任务的检测日志。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（8）检测完成后，系统能够自动以邮件方式将检测结果通知到指定人员。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（9）支持配置单个检测任务的回调地址，检测任务结束后，可以主动通知第三方系统检测任务状态和任务摘要信息。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r>
              <w:rPr>
                <w:rFonts w:hint="eastAsia"/>
                <w:color w:val="auto"/>
              </w:rPr>
              <w:t>源代码缺陷审计功能</w:t>
            </w:r>
          </w:p>
        </w:tc>
        <w:tc>
          <w:tcPr>
            <w:tcW w:w="4275" w:type="pct"/>
            <w:noWrap/>
            <w:vAlign w:val="center"/>
          </w:tcPr>
          <w:p>
            <w:pPr>
              <w:spacing w:line="360" w:lineRule="auto"/>
              <w:jc w:val="left"/>
              <w:rPr>
                <w:color w:val="auto"/>
              </w:rPr>
            </w:pPr>
            <w:r>
              <w:rPr>
                <w:rFonts w:hint="eastAsia"/>
                <w:color w:val="auto"/>
              </w:rPr>
              <w:t>（1）能够对源代码安全扫描结果进行汇总，并按照问题的严重性和可能性进行威胁级别的划分，如高、中、低等多个级别。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（2）能够针对同种类型的安全问题成因路径进行统一展示，便于找到最佳修复节点。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▲（3）能够迅速定位某一特定源代码安全问题所在源代码行，对问题产生的整个过程进行跟踪。</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（4）能够提供中文的源代码安全问题分类、问题描述及修复建议。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▲（5）能够对当前问题进行审计，修改问题等级以及修改问题状态为是问题、不是问题、遗留问题。</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（6）能够记录结果的审计信息，包括人员、时间和审计信息等。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（7）能够对检测结果按照缺陷类型、审计状态、文件名进行过滤查询。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▲（8）支持按照安全缺陷、质量问题、错误编码分类对缺陷进行分类显示，能够对检测结果列表进行全文检索。</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（9）支持审计信息携带，能够将上一版本的人工审计信息携带到下一版本的检测结果中，无需重复审计，降低审计成本。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10）能够根据任务名称、创建者、开发语言、检测状态、检测开始时间、问题数量等多种条件对源代码检测任务进行查询，针对每一个源代码检测任务能够展现相关信息，如任务名称、开发语言、检测开始时间、检测完成时间、检测状态、问题总数、等级分布以及创建者。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r>
              <w:rPr>
                <w:rFonts w:hint="eastAsia"/>
                <w:color w:val="auto"/>
              </w:rPr>
              <w:t>统计分析功能</w:t>
            </w:r>
          </w:p>
        </w:tc>
        <w:tc>
          <w:tcPr>
            <w:tcW w:w="4275" w:type="pct"/>
            <w:noWrap/>
            <w:vAlign w:val="center"/>
          </w:tcPr>
          <w:p>
            <w:pPr>
              <w:spacing w:line="360" w:lineRule="auto"/>
              <w:jc w:val="left"/>
              <w:rPr>
                <w:color w:val="auto"/>
              </w:rPr>
            </w:pPr>
            <w:r>
              <w:rPr>
                <w:rFonts w:hint="eastAsia"/>
                <w:color w:val="auto"/>
              </w:rPr>
              <w:t>▲（1）能够根据检测时间、检测方式、任务类型、缺陷等级选择一至多个检测任务进行统计，统计显示各部门任务数、总代码行数、缺陷总数、平均缺陷密度等信息。</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（2）支持部门维度的数据统计，展示部门的缺陷数量、平均缺陷密度统计信息。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▲（3）支持缺陷类型维度的数据统计，能够展示出现次数最多的TOP10缺陷类型及数量。注：提供产品界面截图，并加盖投标人公章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（4）支持配置缺陷类型集合作为统计分析模板，可以统计指定缺陷类型的检测结果。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r>
              <w:rPr>
                <w:rFonts w:hint="eastAsia"/>
                <w:color w:val="auto"/>
              </w:rPr>
              <w:t>源代码缺陷分析报告功能</w:t>
            </w:r>
          </w:p>
        </w:tc>
        <w:tc>
          <w:tcPr>
            <w:tcW w:w="4275" w:type="pct"/>
            <w:noWrap/>
            <w:vAlign w:val="center"/>
          </w:tcPr>
          <w:p>
            <w:pPr>
              <w:spacing w:line="360" w:lineRule="auto"/>
              <w:jc w:val="left"/>
              <w:rPr>
                <w:color w:val="auto"/>
              </w:rPr>
            </w:pPr>
            <w:r>
              <w:rPr>
                <w:rFonts w:hint="eastAsia"/>
                <w:color w:val="auto"/>
              </w:rPr>
              <w:t>▲（1）检测报告应能够根据用户角色分为概要报告和详细报告。概要报告主要包括问题等级及问题类型等基本统计信息，详细报告除了包括问题等级及问题类型等基本统计信息外，还应包括问题分类、问题描述、修复建议、风险点、问题跟踪信息、审计日志等详细信息。</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（2）报告内容可对问题等级、问题类型、修复建议、跟踪路径、审计日志根据需求进行定制。提供包括word、excel、pdf等多种格式的检测报告。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bookmarkStart w:id="114" w:name="OLE_LINK3" w:colFirst="1" w:colLast="1"/>
            <w:r>
              <w:rPr>
                <w:rFonts w:hint="eastAsia"/>
                <w:color w:val="auto"/>
              </w:rPr>
              <w:t>系统管理功能</w:t>
            </w:r>
          </w:p>
        </w:tc>
        <w:tc>
          <w:tcPr>
            <w:tcW w:w="4275" w:type="pct"/>
            <w:noWrap/>
            <w:vAlign w:val="center"/>
          </w:tcPr>
          <w:p>
            <w:pPr>
              <w:spacing w:line="360" w:lineRule="auto"/>
              <w:jc w:val="left"/>
              <w:rPr>
                <w:color w:val="auto"/>
              </w:rPr>
            </w:pPr>
            <w:r>
              <w:rPr>
                <w:rFonts w:hint="eastAsia"/>
                <w:color w:val="auto"/>
              </w:rPr>
              <w:t>▲（1）系统为B/S架构，支持多用户同时使用浏览器访问，支持4个检测任务并发执行，检测任务并发数可通过产品界面配置。</w:t>
            </w:r>
          </w:p>
          <w:p>
            <w:pPr>
              <w:spacing w:line="360" w:lineRule="auto"/>
              <w:jc w:val="left"/>
              <w:rPr>
                <w:color w:val="auto"/>
              </w:rPr>
            </w:pPr>
            <w:r>
              <w:rPr>
                <w:rFonts w:hint="eastAsia"/>
                <w:color w:val="auto"/>
              </w:rPr>
              <w:t>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（2）支持自定义角色权限。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（3）能够对检测队列进行管理，如删除正在执行的任务，调整任务优先级等。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（4）能够提供系统操作日志，记录用户的关键操作；能够提供系统错误日志，记录关键的错误信息。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（5）可支持通过系统界面下载系统日志和引擎日志。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（6）能够实时查看系统运行状态，包括CPU、内存、硬盘等信息，引擎内存可通过产品界面配置。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（7）提供系统清理功能，能够自定义清除策略，包括清除时间、检测类型等，对历史数据进行自动清除。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▲（8）提供自定义检测规则功能，自主添加检测规则用于源代码缺陷检测。注：提供产品界面截图，并加盖投标人公章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（9）提供缺陷知识库在线查看，能够根据缺陷类型、关键词、威胁等级等条件进行搜索，分语言和类型显示该缺陷的等级、详细信息、修复建议和参考信息内容。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（10）提供缺陷知识库维护功能，可对任意一条缺陷的威胁等级、详细信息、修复建议进行修改和重置，同时可以一键重置全部已修改的知识库。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（11）提供系统级数据统计功能，可查看系统使用状况，可展示系统使用的部门数、用户数、激活用户数、月活跃用户数，源代码数。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（12）提供系统级审计日志报告导出功能，可导出和下载指定时间段内的审计日志报告。</w:t>
            </w:r>
          </w:p>
        </w:tc>
      </w:tr>
      <w:bookmarkEnd w:id="1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restart"/>
            <w:noWrap/>
            <w:vAlign w:val="center"/>
          </w:tcPr>
          <w:p>
            <w:pPr>
              <w:spacing w:line="360" w:lineRule="auto"/>
              <w:jc w:val="center"/>
              <w:rPr>
                <w:color w:val="auto"/>
              </w:rPr>
            </w:pPr>
            <w:bookmarkStart w:id="115" w:name="OLE_LINK4" w:colFirst="1" w:colLast="1"/>
            <w:r>
              <w:rPr>
                <w:rFonts w:hint="eastAsia"/>
                <w:color w:val="auto"/>
              </w:rPr>
              <w:t>第三方工具集成能力</w:t>
            </w:r>
          </w:p>
        </w:tc>
        <w:tc>
          <w:tcPr>
            <w:tcW w:w="4275" w:type="pct"/>
            <w:noWrap/>
            <w:vAlign w:val="center"/>
          </w:tcPr>
          <w:p>
            <w:pPr>
              <w:spacing w:line="360" w:lineRule="auto"/>
              <w:jc w:val="left"/>
              <w:rPr>
                <w:color w:val="auto"/>
              </w:rPr>
            </w:pPr>
            <w:r>
              <w:rPr>
                <w:rFonts w:hint="eastAsia"/>
                <w:color w:val="auto"/>
              </w:rPr>
              <w:t>▲（1）系统支持本地直接发起检测任务，也可以从SVN、GIT、TFS、StarTeam、等代码仓库获取代码发起检测任务，同时源代码来源支持FTP和共享目录；注：提供产品界面截图，并加盖投标人公章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（2）支持构建工具集成，如Maven，Gradle，支持自动获取被测源代码的第三方依赖进行检测。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（3）"可以从Visual Studio、Eclipse、intelliJ直接发起检测任务并查看检测结果，对结果进行审计。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4" w:type="pct"/>
            <w:vMerge w:val="continue"/>
            <w:noWrap/>
            <w:vAlign w:val="center"/>
          </w:tcPr>
          <w:p>
            <w:pPr>
              <w:spacing w:line="360" w:lineRule="auto"/>
              <w:jc w:val="center"/>
              <w:rPr>
                <w:color w:val="auto"/>
              </w:rPr>
            </w:pPr>
          </w:p>
        </w:tc>
        <w:tc>
          <w:tcPr>
            <w:tcW w:w="4275" w:type="pct"/>
            <w:noWrap/>
            <w:vAlign w:val="center"/>
          </w:tcPr>
          <w:p>
            <w:pPr>
              <w:spacing w:line="360" w:lineRule="auto"/>
              <w:jc w:val="left"/>
              <w:rPr>
                <w:color w:val="auto"/>
              </w:rPr>
            </w:pPr>
            <w:r>
              <w:rPr>
                <w:rFonts w:hint="eastAsia"/>
                <w:color w:val="auto"/>
              </w:rPr>
              <w:t>（4）对外提供二次开发接口，支持外部系统同步用户、发起检测任务、获取任务结果和缺陷详情以及离线报告生成、查询、下载等功能。</w:t>
            </w:r>
          </w:p>
        </w:tc>
      </w:tr>
      <w:bookmarkEnd w:id="115"/>
    </w:tbl>
    <w:p>
      <w:pPr>
        <w:spacing w:line="360" w:lineRule="auto"/>
        <w:ind w:firstLine="420" w:firstLineChars="200"/>
        <w:rPr>
          <w:color w:val="auto"/>
        </w:rPr>
      </w:pPr>
    </w:p>
    <w:p>
      <w:pPr>
        <w:spacing w:line="360" w:lineRule="auto"/>
        <w:ind w:firstLine="420" w:firstLineChars="200"/>
        <w:rPr>
          <w:color w:val="auto"/>
        </w:rPr>
      </w:pPr>
      <w:r>
        <w:rPr>
          <w:rFonts w:hint="eastAsia"/>
          <w:color w:val="auto"/>
        </w:rPr>
        <w:t>3、漏洞扫描工具</w:t>
      </w:r>
    </w:p>
    <w:tbl>
      <w:tblPr>
        <w:tblStyle w:val="46"/>
        <w:tblW w:w="959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8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noWrap/>
            <w:vAlign w:val="center"/>
          </w:tcPr>
          <w:p>
            <w:pPr>
              <w:spacing w:line="360" w:lineRule="auto"/>
              <w:jc w:val="center"/>
              <w:rPr>
                <w:b/>
                <w:bCs/>
                <w:color w:val="auto"/>
                <w:lang w:val="en-GB"/>
              </w:rPr>
            </w:pPr>
            <w:bookmarkStart w:id="116" w:name="_Hlk101887500"/>
            <w:r>
              <w:rPr>
                <w:rFonts w:hint="eastAsia"/>
                <w:b/>
                <w:bCs/>
                <w:color w:val="auto"/>
                <w:lang w:val="en-GB"/>
              </w:rPr>
              <w:t>工具名称</w:t>
            </w:r>
          </w:p>
        </w:tc>
        <w:tc>
          <w:tcPr>
            <w:tcW w:w="8346" w:type="dxa"/>
            <w:noWrap/>
            <w:vAlign w:val="center"/>
          </w:tcPr>
          <w:p>
            <w:pPr>
              <w:spacing w:line="360" w:lineRule="auto"/>
              <w:jc w:val="center"/>
              <w:rPr>
                <w:b/>
                <w:bCs/>
                <w:color w:val="auto"/>
                <w:lang w:val="en-GB"/>
              </w:rPr>
            </w:pPr>
            <w:r>
              <w:rPr>
                <w:rFonts w:hint="eastAsia"/>
                <w:b/>
                <w:bCs/>
                <w:color w:val="auto"/>
                <w:lang w:val="en-GB"/>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noWrap/>
            <w:vAlign w:val="center"/>
          </w:tcPr>
          <w:p>
            <w:pPr>
              <w:spacing w:line="360" w:lineRule="auto"/>
              <w:jc w:val="center"/>
              <w:rPr>
                <w:color w:val="auto"/>
                <w:lang w:val="en-GB"/>
              </w:rPr>
            </w:pPr>
            <w:r>
              <w:rPr>
                <w:rFonts w:hint="eastAsia"/>
                <w:color w:val="auto"/>
                <w:lang w:val="en-GB"/>
              </w:rPr>
              <w:t>漏洞扫描工具</w:t>
            </w:r>
          </w:p>
        </w:tc>
        <w:tc>
          <w:tcPr>
            <w:tcW w:w="8346" w:type="dxa"/>
            <w:noWrap/>
          </w:tcPr>
          <w:p>
            <w:pPr>
              <w:spacing w:line="360" w:lineRule="auto"/>
              <w:jc w:val="left"/>
              <w:rPr>
                <w:color w:val="auto"/>
                <w:lang w:val="en-GB"/>
              </w:rPr>
            </w:pPr>
            <w:r>
              <w:rPr>
                <w:rFonts w:hint="eastAsia"/>
                <w:color w:val="auto"/>
                <w:lang w:val="en-GB"/>
              </w:rPr>
              <w:t>（1）标准机架式设备，6个千兆电口，1个扩展槽。</w:t>
            </w:r>
          </w:p>
          <w:p>
            <w:pPr>
              <w:spacing w:line="360" w:lineRule="auto"/>
              <w:jc w:val="left"/>
              <w:rPr>
                <w:color w:val="auto"/>
                <w:lang w:val="en-GB"/>
              </w:rPr>
            </w:pPr>
            <w:r>
              <w:rPr>
                <w:rFonts w:hint="eastAsia"/>
                <w:color w:val="auto"/>
                <w:lang w:val="en-GB"/>
              </w:rPr>
              <w:t>（2）最大扫描IP数：无限制，并发任务数≥10个，并发主机数≥128个。</w:t>
            </w:r>
          </w:p>
          <w:p>
            <w:pPr>
              <w:spacing w:line="360" w:lineRule="auto"/>
              <w:jc w:val="left"/>
              <w:rPr>
                <w:color w:val="auto"/>
                <w:lang w:val="en-GB"/>
              </w:rPr>
            </w:pPr>
            <w:r>
              <w:rPr>
                <w:rFonts w:hint="eastAsia"/>
                <w:color w:val="auto"/>
                <w:lang w:val="en-GB"/>
              </w:rPr>
              <w:t>（3）扫描技术：支持智能服务识别、安全优化扫描、授权登录扫描、恶意代码检测、补丁联动等。</w:t>
            </w:r>
          </w:p>
          <w:p>
            <w:pPr>
              <w:spacing w:line="360" w:lineRule="auto"/>
              <w:jc w:val="left"/>
              <w:rPr>
                <w:color w:val="auto"/>
                <w:lang w:val="en-GB"/>
              </w:rPr>
            </w:pPr>
            <w:r>
              <w:rPr>
                <w:rFonts w:hint="eastAsia"/>
                <w:color w:val="auto"/>
                <w:lang w:val="en-GB"/>
              </w:rPr>
              <w:t>▲（4）系统漏洞知识库的检测脚本大于120000条，所有的检测脚本都能够在产品中随机进行浏览和多维度检索。（需提供本功能截图证明并加盖投标人公章）</w:t>
            </w:r>
          </w:p>
          <w:p>
            <w:pPr>
              <w:spacing w:line="360" w:lineRule="auto"/>
              <w:jc w:val="left"/>
              <w:rPr>
                <w:color w:val="auto"/>
                <w:lang w:val="en-GB"/>
              </w:rPr>
            </w:pPr>
            <w:r>
              <w:rPr>
                <w:rFonts w:hint="eastAsia"/>
                <w:color w:val="auto"/>
                <w:lang w:val="en-GB"/>
              </w:rPr>
              <w:t>▲（5）系统漏洞知识库兼容CVE、CNCVE、CNNVD、CNVD、CVSS、Bugtraq等主流标准。（需提供本功能截图证明并加盖投标人公章）</w:t>
            </w:r>
          </w:p>
          <w:p>
            <w:pPr>
              <w:spacing w:line="360" w:lineRule="auto"/>
              <w:jc w:val="left"/>
              <w:rPr>
                <w:color w:val="auto"/>
                <w:lang w:val="en-GB"/>
              </w:rPr>
            </w:pPr>
            <w:r>
              <w:rPr>
                <w:rFonts w:hint="eastAsia"/>
                <w:color w:val="auto"/>
                <w:lang w:val="en-GB"/>
              </w:rPr>
              <w:t>▲（6）支持将扫描结果以HTML、WORD、PDF、XML、XLSX等通用格式导出。（需提供本功能截图证明并加盖投标人公章）</w:t>
            </w:r>
          </w:p>
          <w:p>
            <w:pPr>
              <w:spacing w:line="360" w:lineRule="auto"/>
              <w:jc w:val="left"/>
              <w:rPr>
                <w:color w:val="auto"/>
                <w:lang w:val="en-GB"/>
              </w:rPr>
            </w:pPr>
            <w:r>
              <w:rPr>
                <w:rFonts w:hint="eastAsia"/>
                <w:color w:val="auto"/>
                <w:lang w:val="en-GB"/>
              </w:rPr>
              <w:t>（7）扫描报告包含漏洞描述、漏洞详情、风险级别、加固建议等。</w:t>
            </w:r>
          </w:p>
          <w:p>
            <w:pPr>
              <w:spacing w:line="360" w:lineRule="auto"/>
              <w:jc w:val="left"/>
              <w:rPr>
                <w:color w:val="auto"/>
                <w:lang w:val="en-GB"/>
              </w:rPr>
            </w:pPr>
            <w:r>
              <w:rPr>
                <w:rFonts w:hint="eastAsia"/>
                <w:color w:val="auto"/>
                <w:lang w:val="en-GB"/>
              </w:rPr>
              <w:t>▲（8）支持扫描任务的合并功能，合并后的任务可统一出具报告，并保留合并前的任务及报告。（需提供本功能截图证明并加盖投标人公章）</w:t>
            </w:r>
          </w:p>
          <w:p>
            <w:pPr>
              <w:spacing w:line="360" w:lineRule="auto"/>
              <w:jc w:val="left"/>
              <w:rPr>
                <w:color w:val="auto"/>
                <w:lang w:val="en-GB"/>
              </w:rPr>
            </w:pPr>
            <w:r>
              <w:rPr>
                <w:rFonts w:hint="eastAsia"/>
                <w:color w:val="auto"/>
                <w:lang w:val="en-GB"/>
              </w:rPr>
              <w:t>▲（9）支持扫描任务的对比分析功能，不仅可以灵活选择不同时间段的扫描任务进行对比分析，了解新增漏洞、减少漏洞的相关数据。还可以自动与上一次的扫描任务进行对比，自动获得新发现漏洞、已修复漏洞的相关数据。（需提供本功能截图证明并加盖投标人公章）</w:t>
            </w:r>
          </w:p>
          <w:p>
            <w:pPr>
              <w:spacing w:line="360" w:lineRule="auto"/>
              <w:jc w:val="left"/>
              <w:rPr>
                <w:color w:val="auto"/>
                <w:lang w:val="en-GB"/>
              </w:rPr>
            </w:pPr>
            <w:r>
              <w:rPr>
                <w:rFonts w:hint="eastAsia"/>
                <w:color w:val="auto"/>
                <w:lang w:val="en-GB"/>
              </w:rPr>
              <w:t>▲（10）支持SSH、TELNET、SMB、RDP、FTP、POP3、SMTP、SNMP、REDIS、ORACLE、MSSQL、MYSQL、POSTGRES、IMAP、LDAP2、RLOGIN、RTSP、SIP、S7-300、VNC等协议。（需提供本功能截图证明并加盖投标人公章）</w:t>
            </w:r>
          </w:p>
          <w:p>
            <w:pPr>
              <w:spacing w:line="360" w:lineRule="auto"/>
              <w:jc w:val="left"/>
              <w:rPr>
                <w:color w:val="auto"/>
                <w:lang w:val="en-GB"/>
              </w:rPr>
            </w:pPr>
            <w:r>
              <w:rPr>
                <w:rFonts w:hint="eastAsia"/>
                <w:color w:val="auto"/>
                <w:lang w:val="en-GB"/>
              </w:rPr>
              <w:t>（11）支持用户权限的分级别管理。可以限定用户允许登陆IP地址范围，限定用户允许扫描IP地址范围及允许扫描的网站。</w:t>
            </w:r>
          </w:p>
          <w:p>
            <w:pPr>
              <w:spacing w:line="360" w:lineRule="auto"/>
              <w:jc w:val="left"/>
              <w:rPr>
                <w:color w:val="auto"/>
                <w:lang w:val="en-GB"/>
              </w:rPr>
            </w:pPr>
            <w:r>
              <w:rPr>
                <w:rFonts w:hint="eastAsia"/>
                <w:color w:val="auto"/>
                <w:lang w:val="en-GB"/>
              </w:rPr>
              <w:t>（12）支持角色的增删改，默认角色有系统管理员、安全审计员、安全保密管理员。</w:t>
            </w:r>
          </w:p>
          <w:p>
            <w:pPr>
              <w:spacing w:line="360" w:lineRule="auto"/>
              <w:jc w:val="left"/>
              <w:rPr>
                <w:color w:val="auto"/>
                <w:lang w:val="en-GB"/>
              </w:rPr>
            </w:pPr>
            <w:r>
              <w:rPr>
                <w:rFonts w:hint="eastAsia"/>
                <w:color w:val="auto"/>
                <w:lang w:val="en-GB"/>
              </w:rPr>
              <w:t>▲（13）支持设置预警短信平台，包括阿里云短信、腾讯云短信、网易云信，可以将漏洞扫描结果通过短信发送给安全管理员，短信内容支持定制。（需提供本功能截图证明并加盖投标人公章）</w:t>
            </w:r>
          </w:p>
          <w:p>
            <w:pPr>
              <w:spacing w:line="360" w:lineRule="auto"/>
              <w:jc w:val="left"/>
              <w:rPr>
                <w:color w:val="auto"/>
                <w:lang w:val="en-GB"/>
              </w:rPr>
            </w:pPr>
            <w:r>
              <w:rPr>
                <w:rFonts w:hint="eastAsia"/>
                <w:color w:val="auto"/>
                <w:lang w:val="en-GB"/>
              </w:rPr>
              <w:t>▲（14）支持日志的查询、删除、导出、导入，支持按用户名、操作事件、IP地址、开始时间、结束时间进行查询，支持设置最大存储空间。</w:t>
            </w:r>
          </w:p>
          <w:p>
            <w:pPr>
              <w:spacing w:line="360" w:lineRule="auto"/>
              <w:jc w:val="left"/>
              <w:rPr>
                <w:color w:val="auto"/>
                <w:lang w:val="en-GB"/>
              </w:rPr>
            </w:pPr>
            <w:r>
              <w:rPr>
                <w:rFonts w:hint="eastAsia"/>
                <w:color w:val="auto"/>
                <w:lang w:val="en-GB"/>
              </w:rPr>
              <w:t>（15）支持数据备份，可以对当前系统、数据进行备份，也可以上传备份文件进行恢复。</w:t>
            </w:r>
          </w:p>
          <w:p>
            <w:pPr>
              <w:spacing w:line="360" w:lineRule="auto"/>
              <w:jc w:val="left"/>
              <w:rPr>
                <w:color w:val="auto"/>
                <w:lang w:val="en-GB"/>
              </w:rPr>
            </w:pPr>
            <w:r>
              <w:rPr>
                <w:rFonts w:hint="eastAsia"/>
                <w:color w:val="auto"/>
                <w:lang w:val="en-GB"/>
              </w:rPr>
              <w:t>（16）支持配置网卡、重启、关机，可以查看CPU、内存、硬盘等占用情况，以及引擎版本、策略版本等信息。</w:t>
            </w:r>
          </w:p>
          <w:p>
            <w:pPr>
              <w:spacing w:line="360" w:lineRule="auto"/>
              <w:jc w:val="left"/>
              <w:rPr>
                <w:color w:val="auto"/>
                <w:lang w:val="en-GB"/>
              </w:rPr>
            </w:pPr>
            <w:r>
              <w:rPr>
                <w:rFonts w:hint="eastAsia"/>
                <w:color w:val="auto"/>
                <w:lang w:val="en-GB"/>
              </w:rPr>
              <w:t>▲（17）提供诊断工具，包括ping、traceroute、curl、摘要算法（MD5和SHA等）、编/解码、加/解密等。（需提供本功能截图证明并加盖投标人公章）</w:t>
            </w:r>
          </w:p>
          <w:p>
            <w:pPr>
              <w:spacing w:line="360" w:lineRule="auto"/>
              <w:jc w:val="left"/>
              <w:rPr>
                <w:color w:val="auto"/>
                <w:lang w:val="en-GB"/>
              </w:rPr>
            </w:pPr>
            <w:r>
              <w:rPr>
                <w:rFonts w:hint="eastAsia"/>
                <w:color w:val="auto"/>
                <w:lang w:val="en-GB"/>
              </w:rPr>
              <w:t>▲（18）支持查看、配置各网口的IP地址，支持将WEB页面管理的admin、audit、secret的密码重置为出厂默认值。（需提供本功能截图证明并加盖投标人公章）</w:t>
            </w:r>
          </w:p>
          <w:p>
            <w:pPr>
              <w:spacing w:line="360" w:lineRule="auto"/>
              <w:jc w:val="left"/>
              <w:rPr>
                <w:color w:val="auto"/>
                <w:lang w:val="en-GB"/>
              </w:rPr>
            </w:pPr>
            <w:r>
              <w:rPr>
                <w:rFonts w:hint="eastAsia"/>
                <w:color w:val="auto"/>
                <w:lang w:val="en-GB"/>
              </w:rPr>
              <w:t>（19）支持脆弱性分析大屏展示，通过大屏展示各类漏洞地理分布情况，资产统计，漏洞统计，最新漏洞、风险趋势等。</w:t>
            </w:r>
          </w:p>
          <w:p>
            <w:pPr>
              <w:spacing w:line="360" w:lineRule="auto"/>
              <w:jc w:val="left"/>
              <w:rPr>
                <w:color w:val="auto"/>
                <w:lang w:val="en-GB"/>
              </w:rPr>
            </w:pPr>
            <w:r>
              <w:rPr>
                <w:rFonts w:hint="eastAsia"/>
                <w:color w:val="auto"/>
                <w:lang w:val="en-GB"/>
              </w:rPr>
              <w:t>（20）支持向下级引擎下达扫描任务，接收下级引擎上传的扫描结果，进行统一分析。</w:t>
            </w:r>
          </w:p>
          <w:p>
            <w:pPr>
              <w:spacing w:line="360" w:lineRule="auto"/>
              <w:jc w:val="left"/>
              <w:rPr>
                <w:color w:val="auto"/>
                <w:lang w:val="en-GB"/>
              </w:rPr>
            </w:pPr>
            <w:r>
              <w:rPr>
                <w:rFonts w:hint="eastAsia"/>
                <w:color w:val="auto"/>
                <w:lang w:val="en-GB"/>
              </w:rPr>
              <w:t>（21）支持和微软WSUS补丁更新系统进行联动，进行补丁加固。</w:t>
            </w:r>
          </w:p>
          <w:p>
            <w:pPr>
              <w:spacing w:line="360" w:lineRule="auto"/>
              <w:jc w:val="left"/>
              <w:rPr>
                <w:color w:val="auto"/>
                <w:lang w:val="en-GB"/>
              </w:rPr>
            </w:pPr>
            <w:r>
              <w:rPr>
                <w:rFonts w:hint="eastAsia"/>
                <w:color w:val="auto"/>
                <w:lang w:val="en-GB"/>
              </w:rPr>
              <w:t>（22）采用B/S模式管理，通过浏览器就可以正常使用、维护，不需要再安装其它软件。</w:t>
            </w:r>
          </w:p>
          <w:p>
            <w:pPr>
              <w:spacing w:line="360" w:lineRule="auto"/>
              <w:jc w:val="left"/>
              <w:rPr>
                <w:color w:val="auto"/>
                <w:lang w:val="en-GB"/>
              </w:rPr>
            </w:pPr>
            <w:r>
              <w:rPr>
                <w:rFonts w:hint="eastAsia"/>
                <w:color w:val="auto"/>
                <w:lang w:val="en-GB"/>
              </w:rPr>
              <w:t>▲（23）可根据实际情况扩展WEB扫描模块、网站安全监控模块、安全基线检查模块模块、工控漏洞扫描模块、工控漏洞扫描加强版模块、视频监控安全扫描模块、大数据漏洞扫描模块、数据库漏洞扫描模块、APP漏洞扫描模块、Docker漏洞扫描模块、WINDOWS加固模块、等保测评模块等。</w:t>
            </w:r>
          </w:p>
          <w:p>
            <w:pPr>
              <w:spacing w:line="360" w:lineRule="auto"/>
              <w:jc w:val="left"/>
              <w:rPr>
                <w:color w:val="auto"/>
                <w:lang w:val="en-GB"/>
              </w:rPr>
            </w:pPr>
            <w:r>
              <w:rPr>
                <w:rFonts w:hint="eastAsia"/>
                <w:color w:val="auto"/>
                <w:lang w:val="en-GB"/>
              </w:rPr>
              <w:t>（24）需提供公安部颁发的《计算机信息系统安全专用产品销售许可证》。</w:t>
            </w:r>
          </w:p>
          <w:p>
            <w:pPr>
              <w:spacing w:line="360" w:lineRule="auto"/>
              <w:jc w:val="left"/>
              <w:rPr>
                <w:color w:val="auto"/>
                <w:lang w:val="en-GB"/>
              </w:rPr>
            </w:pPr>
            <w:r>
              <w:rPr>
                <w:rFonts w:hint="eastAsia"/>
                <w:color w:val="auto"/>
                <w:lang w:val="en-GB"/>
              </w:rPr>
              <w:t>（25）需提供中国信息安全认证中心颁发的《中国国家信息安全产品认证证书》。</w:t>
            </w:r>
          </w:p>
          <w:p>
            <w:pPr>
              <w:spacing w:line="360" w:lineRule="auto"/>
              <w:jc w:val="left"/>
              <w:rPr>
                <w:color w:val="auto"/>
                <w:lang w:val="en-GB"/>
              </w:rPr>
            </w:pPr>
            <w:r>
              <w:rPr>
                <w:rFonts w:hint="eastAsia"/>
                <w:color w:val="auto"/>
                <w:lang w:val="en-GB"/>
              </w:rPr>
              <w:t>（26）需提供CMMI3认证。</w:t>
            </w:r>
          </w:p>
        </w:tc>
      </w:tr>
      <w:bookmarkEnd w:id="116"/>
    </w:tbl>
    <w:p>
      <w:pPr>
        <w:spacing w:line="360" w:lineRule="auto"/>
        <w:ind w:firstLine="420" w:firstLineChars="200"/>
        <w:rPr>
          <w:color w:val="auto"/>
        </w:rPr>
      </w:pPr>
    </w:p>
    <w:p>
      <w:pPr>
        <w:spacing w:line="360" w:lineRule="auto"/>
        <w:ind w:firstLine="422" w:firstLineChars="200"/>
        <w:rPr>
          <w:b/>
          <w:bCs/>
          <w:color w:val="auto"/>
        </w:rPr>
      </w:pPr>
      <w:r>
        <w:rPr>
          <w:rFonts w:hint="eastAsia"/>
          <w:b/>
          <w:bCs/>
          <w:color w:val="auto"/>
        </w:rPr>
        <w:t>（四）服务管理要求</w:t>
      </w:r>
    </w:p>
    <w:p>
      <w:pPr>
        <w:spacing w:line="360" w:lineRule="auto"/>
        <w:ind w:firstLine="420" w:firstLineChars="200"/>
        <w:rPr>
          <w:color w:val="auto"/>
        </w:rPr>
      </w:pPr>
      <w:r>
        <w:rPr>
          <w:rFonts w:hint="eastAsia"/>
          <w:color w:val="auto"/>
        </w:rPr>
        <w:t>1、组织实施要求</w:t>
      </w:r>
    </w:p>
    <w:p>
      <w:pPr>
        <w:spacing w:line="360" w:lineRule="auto"/>
        <w:ind w:firstLine="420" w:firstLineChars="200"/>
        <w:rPr>
          <w:color w:val="auto"/>
        </w:rPr>
      </w:pPr>
      <w:r>
        <w:rPr>
          <w:rFonts w:hint="eastAsia"/>
          <w:color w:val="auto"/>
        </w:rPr>
        <w:t>（1）应安排专职项目经理负责本次项目的实施 。</w:t>
      </w:r>
    </w:p>
    <w:p>
      <w:pPr>
        <w:spacing w:line="360" w:lineRule="auto"/>
        <w:ind w:firstLine="420" w:firstLineChars="200"/>
        <w:rPr>
          <w:color w:val="auto"/>
        </w:rPr>
      </w:pPr>
      <w:r>
        <w:rPr>
          <w:rFonts w:hint="eastAsia"/>
          <w:color w:val="auto"/>
        </w:rPr>
        <w:t>（2）应保证项目团队成员的稳定，以保证服务的质量和连贯性 。</w:t>
      </w:r>
    </w:p>
    <w:p>
      <w:pPr>
        <w:spacing w:line="360" w:lineRule="auto"/>
        <w:ind w:firstLine="420" w:firstLineChars="200"/>
        <w:rPr>
          <w:color w:val="auto"/>
        </w:rPr>
      </w:pPr>
      <w:r>
        <w:rPr>
          <w:rFonts w:hint="eastAsia"/>
          <w:color w:val="auto"/>
        </w:rPr>
        <w:t>2、人员能力要求</w:t>
      </w:r>
    </w:p>
    <w:p>
      <w:pPr>
        <w:spacing w:line="360" w:lineRule="auto"/>
        <w:ind w:firstLine="420" w:firstLineChars="200"/>
        <w:rPr>
          <w:color w:val="auto"/>
        </w:rPr>
      </w:pPr>
      <w:r>
        <w:rPr>
          <w:rFonts w:hint="eastAsia"/>
          <w:color w:val="auto"/>
        </w:rPr>
        <w:t>本项目的安全服务人员需具有信息安全服务工作经验 ，参加过网络安全等级保护测评项目并取 得信息安全方面资质证书 ，提供人员管理及配备方案，并确保人员的稳定 。 如更换技术服务人员，须由采购人同意并签字确认。安全服务人员应达到以下要求 ：</w:t>
      </w:r>
    </w:p>
    <w:p>
      <w:pPr>
        <w:spacing w:line="360" w:lineRule="auto"/>
        <w:ind w:firstLine="420" w:firstLineChars="200"/>
        <w:rPr>
          <w:color w:val="auto"/>
        </w:rPr>
      </w:pPr>
      <w:r>
        <w:rPr>
          <w:rFonts w:hint="eastAsia"/>
          <w:color w:val="auto"/>
        </w:rPr>
        <w:t>（1）本项目要求中标供应商应保证在广东省拥有 10人以上专业信息安全服务人员 ，保障安全检测工作及时快速响应 ，提供人员基本信息。</w:t>
      </w:r>
    </w:p>
    <w:p>
      <w:pPr>
        <w:spacing w:line="360" w:lineRule="auto"/>
        <w:ind w:firstLine="420" w:firstLineChars="200"/>
        <w:rPr>
          <w:color w:val="auto"/>
        </w:rPr>
      </w:pPr>
      <w:r>
        <w:rPr>
          <w:rFonts w:hint="eastAsia"/>
          <w:color w:val="auto"/>
        </w:rPr>
        <w:t>（2）中标供应商的服务人员具备信息安全相关资质和信息安全检测相关工作经验 。 明确团队各人在信息安全检测时的职责分工，指定信息安全检测服务团队负责人。团队负责人（唯一负责人）从事信息安全检测相关工作 5 年以上，熟悉信息安全相关政策、法规，熟悉信息安全测评方法 ，具有较强的组织协调和沟通能力，具有研究生及以上学历 、CCNP 证书，且与项目经理不为同一人 。</w:t>
      </w:r>
    </w:p>
    <w:p>
      <w:pPr>
        <w:spacing w:line="360" w:lineRule="auto"/>
        <w:ind w:firstLine="420" w:firstLineChars="200"/>
        <w:rPr>
          <w:color w:val="auto"/>
        </w:rPr>
      </w:pPr>
      <w:r>
        <w:rPr>
          <w:rFonts w:hint="eastAsia"/>
          <w:color w:val="auto"/>
        </w:rPr>
        <w:t>（3）中标供应商须为本项目提供唯一项目经理 ，项目经理从事信息安全检测相关工作 8 年以上 ，熟悉信息安全相关政策、法规，熟悉信息安全测评方法，具有较强的组织协调和沟通能力，具有信息系统监理工程师证书。项目经理为该项目提供整体的方案设计、实施方案审定、项目实施过程监督、流程监管，相关的安全培训和应急事件的现场指导等 。</w:t>
      </w:r>
    </w:p>
    <w:p>
      <w:pPr>
        <w:spacing w:line="360" w:lineRule="auto"/>
        <w:ind w:firstLine="420" w:firstLineChars="200"/>
        <w:rPr>
          <w:color w:val="auto"/>
        </w:rPr>
      </w:pPr>
      <w:r>
        <w:rPr>
          <w:rFonts w:hint="eastAsia"/>
          <w:color w:val="auto"/>
        </w:rPr>
        <w:t>3、服务质量要求</w:t>
      </w:r>
    </w:p>
    <w:p>
      <w:pPr>
        <w:spacing w:line="360" w:lineRule="auto"/>
        <w:ind w:firstLine="420" w:firstLineChars="200"/>
        <w:rPr>
          <w:color w:val="auto"/>
        </w:rPr>
      </w:pPr>
      <w:r>
        <w:rPr>
          <w:rFonts w:hint="eastAsia"/>
          <w:color w:val="auto"/>
        </w:rPr>
        <w:t>对项目作出具体安排，制定出详细的服务方案和时间计划，包括范围过程管理 、服务结果质量保证、设备管理、人员管理、记录控制、成果文档审核，以及信息安全服务方法、作业指导书等内容；并就建立规范的测评流程、科学的测评方法、全面的测评内容、完善的测评工具、完备的测评指标体系和测评结果、有效的安全保密控制措施作出说明。严格落实人员安排，接受项目协调小组的监督，控制实施进度和项目质量，并能根据采购人要求合理调整实施安排。</w:t>
      </w:r>
    </w:p>
    <w:p>
      <w:pPr>
        <w:spacing w:line="360" w:lineRule="auto"/>
        <w:ind w:firstLine="420" w:firstLineChars="200"/>
        <w:rPr>
          <w:color w:val="auto"/>
        </w:rPr>
      </w:pPr>
      <w:r>
        <w:rPr>
          <w:rFonts w:hint="eastAsia"/>
          <w:color w:val="auto"/>
        </w:rPr>
        <w:t>4、保密措施要求</w:t>
      </w:r>
    </w:p>
    <w:p>
      <w:pPr>
        <w:spacing w:line="360" w:lineRule="auto"/>
        <w:ind w:firstLine="420" w:firstLineChars="200"/>
        <w:rPr>
          <w:color w:val="auto"/>
        </w:rPr>
      </w:pPr>
      <w:r>
        <w:rPr>
          <w:rFonts w:hint="eastAsia"/>
          <w:color w:val="auto"/>
        </w:rPr>
        <w:t>须保证对本项目实施中所获得任何资料和信息严格保密，并与采购人签订保密责任书。</w:t>
      </w:r>
    </w:p>
    <w:p>
      <w:pPr>
        <w:spacing w:line="360" w:lineRule="auto"/>
        <w:ind w:firstLine="420" w:firstLineChars="200"/>
        <w:rPr>
          <w:color w:val="auto"/>
        </w:rPr>
      </w:pPr>
      <w:r>
        <w:rPr>
          <w:rFonts w:hint="eastAsia"/>
          <w:color w:val="auto"/>
        </w:rPr>
        <w:t>本项目范围内的所有技术情报和资料，不向第三方传泄，不论本项目是否变更、解除或终止，本条款均有效。</w:t>
      </w:r>
    </w:p>
    <w:p>
      <w:pPr>
        <w:spacing w:line="360" w:lineRule="auto"/>
        <w:ind w:firstLine="420" w:firstLineChars="200"/>
        <w:rPr>
          <w:color w:val="auto"/>
        </w:rPr>
      </w:pPr>
      <w:r>
        <w:rPr>
          <w:rFonts w:hint="eastAsia"/>
          <w:color w:val="auto"/>
        </w:rPr>
        <w:t>按现行内部规定签订保密约定，项目的资料所有权归采购人所有，中标供应商在任何第三方场合引用相关资料内容都需经采购人同意。</w:t>
      </w:r>
    </w:p>
    <w:p>
      <w:pPr>
        <w:spacing w:line="360" w:lineRule="auto"/>
        <w:ind w:firstLine="420" w:firstLineChars="200"/>
        <w:rPr>
          <w:color w:val="auto"/>
        </w:rPr>
      </w:pPr>
      <w:r>
        <w:rPr>
          <w:rFonts w:hint="eastAsia"/>
          <w:color w:val="auto"/>
        </w:rPr>
        <w:t>在合同期内或合同终止后，未征得采购人书面同意，不向第三方泄露本项目及本合同业务有关的一切资料。否则造成泄密的，服务提供方承担采购人由此引起的损失，若后果严重且触犯法律的，采购人将依法追究其法律责任。</w:t>
      </w:r>
    </w:p>
    <w:p>
      <w:pPr>
        <w:spacing w:line="360" w:lineRule="auto"/>
        <w:ind w:firstLine="420" w:firstLineChars="200"/>
        <w:rPr>
          <w:color w:val="auto"/>
        </w:rPr>
      </w:pPr>
      <w:r>
        <w:rPr>
          <w:rFonts w:hint="eastAsia"/>
          <w:color w:val="auto"/>
        </w:rPr>
        <w:t>(1)提供资料的保密措施</w:t>
      </w:r>
    </w:p>
    <w:p>
      <w:pPr>
        <w:spacing w:line="360" w:lineRule="auto"/>
        <w:ind w:firstLine="420" w:firstLineChars="200"/>
        <w:rPr>
          <w:color w:val="auto"/>
        </w:rPr>
      </w:pPr>
      <w:r>
        <w:rPr>
          <w:rFonts w:hint="eastAsia"/>
          <w:color w:val="auto"/>
        </w:rPr>
        <w:t>项目实施过程中由项目经理专人保管，直至归档。采购人提供的所有资料由资料管理员登记、保管，测评过程所需的技术资料由资料管理员负责收发。中标供应商任何人不得将采购人提供的技术资料及相关信息透露给第三方。</w:t>
      </w:r>
    </w:p>
    <w:p>
      <w:pPr>
        <w:spacing w:line="360" w:lineRule="auto"/>
        <w:ind w:firstLine="420" w:firstLineChars="200"/>
        <w:rPr>
          <w:color w:val="auto"/>
        </w:rPr>
      </w:pPr>
      <w:r>
        <w:rPr>
          <w:rFonts w:hint="eastAsia"/>
          <w:color w:val="auto"/>
        </w:rPr>
        <w:t>(2)项目组的保密管理和控制</w:t>
      </w:r>
    </w:p>
    <w:p>
      <w:pPr>
        <w:spacing w:line="360" w:lineRule="auto"/>
        <w:ind w:firstLine="420" w:firstLineChars="200"/>
        <w:rPr>
          <w:color w:val="auto"/>
        </w:rPr>
      </w:pPr>
      <w:r>
        <w:rPr>
          <w:rFonts w:hint="eastAsia"/>
          <w:color w:val="auto"/>
        </w:rPr>
        <w:t>项目组的测评网络实行物理隔离，不得联接任何其它网络。与测试无关的人员未经允许，不得参与项目组工作。因工作需要而参与项目组事务的外单位人员应由本我院专人陪同，不得接触与其无关的技术资料。</w:t>
      </w:r>
    </w:p>
    <w:p>
      <w:pPr>
        <w:spacing w:line="360" w:lineRule="auto"/>
        <w:ind w:firstLine="420" w:firstLineChars="200"/>
        <w:rPr>
          <w:color w:val="auto"/>
        </w:rPr>
      </w:pPr>
      <w:r>
        <w:rPr>
          <w:rFonts w:hint="eastAsia"/>
          <w:color w:val="auto"/>
        </w:rPr>
        <w:t>(3)项目过程的保密管理和控制</w:t>
      </w:r>
    </w:p>
    <w:p>
      <w:pPr>
        <w:spacing w:line="360" w:lineRule="auto"/>
        <w:ind w:firstLine="420" w:firstLineChars="200"/>
        <w:rPr>
          <w:color w:val="auto"/>
        </w:rPr>
      </w:pPr>
      <w:r>
        <w:rPr>
          <w:rFonts w:hint="eastAsia"/>
          <w:color w:val="auto"/>
        </w:rPr>
        <w:t>测评过程中的配置管理，由配置管理员集中设置身份认证的口令，口令长度不得少于八个字符，口令更换周期不得长于一个月。对测评过程中的工具的访问控制，配置管理员必须设置到用户类别（用户组）的粒度。在测评过程中，必须保护采购人产品的一切信息。在测试中，测试人员应使用屏幕保护等适宜的方法保护测试显示的信息免遭泄密。测试人员应严格按照相关要求防范病毒。测试结束后，测试过程中的所有文档资料，包括录制的脚本文件全都归档资料管理员，电子文档在配置管理服务器受控管理，在其它计算机上予以清除。清除过程由两人执行，一人实施，一人监督。</w:t>
      </w:r>
    </w:p>
    <w:p>
      <w:pPr>
        <w:spacing w:line="360" w:lineRule="auto"/>
        <w:ind w:firstLine="420" w:firstLineChars="200"/>
        <w:rPr>
          <w:color w:val="auto"/>
        </w:rPr>
      </w:pPr>
      <w:r>
        <w:rPr>
          <w:rFonts w:hint="eastAsia"/>
          <w:color w:val="auto"/>
        </w:rPr>
        <w:t>(4)电子数据的保密管理</w:t>
      </w:r>
    </w:p>
    <w:p>
      <w:pPr>
        <w:spacing w:line="360" w:lineRule="auto"/>
        <w:ind w:firstLine="420" w:firstLineChars="200"/>
        <w:rPr>
          <w:color w:val="auto"/>
        </w:rPr>
      </w:pPr>
      <w:r>
        <w:rPr>
          <w:rFonts w:hint="eastAsia"/>
          <w:color w:val="auto"/>
        </w:rPr>
        <w:t>所有涉及采购人的被测件、测评结果、数据、试验报告等电子数据在测评过程中项目组指定专人统一管理。当项目经理或测评人员要求更改测评过程的数据时，必须经过审核。与采购人有关的测评结果、数据、试验报告等电子文档的备份数据的保密管理应采取与书面文档同等的保密措施。</w:t>
      </w:r>
    </w:p>
    <w:p>
      <w:pPr>
        <w:spacing w:line="360" w:lineRule="auto"/>
        <w:ind w:firstLine="420" w:firstLineChars="200"/>
        <w:rPr>
          <w:color w:val="auto"/>
        </w:rPr>
      </w:pPr>
      <w:r>
        <w:rPr>
          <w:rFonts w:hint="eastAsia"/>
          <w:color w:val="auto"/>
        </w:rPr>
        <w:t>(5)测试现场保密管理</w:t>
      </w:r>
    </w:p>
    <w:p>
      <w:pPr>
        <w:spacing w:line="360" w:lineRule="auto"/>
        <w:ind w:firstLine="420" w:firstLineChars="200"/>
        <w:rPr>
          <w:color w:val="auto"/>
        </w:rPr>
      </w:pPr>
      <w:r>
        <w:rPr>
          <w:rFonts w:hint="eastAsia"/>
          <w:color w:val="auto"/>
        </w:rPr>
        <w:t>测试现场除应满足被测设备工作环境外，还应满足以下要求：</w:t>
      </w:r>
    </w:p>
    <w:p>
      <w:pPr>
        <w:spacing w:line="360" w:lineRule="auto"/>
        <w:ind w:firstLine="420" w:firstLineChars="200"/>
        <w:rPr>
          <w:color w:val="auto"/>
        </w:rPr>
      </w:pPr>
      <w:r>
        <w:rPr>
          <w:rFonts w:hint="eastAsia"/>
          <w:color w:val="auto"/>
        </w:rPr>
        <w:t>a)网络采取和设定密级相适应的防病毒和安全防护等信息安全措施；</w:t>
      </w:r>
    </w:p>
    <w:p>
      <w:pPr>
        <w:spacing w:line="360" w:lineRule="auto"/>
        <w:ind w:firstLine="420" w:firstLineChars="200"/>
        <w:rPr>
          <w:color w:val="auto"/>
        </w:rPr>
      </w:pPr>
      <w:r>
        <w:rPr>
          <w:rFonts w:hint="eastAsia"/>
          <w:color w:val="auto"/>
        </w:rPr>
        <w:t xml:space="preserve">b)按照设定保密等级要求对现场人员和设备，尤其是可移动存储介质进行管理； </w:t>
      </w:r>
    </w:p>
    <w:p>
      <w:pPr>
        <w:spacing w:line="360" w:lineRule="auto"/>
        <w:ind w:firstLine="420" w:firstLineChars="200"/>
        <w:rPr>
          <w:color w:val="auto"/>
        </w:rPr>
      </w:pPr>
      <w:r>
        <w:rPr>
          <w:rFonts w:hint="eastAsia"/>
          <w:color w:val="auto"/>
        </w:rPr>
        <w:t>c)对本次测评有关的测试技术文件、数据等，按照设定密级进行管理。</w:t>
      </w:r>
    </w:p>
    <w:p>
      <w:pPr>
        <w:spacing w:line="360" w:lineRule="auto"/>
        <w:ind w:firstLine="422" w:firstLineChars="200"/>
        <w:rPr>
          <w:b/>
          <w:bCs/>
          <w:color w:val="auto"/>
        </w:rPr>
      </w:pPr>
      <w:r>
        <w:rPr>
          <w:rFonts w:hint="eastAsia"/>
          <w:b/>
          <w:bCs/>
          <w:color w:val="auto"/>
        </w:rPr>
        <w:t>（五）工程保证要求</w:t>
      </w:r>
    </w:p>
    <w:p>
      <w:pPr>
        <w:spacing w:line="360" w:lineRule="auto"/>
        <w:ind w:firstLine="420" w:firstLineChars="200"/>
        <w:rPr>
          <w:color w:val="auto"/>
        </w:rPr>
      </w:pPr>
      <w:r>
        <w:rPr>
          <w:rFonts w:hint="eastAsia"/>
          <w:color w:val="auto"/>
        </w:rPr>
        <w:t>1、标准保证</w:t>
      </w:r>
    </w:p>
    <w:p>
      <w:pPr>
        <w:spacing w:line="360" w:lineRule="auto"/>
        <w:ind w:firstLine="420" w:firstLineChars="200"/>
        <w:rPr>
          <w:color w:val="auto"/>
        </w:rPr>
      </w:pPr>
      <w:r>
        <w:rPr>
          <w:rFonts w:hint="eastAsia"/>
          <w:color w:val="auto"/>
        </w:rPr>
        <w:t>中标供应商应保证按照采购人的工作要求，依据《信息系统安全等级保护基本要求》、《信息系统安全等级保护测评准则》有关规定及要求，对信息系统进行等级保护测评。</w:t>
      </w:r>
    </w:p>
    <w:p>
      <w:pPr>
        <w:spacing w:line="360" w:lineRule="auto"/>
        <w:ind w:firstLine="420" w:firstLineChars="200"/>
        <w:rPr>
          <w:color w:val="auto"/>
        </w:rPr>
      </w:pPr>
      <w:r>
        <w:rPr>
          <w:rFonts w:hint="eastAsia"/>
          <w:color w:val="auto"/>
        </w:rPr>
        <w:t>2、进度保证</w:t>
      </w:r>
    </w:p>
    <w:p>
      <w:pPr>
        <w:spacing w:line="360" w:lineRule="auto"/>
        <w:ind w:firstLine="420" w:firstLineChars="200"/>
        <w:rPr>
          <w:color w:val="auto"/>
        </w:rPr>
      </w:pPr>
      <w:r>
        <w:rPr>
          <w:rFonts w:hint="eastAsia"/>
          <w:color w:val="auto"/>
        </w:rPr>
        <w:t>根据项目目标，中标供应商制定的实施计划应严格遵循以下关键时间点要求，并合理安排人员投入情况。</w:t>
      </w:r>
    </w:p>
    <w:p>
      <w:pPr>
        <w:spacing w:line="360" w:lineRule="auto"/>
        <w:ind w:firstLine="420" w:firstLineChars="200"/>
        <w:rPr>
          <w:color w:val="auto"/>
        </w:rPr>
      </w:pPr>
      <w:r>
        <w:rPr>
          <w:rFonts w:hint="eastAsia"/>
          <w:color w:val="auto"/>
        </w:rPr>
        <w:t>3、交付物要求</w:t>
      </w:r>
    </w:p>
    <w:p>
      <w:pPr>
        <w:spacing w:line="360" w:lineRule="auto"/>
        <w:ind w:firstLine="420" w:firstLineChars="200"/>
        <w:rPr>
          <w:color w:val="auto"/>
        </w:rPr>
      </w:pPr>
      <w:r>
        <w:rPr>
          <w:rFonts w:hint="eastAsia"/>
          <w:color w:val="auto"/>
        </w:rPr>
        <w:t>服务中产生的全部档案资料版权归采购人所有，中标供应商未经采购人允许的情况下，不得以任何形式向第三方提供安全技术文档的全部或部分内容，交付文件包括但不限于如下成果和报告：</w:t>
      </w:r>
    </w:p>
    <w:p>
      <w:pPr>
        <w:spacing w:line="360" w:lineRule="auto"/>
        <w:ind w:firstLine="420" w:firstLineChars="200"/>
        <w:rPr>
          <w:color w:val="auto"/>
        </w:rPr>
      </w:pPr>
      <w:r>
        <w:rPr>
          <w:rFonts w:hint="eastAsia"/>
          <w:color w:val="auto"/>
        </w:rPr>
        <w:t>（1）等级保护定级备案材料、专家评审意见、《信息系统等级保护备案证明》</w:t>
      </w:r>
    </w:p>
    <w:p>
      <w:pPr>
        <w:spacing w:line="360" w:lineRule="auto"/>
        <w:ind w:firstLine="420" w:firstLineChars="200"/>
        <w:rPr>
          <w:color w:val="auto"/>
        </w:rPr>
      </w:pPr>
      <w:r>
        <w:rPr>
          <w:rFonts w:hint="eastAsia"/>
          <w:color w:val="auto"/>
        </w:rPr>
        <w:t>（2）等级保护测评《问题清单与整改建议》</w:t>
      </w:r>
    </w:p>
    <w:p>
      <w:pPr>
        <w:spacing w:line="360" w:lineRule="auto"/>
        <w:ind w:firstLine="420" w:firstLineChars="200"/>
        <w:rPr>
          <w:color w:val="auto"/>
        </w:rPr>
      </w:pPr>
      <w:r>
        <w:rPr>
          <w:rFonts w:hint="eastAsia"/>
          <w:color w:val="auto"/>
        </w:rPr>
        <w:t>（3）《等级保护安全测评报告》（每个系统一份）</w:t>
      </w:r>
    </w:p>
    <w:p>
      <w:pPr>
        <w:spacing w:line="360" w:lineRule="auto"/>
        <w:ind w:firstLine="420" w:firstLineChars="200"/>
        <w:rPr>
          <w:color w:val="auto"/>
        </w:rPr>
      </w:pPr>
      <w:r>
        <w:rPr>
          <w:rFonts w:hint="eastAsia"/>
          <w:color w:val="auto"/>
        </w:rPr>
        <w:t>（4）《源代码安全审计报告》</w:t>
      </w:r>
    </w:p>
    <w:p>
      <w:pPr>
        <w:spacing w:line="360" w:lineRule="auto"/>
        <w:ind w:firstLine="420" w:firstLineChars="200"/>
        <w:rPr>
          <w:color w:val="auto"/>
        </w:rPr>
      </w:pPr>
      <w:r>
        <w:rPr>
          <w:rFonts w:hint="eastAsia"/>
          <w:color w:val="auto"/>
        </w:rPr>
        <w:t>（5）“重保时期”网络安全保障服务成果交付物</w:t>
      </w:r>
    </w:p>
    <w:p>
      <w:pPr>
        <w:spacing w:line="360" w:lineRule="auto"/>
        <w:ind w:firstLine="420" w:firstLineChars="200"/>
        <w:rPr>
          <w:color w:val="auto"/>
        </w:rPr>
      </w:pPr>
      <w:r>
        <w:rPr>
          <w:rFonts w:hint="eastAsia"/>
          <w:color w:val="auto"/>
        </w:rPr>
        <w:t>（6）项目实施过程中相关成果输出物。</w:t>
      </w:r>
    </w:p>
    <w:p>
      <w:pPr>
        <w:spacing w:line="360" w:lineRule="auto"/>
        <w:ind w:firstLine="420" w:firstLineChars="200"/>
        <w:rPr>
          <w:color w:val="auto"/>
        </w:rPr>
      </w:pPr>
      <w:r>
        <w:rPr>
          <w:rFonts w:hint="eastAsia"/>
          <w:color w:val="auto"/>
        </w:rPr>
        <w:t>4、售后服务要求</w:t>
      </w:r>
    </w:p>
    <w:p>
      <w:pPr>
        <w:spacing w:line="360" w:lineRule="auto"/>
        <w:ind w:firstLine="420" w:firstLineChars="200"/>
        <w:rPr>
          <w:color w:val="auto"/>
        </w:rPr>
      </w:pPr>
      <w:r>
        <w:rPr>
          <w:rFonts w:hint="eastAsia"/>
          <w:color w:val="auto"/>
        </w:rPr>
        <w:t>（1）中标供应商应说明本项目的技术队伍和实施组织方式、服务模式，以及售后服务的开展方式；</w:t>
      </w:r>
    </w:p>
    <w:p>
      <w:pPr>
        <w:spacing w:line="360" w:lineRule="auto"/>
        <w:ind w:firstLine="420" w:firstLineChars="200"/>
        <w:rPr>
          <w:color w:val="auto"/>
        </w:rPr>
      </w:pPr>
      <w:r>
        <w:rPr>
          <w:rFonts w:hint="eastAsia"/>
          <w:color w:val="auto"/>
        </w:rPr>
        <w:t>（2）中标供应商应在本项目范围内提供1年的7*8热线电话支持服务。</w:t>
      </w:r>
    </w:p>
    <w:p>
      <w:pPr>
        <w:spacing w:line="360" w:lineRule="auto"/>
        <w:ind w:firstLine="420" w:firstLineChars="200"/>
        <w:rPr>
          <w:color w:val="auto"/>
        </w:rPr>
      </w:pPr>
      <w:r>
        <w:rPr>
          <w:rFonts w:hint="eastAsia"/>
          <w:color w:val="auto"/>
        </w:rPr>
        <w:t>（3）中标供应商可在项目投标书中对售后技术支持服务的情况（无偿的/有偿的）做出必要的说明，以供采购人参考。</w:t>
      </w:r>
      <w:r>
        <w:rPr>
          <w:rFonts w:hint="eastAsia"/>
          <w:color w:val="auto"/>
        </w:rPr>
        <w:br w:type="page"/>
      </w:r>
    </w:p>
    <w:p>
      <w:pPr>
        <w:pStyle w:val="3"/>
        <w:numPr>
          <w:ilvl w:val="0"/>
          <w:numId w:val="0"/>
        </w:numPr>
        <w:spacing w:beforeLines="0" w:line="240" w:lineRule="auto"/>
        <w:rPr>
          <w:color w:val="auto"/>
        </w:rPr>
      </w:pPr>
      <w:bookmarkStart w:id="117" w:name="_Toc28982"/>
      <w:r>
        <w:rPr>
          <w:rFonts w:hint="eastAsia"/>
          <w:color w:val="auto"/>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7"/>
    </w:p>
    <w:p>
      <w:pPr>
        <w:pStyle w:val="4"/>
        <w:numPr>
          <w:ilvl w:val="0"/>
          <w:numId w:val="0"/>
        </w:numPr>
        <w:rPr>
          <w:color w:val="auto"/>
          <w:szCs w:val="21"/>
        </w:rPr>
      </w:pPr>
      <w:bookmarkStart w:id="118" w:name="_Toc434832495"/>
      <w:bookmarkStart w:id="119" w:name="_Toc456272919"/>
      <w:bookmarkStart w:id="120" w:name="_Toc456648358"/>
      <w:bookmarkStart w:id="121" w:name="_Toc7162"/>
      <w:r>
        <w:rPr>
          <w:rFonts w:hint="eastAsia"/>
          <w:color w:val="auto"/>
          <w:szCs w:val="21"/>
        </w:rPr>
        <w:t>投标人须知前附表</w:t>
      </w:r>
      <w:bookmarkEnd w:id="118"/>
      <w:bookmarkEnd w:id="119"/>
      <w:bookmarkEnd w:id="120"/>
      <w:bookmarkEnd w:id="121"/>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rPr>
            </w:pPr>
            <w:r>
              <w:rPr>
                <w:rFonts w:hint="eastAsia" w:ascii="宋体" w:hAnsi="宋体"/>
                <w:b/>
                <w:color w:val="auto"/>
                <w:szCs w:val="21"/>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rPr>
            </w:pPr>
            <w:r>
              <w:rPr>
                <w:rFonts w:hint="eastAsia" w:ascii="宋体" w:hAnsi="宋体"/>
                <w:b/>
                <w:color w:val="auto"/>
                <w:szCs w:val="21"/>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rPr>
            </w:pPr>
            <w:r>
              <w:rPr>
                <w:rFonts w:hint="eastAsia" w:ascii="宋体" w:hAnsi="宋体"/>
                <w:b/>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r>
              <w:rPr>
                <w:rFonts w:ascii="宋体" w:hAnsi="宋体"/>
                <w:b/>
                <w:color w:val="auto"/>
                <w:szCs w:val="21"/>
              </w:rPr>
              <w:t>1</w:t>
            </w:r>
          </w:p>
        </w:tc>
        <w:tc>
          <w:tcPr>
            <w:tcW w:w="18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Cs w:val="21"/>
                <w:lang w:val="en-GB"/>
              </w:rPr>
            </w:pPr>
            <w:r>
              <w:rPr>
                <w:rFonts w:hint="eastAsia"/>
                <w:color w:val="auto"/>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rFonts w:hint="eastAsia" w:ascii="宋体"/>
                <w:bCs/>
                <w:color w:val="auto"/>
              </w:rPr>
              <w:t>评标委员会根据政府采购相关法律法规组成，评审专家根据相关法律法规及法律程序，依据本次采购活动的特点和需要在政府指定的专家库中随机抽取产生,</w:t>
            </w:r>
            <w:r>
              <w:rPr>
                <w:rFonts w:hint="eastAsia" w:ascii="宋体"/>
                <w:b/>
                <w:bCs/>
                <w:color w:val="auto"/>
              </w:rPr>
              <w:t>专家数量共</w:t>
            </w:r>
            <w:r>
              <w:rPr>
                <w:rFonts w:hint="eastAsia" w:ascii="宋体"/>
                <w:b/>
                <w:bCs/>
                <w:color w:val="auto"/>
                <w:u w:val="single"/>
              </w:rPr>
              <w:t xml:space="preserve"> 5</w:t>
            </w:r>
            <w:r>
              <w:rPr>
                <w:rFonts w:hint="eastAsia" w:ascii="宋体"/>
                <w:b/>
                <w:bCs/>
                <w:color w:val="auto"/>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r>
              <w:rPr>
                <w:rFonts w:ascii="宋体" w:hAnsi="宋体"/>
                <w:b/>
                <w:color w:val="auto"/>
                <w:szCs w:val="21"/>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Cs w:val="21"/>
              </w:rPr>
            </w:pPr>
            <w:r>
              <w:rPr>
                <w:rFonts w:hint="eastAsia" w:ascii="宋体" w:hAnsi="宋体"/>
                <w:color w:val="auto"/>
                <w:szCs w:val="21"/>
              </w:rPr>
              <w:t>投标资料数量和封装要求</w:t>
            </w:r>
          </w:p>
        </w:tc>
        <w:tc>
          <w:tcPr>
            <w:tcW w:w="1587" w:type="dxa"/>
            <w:vMerge w:val="restart"/>
            <w:tcBorders>
              <w:top w:val="single" w:color="auto" w:sz="4" w:space="0"/>
              <w:left w:val="single" w:color="auto" w:sz="4" w:space="0"/>
              <w:right w:val="single" w:color="auto" w:sz="4" w:space="0"/>
            </w:tcBorders>
            <w:vAlign w:val="center"/>
          </w:tcPr>
          <w:p>
            <w:pPr>
              <w:tabs>
                <w:tab w:val="left" w:pos="528"/>
                <w:tab w:val="left" w:pos="783"/>
              </w:tabs>
              <w:spacing w:line="400" w:lineRule="exact"/>
              <w:rPr>
                <w:color w:val="auto"/>
              </w:rPr>
            </w:pPr>
            <w:r>
              <w:rPr>
                <w:rFonts w:hint="eastAsia" w:ascii="宋体" w:hAnsi="宋体"/>
                <w:b/>
                <w:bCs/>
                <w:color w:val="auto"/>
                <w:szCs w:val="21"/>
              </w:rPr>
              <w:t>共提供4份投标资料，分别封装：</w:t>
            </w:r>
            <w:r>
              <w:rPr>
                <w:rFonts w:hint="eastAsia" w:ascii="宋体" w:hAnsi="宋体"/>
                <w:b/>
                <w:bCs/>
                <w:color w:val="auto"/>
                <w:szCs w:val="21"/>
              </w:rPr>
              <w:br w:type="textWrapping"/>
            </w:r>
          </w:p>
          <w:p>
            <w:pPr>
              <w:tabs>
                <w:tab w:val="left" w:pos="528"/>
                <w:tab w:val="left" w:pos="783"/>
              </w:tabs>
              <w:spacing w:line="400" w:lineRule="exact"/>
              <w:jc w:val="center"/>
              <w:rPr>
                <w:rFonts w:ascii="宋体" w:hAnsi="宋体"/>
                <w:b/>
                <w:color w:val="auto"/>
                <w:szCs w:val="21"/>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r>
              <w:rPr>
                <w:rFonts w:hint="eastAsia" w:ascii="宋体" w:hAnsi="宋体"/>
                <w:b/>
                <w:bCs/>
                <w:color w:val="auto"/>
                <w:szCs w:val="21"/>
              </w:rPr>
              <w:t>1、资格审查文件。</w:t>
            </w:r>
            <w:r>
              <w:rPr>
                <w:rFonts w:hint="eastAsia"/>
                <w:color w:val="auto"/>
              </w:rPr>
              <w:t>（内含</w:t>
            </w:r>
            <w:r>
              <w:rPr>
                <w:rFonts w:hint="eastAsia"/>
                <w:color w:val="auto"/>
                <w:u w:val="single"/>
              </w:rPr>
              <w:t xml:space="preserve"> 1 </w:t>
            </w:r>
            <w:r>
              <w:rPr>
                <w:rFonts w:hint="eastAsia"/>
                <w:color w:val="auto"/>
              </w:rPr>
              <w:t>正</w:t>
            </w:r>
            <w:r>
              <w:rPr>
                <w:rFonts w:hint="eastAsia"/>
                <w:color w:val="auto"/>
                <w:u w:val="single"/>
              </w:rPr>
              <w:t xml:space="preserve"> 4 </w:t>
            </w:r>
            <w:r>
              <w:rPr>
                <w:rFonts w:hint="eastAsia"/>
                <w:color w:val="auto"/>
              </w:rPr>
              <w:t>副，</w:t>
            </w:r>
            <w:r>
              <w:rPr>
                <w:rFonts w:hint="eastAsia" w:ascii="宋体" w:hAnsi="宋体"/>
                <w:bCs/>
                <w:color w:val="auto"/>
                <w:szCs w:val="21"/>
              </w:rPr>
              <w:t>独立装订成册</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r>
              <w:rPr>
                <w:rFonts w:hint="eastAsia" w:ascii="宋体" w:hAnsi="宋体"/>
                <w:b/>
                <w:bCs/>
                <w:color w:val="auto"/>
                <w:szCs w:val="21"/>
              </w:rPr>
              <w:t>2、商务及技术文件。</w:t>
            </w:r>
            <w:r>
              <w:rPr>
                <w:rFonts w:hint="eastAsia"/>
                <w:color w:val="auto"/>
              </w:rPr>
              <w:t>（内含</w:t>
            </w:r>
            <w:r>
              <w:rPr>
                <w:rFonts w:hint="eastAsia"/>
                <w:color w:val="auto"/>
                <w:u w:val="single"/>
              </w:rPr>
              <w:t xml:space="preserve"> 1 </w:t>
            </w:r>
            <w:r>
              <w:rPr>
                <w:rFonts w:hint="eastAsia"/>
                <w:color w:val="auto"/>
              </w:rPr>
              <w:t>正</w:t>
            </w:r>
            <w:r>
              <w:rPr>
                <w:rFonts w:hint="eastAsia"/>
                <w:color w:val="auto"/>
                <w:u w:val="single"/>
              </w:rPr>
              <w:t xml:space="preserve"> 4 </w:t>
            </w:r>
            <w:r>
              <w:rPr>
                <w:rFonts w:hint="eastAsia"/>
                <w:color w:val="auto"/>
              </w:rPr>
              <w:t>副，</w:t>
            </w:r>
            <w:r>
              <w:rPr>
                <w:rFonts w:hint="eastAsia" w:ascii="宋体" w:hAnsi="宋体"/>
                <w:bCs/>
                <w:color w:val="auto"/>
                <w:szCs w:val="21"/>
              </w:rPr>
              <w:t>独立装订成册</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numPr>
                <w:ilvl w:val="0"/>
                <w:numId w:val="23"/>
              </w:numPr>
              <w:tabs>
                <w:tab w:val="left" w:pos="528"/>
                <w:tab w:val="left" w:pos="783"/>
              </w:tabs>
              <w:spacing w:line="400" w:lineRule="exact"/>
              <w:jc w:val="left"/>
              <w:rPr>
                <w:b/>
                <w:bCs/>
                <w:color w:val="auto"/>
                <w:szCs w:val="21"/>
              </w:rPr>
            </w:pPr>
            <w:r>
              <w:rPr>
                <w:rFonts w:hint="eastAsia"/>
                <w:b/>
                <w:bCs/>
                <w:color w:val="auto"/>
                <w:szCs w:val="21"/>
              </w:rPr>
              <w:t>开标信封。</w:t>
            </w:r>
            <w:r>
              <w:rPr>
                <w:rFonts w:hint="eastAsia"/>
                <w:color w:val="auto"/>
              </w:rPr>
              <w:t>（内含“开标一览表”、“投标保证金”、“分项报价表”、“保证金退付书”、“法定代表人（负责人）证明书”和“法定代表人（负责人）授权书”。）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rPr>
            </w:pPr>
            <w:r>
              <w:rPr>
                <w:rFonts w:hint="eastAsia"/>
                <w:b/>
                <w:bCs/>
                <w:color w:val="auto"/>
                <w:szCs w:val="21"/>
              </w:rPr>
              <w:t>4、</w:t>
            </w:r>
            <w:r>
              <w:rPr>
                <w:rFonts w:hint="eastAsia"/>
                <w:b/>
                <w:bCs/>
                <w:color w:val="auto"/>
              </w:rPr>
              <w:t>投标文件电子版。</w:t>
            </w:r>
            <w:r>
              <w:rPr>
                <w:rFonts w:hint="eastAsia"/>
                <w:color w:val="auto"/>
              </w:rPr>
              <w:t>（以光盘或U盘提供，内含PDF及可编辑的投标文件电子版1份，</w:t>
            </w:r>
            <w:r>
              <w:rPr>
                <w:rFonts w:hint="eastAsia"/>
                <w:color w:val="auto"/>
                <w:szCs w:val="21"/>
              </w:rPr>
              <w:t>在封面上注明“公司名称-</w:t>
            </w:r>
            <w:r>
              <w:rPr>
                <w:rFonts w:hint="eastAsia"/>
                <w:color w:val="auto"/>
              </w:rPr>
              <w:t>投标文件电子版</w:t>
            </w:r>
            <w:r>
              <w:rPr>
                <w:rFonts w:hint="eastAsia"/>
                <w:color w:val="auto"/>
                <w:szCs w:val="21"/>
              </w:rPr>
              <w:t>”</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auto"/>
              </w:rPr>
            </w:pPr>
            <w:r>
              <w:rPr>
                <w:rFonts w:hint="eastAsia" w:ascii="宋体" w:hAnsi="宋体"/>
                <w:b/>
                <w:color w:val="auto"/>
                <w:szCs w:val="21"/>
              </w:rPr>
              <w:t>所有投标资料</w:t>
            </w:r>
            <w:r>
              <w:rPr>
                <w:rFonts w:hint="eastAsia" w:ascii="宋体"/>
                <w:bCs/>
                <w:color w:val="auto"/>
                <w:szCs w:val="21"/>
              </w:rPr>
              <w:t>分别</w:t>
            </w:r>
            <w:r>
              <w:rPr>
                <w:rFonts w:hint="eastAsia" w:ascii="宋体" w:hAnsi="宋体"/>
                <w:bCs/>
                <w:color w:val="auto"/>
                <w:szCs w:val="21"/>
              </w:rPr>
              <w:t>密封在不透明的外层封装中，</w:t>
            </w:r>
            <w:r>
              <w:rPr>
                <w:rFonts w:hint="eastAsia"/>
                <w:color w:val="auto"/>
                <w:szCs w:val="21"/>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auto"/>
                <w:szCs w:val="21"/>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auto"/>
              </w:rPr>
            </w:pPr>
            <w:r>
              <w:rPr>
                <w:rFonts w:hint="eastAsia" w:ascii="宋体"/>
                <w:bCs/>
                <w:color w:val="auto"/>
              </w:rPr>
              <w:t>每一密封封装上均注明“于</w:t>
            </w:r>
            <w:r>
              <w:rPr>
                <w:rFonts w:hint="eastAsia" w:ascii="宋体"/>
                <w:bCs/>
                <w:color w:val="auto"/>
                <w:u w:val="single"/>
              </w:rPr>
              <w:t xml:space="preserve">     （投标截止时间）   </w:t>
            </w:r>
            <w:r>
              <w:rPr>
                <w:rFonts w:hint="eastAsia" w:ascii="宋体"/>
                <w:bCs/>
                <w:color w:val="auto"/>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auto"/>
                <w:szCs w:val="21"/>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auto"/>
              </w:rPr>
            </w:pPr>
            <w:r>
              <w:rPr>
                <w:rFonts w:hint="eastAsia" w:ascii="宋体"/>
                <w:bCs/>
                <w:color w:val="auto"/>
              </w:rPr>
              <w:t>投标人未按上述规定对投标文件进行密封和加写标记，</w:t>
            </w:r>
            <w:r>
              <w:rPr>
                <w:rFonts w:hint="eastAsia" w:ascii="宋体" w:hAnsi="宋体"/>
                <w:color w:val="auto"/>
              </w:rPr>
              <w:t>代理采购机构有权予以拒收，并退回给投标人。电报、电话、传真</w:t>
            </w:r>
            <w:r>
              <w:rPr>
                <w:rFonts w:hint="eastAsia" w:ascii="宋体"/>
                <w:bCs/>
                <w:color w:val="auto"/>
              </w:rPr>
              <w:t>等非纸质形式</w:t>
            </w:r>
            <w:r>
              <w:rPr>
                <w:rFonts w:hint="eastAsia" w:ascii="宋体" w:hAnsi="宋体"/>
                <w:color w:val="auto"/>
              </w:rPr>
              <w:t>的投标概不接受</w:t>
            </w:r>
            <w:r>
              <w:rPr>
                <w:rFonts w:hint="eastAsia" w:ascii="宋体"/>
                <w:bCs/>
                <w:color w:val="auto"/>
              </w:rPr>
              <w:t>。</w:t>
            </w:r>
            <w:r>
              <w:rPr>
                <w:b/>
                <w:bCs/>
                <w:color w:val="auto"/>
                <w:szCs w:val="21"/>
              </w:rPr>
              <w:t>所有投标文件密封袋的封口处应加盖投标人</w:t>
            </w:r>
            <w:r>
              <w:rPr>
                <w:rFonts w:hint="eastAsia"/>
                <w:b/>
                <w:bCs/>
                <w:color w:val="auto"/>
                <w:szCs w:val="21"/>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rPr>
            </w:pPr>
            <w:r>
              <w:rPr>
                <w:rFonts w:hint="eastAsia" w:ascii="宋体" w:hAnsi="宋体"/>
                <w:b/>
                <w:color w:val="auto"/>
                <w:szCs w:val="21"/>
              </w:rPr>
              <w:t>3</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rPr>
            </w:pPr>
            <w:r>
              <w:rPr>
                <w:rFonts w:hint="eastAsia" w:ascii="宋体" w:hAnsi="宋体"/>
                <w:color w:val="auto"/>
                <w:szCs w:val="21"/>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numPr>
                <w:ilvl w:val="1"/>
                <w:numId w:val="20"/>
              </w:numPr>
              <w:tabs>
                <w:tab w:val="left" w:pos="26"/>
                <w:tab w:val="clear" w:pos="783"/>
              </w:tabs>
              <w:spacing w:line="400" w:lineRule="exact"/>
              <w:ind w:left="26" w:firstLine="0"/>
              <w:jc w:val="both"/>
              <w:rPr>
                <w:b/>
                <w:color w:val="auto"/>
                <w:sz w:val="21"/>
                <w:szCs w:val="21"/>
              </w:rPr>
            </w:pPr>
            <w:r>
              <w:rPr>
                <w:rFonts w:hint="eastAsia"/>
                <w:b/>
                <w:color w:val="auto"/>
                <w:sz w:val="21"/>
                <w:szCs w:val="21"/>
              </w:rPr>
              <w:t>招标文件中打“★”号条款必须实质性响应，负偏离（不满足要求）将导致投标无效。</w:t>
            </w:r>
          </w:p>
          <w:p>
            <w:pPr>
              <w:pStyle w:val="5"/>
              <w:numPr>
                <w:ilvl w:val="1"/>
                <w:numId w:val="20"/>
              </w:numPr>
              <w:tabs>
                <w:tab w:val="left" w:pos="26"/>
                <w:tab w:val="clear" w:pos="783"/>
              </w:tabs>
              <w:spacing w:line="400" w:lineRule="exact"/>
              <w:ind w:left="26" w:firstLine="0"/>
              <w:jc w:val="both"/>
              <w:rPr>
                <w:bCs/>
                <w:color w:val="auto"/>
              </w:rPr>
            </w:pPr>
            <w:r>
              <w:rPr>
                <w:rFonts w:hint="eastAsia"/>
                <w:b/>
                <w:color w:val="auto"/>
                <w:sz w:val="21"/>
                <w:szCs w:val="21"/>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b/>
                <w:color w:val="auto"/>
                <w:szCs w:val="21"/>
              </w:rPr>
            </w:pPr>
            <w:r>
              <w:rPr>
                <w:rFonts w:ascii="宋体" w:hAnsi="宋体"/>
                <w:b/>
                <w:color w:val="auto"/>
                <w:szCs w:val="21"/>
              </w:rPr>
              <w:t>4</w:t>
            </w:r>
          </w:p>
        </w:tc>
        <w:tc>
          <w:tcPr>
            <w:tcW w:w="1856"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olor w:val="auto"/>
                <w:szCs w:val="21"/>
              </w:rPr>
            </w:pPr>
            <w:r>
              <w:rPr>
                <w:rFonts w:hint="eastAsia" w:ascii="宋体" w:hAnsi="宋体"/>
                <w:color w:val="auto"/>
                <w:szCs w:val="21"/>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rFonts w:ascii="宋体" w:hAnsi="宋体"/>
                <w:color w:val="auto"/>
                <w:szCs w:val="21"/>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auto"/>
                <w:szCs w:val="21"/>
              </w:rPr>
            </w:pP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color w:val="auto"/>
              </w:rPr>
              <w:fldChar w:fldCharType="begin"/>
            </w:r>
            <w:r>
              <w:rPr>
                <w:color w:val="auto"/>
              </w:rPr>
              <w:instrText xml:space="preserve"> HYPERLINK "http://www.gdgpo.gov.cn" </w:instrText>
            </w:r>
            <w:r>
              <w:rPr>
                <w:color w:val="auto"/>
              </w:rPr>
              <w:fldChar w:fldCharType="separate"/>
            </w:r>
            <w:r>
              <w:rPr>
                <w:rFonts w:ascii="宋体" w:hAnsi="宋体"/>
                <w:color w:val="auto"/>
                <w:szCs w:val="21"/>
              </w:rPr>
              <w:t>http://www.gdgpo.</w:t>
            </w:r>
            <w:r>
              <w:rPr>
                <w:rFonts w:hint="eastAsia" w:ascii="宋体" w:hAnsi="宋体"/>
                <w:color w:val="auto"/>
                <w:szCs w:val="21"/>
              </w:rPr>
              <w:t>com.</w:t>
            </w:r>
            <w:r>
              <w:rPr>
                <w:rFonts w:ascii="宋体" w:hAnsi="宋体"/>
                <w:color w:val="auto"/>
                <w:szCs w:val="21"/>
              </w:rPr>
              <w:t>cn</w:t>
            </w:r>
            <w:r>
              <w:rPr>
                <w:rFonts w:ascii="宋体" w:hAnsi="宋体"/>
                <w:color w:val="auto"/>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auto"/>
                <w:szCs w:val="21"/>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auto"/>
                <w:szCs w:val="21"/>
              </w:rPr>
            </w:pPr>
          </w:p>
        </w:tc>
        <w:tc>
          <w:tcPr>
            <w:tcW w:w="3418" w:type="dxa"/>
            <w:gridSpan w:val="2"/>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rPr>
              <w:t>http://www.yjcg.cc</w:t>
            </w:r>
          </w:p>
        </w:tc>
      </w:tr>
    </w:tbl>
    <w:p>
      <w:pPr>
        <w:pStyle w:val="5"/>
        <w:ind w:firstLine="0"/>
        <w:rPr>
          <w:color w:val="auto"/>
          <w:szCs w:val="21"/>
        </w:rPr>
      </w:pPr>
    </w:p>
    <w:p>
      <w:pPr>
        <w:pStyle w:val="5"/>
        <w:ind w:firstLine="0"/>
        <w:rPr>
          <w:color w:val="auto"/>
          <w:szCs w:val="21"/>
        </w:rPr>
      </w:pPr>
    </w:p>
    <w:p>
      <w:pPr>
        <w:pStyle w:val="4"/>
        <w:numPr>
          <w:ilvl w:val="0"/>
          <w:numId w:val="0"/>
        </w:numPr>
        <w:rPr>
          <w:color w:val="auto"/>
          <w:sz w:val="24"/>
        </w:rPr>
      </w:pPr>
      <w:bookmarkStart w:id="122" w:name="_Hlt21938665"/>
      <w:bookmarkEnd w:id="122"/>
      <w:bookmarkStart w:id="123" w:name="_Hlt21938668"/>
      <w:bookmarkEnd w:id="123"/>
      <w:bookmarkStart w:id="124" w:name="_Toc365985147"/>
      <w:bookmarkStart w:id="125" w:name="_Toc339020201"/>
      <w:bookmarkStart w:id="126" w:name="_Toc497224194"/>
      <w:bookmarkStart w:id="127" w:name="_Toc345513835"/>
      <w:bookmarkStart w:id="128" w:name="_Toc331684006"/>
      <w:bookmarkStart w:id="129" w:name="_Toc340507410"/>
      <w:bookmarkStart w:id="130" w:name="_Toc342060342"/>
      <w:bookmarkStart w:id="131" w:name="_Toc503785396"/>
      <w:bookmarkStart w:id="132" w:name="_Toc339019857"/>
      <w:bookmarkStart w:id="133" w:name="_Toc331512866"/>
      <w:bookmarkStart w:id="134" w:name="_Toc332270314"/>
      <w:bookmarkStart w:id="135" w:name="_Toc332206676"/>
      <w:bookmarkStart w:id="136" w:name="_Toc339019983"/>
      <w:bookmarkStart w:id="137" w:name="_Toc330459953"/>
      <w:bookmarkStart w:id="138" w:name="_Toc340677038"/>
      <w:bookmarkStart w:id="139" w:name="_Toc337632326"/>
      <w:bookmarkStart w:id="140" w:name="_Toc340672837"/>
      <w:bookmarkStart w:id="141" w:name="_Toc339020063"/>
      <w:bookmarkStart w:id="142" w:name="_Toc366072496"/>
      <w:bookmarkStart w:id="143" w:name="_Toc339362268"/>
      <w:bookmarkStart w:id="144" w:name="_Toc333238601"/>
      <w:bookmarkStart w:id="145" w:name="_Toc350756418"/>
      <w:bookmarkStart w:id="146" w:name="_Toc341348306"/>
      <w:bookmarkStart w:id="147" w:name="_Toc336681903"/>
      <w:bookmarkStart w:id="148" w:name="_Toc365967041"/>
      <w:bookmarkStart w:id="149" w:name="_Toc333237645"/>
      <w:bookmarkStart w:id="150" w:name="_Toc339441055"/>
      <w:bookmarkStart w:id="151" w:name="_Toc333237756"/>
      <w:bookmarkStart w:id="152" w:name="_Toc349127594"/>
      <w:bookmarkStart w:id="153" w:name="_Toc336681548"/>
      <w:bookmarkStart w:id="154" w:name="_Toc333935314"/>
      <w:bookmarkStart w:id="155" w:name="_Toc350438717"/>
      <w:bookmarkStart w:id="156" w:name="_Toc333935655"/>
      <w:bookmarkStart w:id="157" w:name="_Toc349143557"/>
      <w:bookmarkStart w:id="158" w:name="_Toc342296728"/>
      <w:bookmarkStart w:id="159" w:name="_Toc7556"/>
      <w:r>
        <w:rPr>
          <w:rFonts w:hint="eastAsia"/>
          <w:color w:val="auto"/>
          <w:sz w:val="24"/>
        </w:rPr>
        <w:t>Ａ说明</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pPr>
        <w:pStyle w:val="6"/>
        <w:numPr>
          <w:ilvl w:val="4"/>
          <w:numId w:val="24"/>
        </w:numPr>
        <w:tabs>
          <w:tab w:val="left" w:pos="720"/>
        </w:tabs>
        <w:spacing w:before="240" w:after="120"/>
        <w:ind w:left="2432" w:hanging="2432"/>
        <w:rPr>
          <w:color w:val="auto"/>
        </w:rPr>
      </w:pPr>
      <w:bookmarkStart w:id="160" w:name="_Toc497224195"/>
      <w:bookmarkStart w:id="161" w:name="_Toc503785397"/>
      <w:bookmarkStart w:id="162" w:name="_Toc339019858"/>
      <w:bookmarkStart w:id="163" w:name="_Toc365985148"/>
      <w:bookmarkStart w:id="164" w:name="_Toc339019984"/>
      <w:bookmarkStart w:id="165" w:name="_Toc332206677"/>
      <w:bookmarkStart w:id="166" w:name="_Toc349127595"/>
      <w:bookmarkStart w:id="167" w:name="_Toc340672838"/>
      <w:bookmarkStart w:id="168" w:name="_Toc336681904"/>
      <w:bookmarkStart w:id="169" w:name="_Toc333238602"/>
      <w:bookmarkStart w:id="170" w:name="_Toc342060343"/>
      <w:bookmarkStart w:id="171" w:name="_Toc339362269"/>
      <w:bookmarkStart w:id="172" w:name="_Toc330459954"/>
      <w:bookmarkStart w:id="173" w:name="_Toc339441056"/>
      <w:bookmarkStart w:id="174" w:name="_Toc342296729"/>
      <w:bookmarkStart w:id="175" w:name="_Toc340507411"/>
      <w:bookmarkStart w:id="176" w:name="_Toc349143558"/>
      <w:bookmarkStart w:id="177" w:name="_Toc333935656"/>
      <w:bookmarkStart w:id="178" w:name="_Toc366072497"/>
      <w:bookmarkStart w:id="179" w:name="_Toc333237757"/>
      <w:bookmarkStart w:id="180" w:name="_Toc331512867"/>
      <w:bookmarkStart w:id="181" w:name="_Toc333237646"/>
      <w:bookmarkStart w:id="182" w:name="_Toc337632327"/>
      <w:bookmarkStart w:id="183" w:name="_Toc350756419"/>
      <w:bookmarkStart w:id="184" w:name="_Toc336681549"/>
      <w:bookmarkStart w:id="185" w:name="_Toc345513836"/>
      <w:bookmarkStart w:id="186" w:name="_Toc350438718"/>
      <w:bookmarkStart w:id="187" w:name="_Toc332270315"/>
      <w:bookmarkStart w:id="188" w:name="_Toc339020064"/>
      <w:bookmarkStart w:id="189" w:name="_Toc331684007"/>
      <w:bookmarkStart w:id="190" w:name="_Toc339020202"/>
      <w:bookmarkStart w:id="191" w:name="_Toc333935315"/>
      <w:bookmarkStart w:id="192" w:name="_Toc365967042"/>
      <w:bookmarkStart w:id="193" w:name="_Toc341348307"/>
      <w:bookmarkStart w:id="194" w:name="_Toc340677039"/>
      <w:bookmarkStart w:id="195" w:name="_Toc30864"/>
      <w:r>
        <w:rPr>
          <w:rFonts w:hint="eastAsia"/>
          <w:color w:val="auto"/>
        </w:rPr>
        <w:t>适用范围</w:t>
      </w:r>
      <w:bookmarkEnd w:id="160"/>
      <w:bookmarkEnd w:id="161"/>
      <w:r>
        <w:rPr>
          <w:rFonts w:hint="eastAsia"/>
          <w:color w:val="auto"/>
        </w:rPr>
        <w:t>和资金来源</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widowControl/>
        <w:tabs>
          <w:tab w:val="left" w:pos="502"/>
          <w:tab w:val="left" w:pos="753"/>
          <w:tab w:val="left" w:pos="840"/>
        </w:tabs>
        <w:adjustRightInd w:val="0"/>
        <w:snapToGrid w:val="0"/>
        <w:spacing w:line="360" w:lineRule="auto"/>
        <w:ind w:left="752" w:hanging="751" w:hangingChars="358"/>
        <w:rPr>
          <w:rFonts w:ascii="宋体"/>
          <w:bCs/>
          <w:color w:val="auto"/>
        </w:rPr>
      </w:pPr>
      <w:bookmarkStart w:id="196" w:name="_Toc339020203"/>
      <w:bookmarkStart w:id="197" w:name="_Toc330459955"/>
      <w:bookmarkStart w:id="198" w:name="_Toc340677040"/>
      <w:bookmarkStart w:id="199" w:name="_Toc336681550"/>
      <w:bookmarkStart w:id="200" w:name="_Toc340672839"/>
      <w:bookmarkStart w:id="201" w:name="_Toc365985149"/>
      <w:bookmarkStart w:id="202" w:name="_Toc333935316"/>
      <w:bookmarkStart w:id="203" w:name="_Toc333935657"/>
      <w:bookmarkStart w:id="204" w:name="_Toc332270316"/>
      <w:bookmarkStart w:id="205" w:name="_Toc337632328"/>
      <w:bookmarkStart w:id="206" w:name="_Toc336681905"/>
      <w:bookmarkStart w:id="207" w:name="_Toc339020065"/>
      <w:bookmarkStart w:id="208" w:name="_Toc342296730"/>
      <w:bookmarkStart w:id="209" w:name="_Toc497224196"/>
      <w:bookmarkStart w:id="210" w:name="_Toc331684008"/>
      <w:bookmarkStart w:id="211" w:name="_Toc340507412"/>
      <w:bookmarkStart w:id="212" w:name="_Toc365967043"/>
      <w:bookmarkStart w:id="213" w:name="_Toc333237647"/>
      <w:bookmarkStart w:id="214" w:name="_Toc339441057"/>
      <w:bookmarkStart w:id="215" w:name="_Toc333238603"/>
      <w:bookmarkStart w:id="216" w:name="_Toc342060344"/>
      <w:bookmarkStart w:id="217" w:name="_Toc339019985"/>
      <w:bookmarkStart w:id="218" w:name="_Toc350438719"/>
      <w:bookmarkStart w:id="219" w:name="_Toc350756420"/>
      <w:bookmarkStart w:id="220" w:name="_Toc339362270"/>
      <w:bookmarkStart w:id="221" w:name="_Toc331512868"/>
      <w:bookmarkStart w:id="222" w:name="_Toc332206678"/>
      <w:bookmarkStart w:id="223" w:name="_Toc341348308"/>
      <w:bookmarkStart w:id="224" w:name="_Toc349143559"/>
      <w:bookmarkStart w:id="225" w:name="_Toc503785398"/>
      <w:bookmarkStart w:id="226" w:name="_Toc339019859"/>
      <w:bookmarkStart w:id="227" w:name="_Toc345513837"/>
      <w:bookmarkStart w:id="228" w:name="_Toc349127596"/>
      <w:bookmarkStart w:id="229" w:name="_Toc333237758"/>
      <w:bookmarkStart w:id="230" w:name="_Toc374454571"/>
      <w:bookmarkStart w:id="231" w:name="_Toc366072498"/>
      <w:r>
        <w:rPr>
          <w:rFonts w:hint="eastAsia" w:ascii="宋体"/>
          <w:bCs/>
          <w:color w:val="auto"/>
        </w:rPr>
        <w:t>1</w:t>
      </w:r>
      <w:r>
        <w:rPr>
          <w:rFonts w:ascii="宋体"/>
          <w:bCs/>
          <w:color w:val="auto"/>
        </w:rPr>
        <w:t>.1</w:t>
      </w:r>
      <w:r>
        <w:rPr>
          <w:rFonts w:hint="eastAsia" w:ascii="宋体"/>
          <w:bCs/>
          <w:color w:val="auto"/>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auto"/>
        </w:rPr>
      </w:pPr>
      <w:r>
        <w:rPr>
          <w:rFonts w:hint="eastAsia" w:ascii="宋体"/>
          <w:bCs/>
          <w:color w:val="auto"/>
        </w:rPr>
        <w:t>1</w:t>
      </w:r>
      <w:r>
        <w:rPr>
          <w:rFonts w:ascii="宋体"/>
          <w:bCs/>
          <w:color w:val="auto"/>
        </w:rPr>
        <w:t>.</w:t>
      </w:r>
      <w:r>
        <w:rPr>
          <w:rFonts w:hint="eastAsia" w:ascii="宋体"/>
          <w:bCs/>
          <w:color w:val="auto"/>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rPr>
      </w:pPr>
      <w:r>
        <w:rPr>
          <w:rFonts w:hint="eastAsia" w:ascii="宋体"/>
          <w:bCs/>
          <w:color w:val="auto"/>
        </w:rPr>
        <w:t>1</w:t>
      </w:r>
      <w:r>
        <w:rPr>
          <w:rFonts w:ascii="宋体"/>
          <w:bCs/>
          <w:color w:val="auto"/>
        </w:rPr>
        <w:t>.</w:t>
      </w:r>
      <w:r>
        <w:rPr>
          <w:rFonts w:hint="eastAsia" w:ascii="宋体"/>
          <w:bCs/>
          <w:color w:val="auto"/>
        </w:rPr>
        <w:t>3    本招标文件由代理采购机构负责解释。</w:t>
      </w:r>
    </w:p>
    <w:p>
      <w:pPr>
        <w:pStyle w:val="6"/>
        <w:numPr>
          <w:ilvl w:val="4"/>
          <w:numId w:val="24"/>
        </w:numPr>
        <w:tabs>
          <w:tab w:val="left" w:pos="720"/>
        </w:tabs>
        <w:spacing w:before="240" w:after="120"/>
        <w:ind w:left="2432" w:hanging="2432"/>
        <w:rPr>
          <w:color w:val="auto"/>
        </w:rPr>
      </w:pPr>
      <w:bookmarkStart w:id="232" w:name="_Toc22752"/>
      <w:r>
        <w:rPr>
          <w:rFonts w:hint="eastAsia"/>
          <w:color w:val="auto"/>
        </w:rPr>
        <w:t>定义</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2.1</w:t>
      </w:r>
      <w:r>
        <w:rPr>
          <w:rFonts w:ascii="宋体"/>
          <w:bCs/>
          <w:color w:val="auto"/>
        </w:rPr>
        <w:tab/>
      </w:r>
      <w:r>
        <w:rPr>
          <w:rFonts w:hint="eastAsia" w:ascii="宋体"/>
          <w:bCs/>
          <w:color w:val="auto"/>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auto"/>
        </w:rPr>
      </w:pPr>
      <w:r>
        <w:rPr>
          <w:rFonts w:hint="eastAsia" w:ascii="宋体"/>
          <w:bCs/>
          <w:color w:val="auto"/>
        </w:rPr>
        <w:t>2</w:t>
      </w:r>
      <w:r>
        <w:rPr>
          <w:rFonts w:ascii="宋体"/>
          <w:bCs/>
          <w:color w:val="auto"/>
        </w:rPr>
        <w:t>.2</w:t>
      </w:r>
      <w:r>
        <w:rPr>
          <w:rFonts w:hint="eastAsia" w:ascii="宋体"/>
          <w:bCs/>
          <w:color w:val="auto"/>
        </w:rPr>
        <w:tab/>
      </w:r>
      <w:r>
        <w:rPr>
          <w:rFonts w:hint="eastAsia" w:ascii="宋体"/>
          <w:bCs/>
          <w:color w:val="auto"/>
        </w:rPr>
        <w:tab/>
      </w:r>
      <w:r>
        <w:rPr>
          <w:rFonts w:hint="eastAsia" w:ascii="宋体"/>
          <w:bCs/>
          <w:color w:val="auto"/>
        </w:rPr>
        <w:t>“投标人”系指</w:t>
      </w:r>
      <w:r>
        <w:rPr>
          <w:rFonts w:hint="eastAsia" w:ascii="宋体" w:hAnsi="宋体"/>
          <w:bCs/>
          <w:color w:val="auto"/>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auto"/>
        </w:rPr>
      </w:pPr>
      <w:r>
        <w:rPr>
          <w:rFonts w:hint="eastAsia" w:ascii="宋体"/>
          <w:bCs/>
          <w:color w:val="auto"/>
        </w:rPr>
        <w:t>2.3</w:t>
      </w:r>
      <w:r>
        <w:rPr>
          <w:rFonts w:hint="eastAsia" w:ascii="宋体"/>
          <w:bCs/>
          <w:color w:val="auto"/>
        </w:rPr>
        <w:tab/>
      </w:r>
      <w:r>
        <w:rPr>
          <w:rFonts w:hint="eastAsia" w:ascii="宋体"/>
          <w:bCs/>
          <w:color w:val="auto"/>
        </w:rPr>
        <w:t>“采购人”系指阳江市人民医院，即项目采购用户方。</w:t>
      </w:r>
    </w:p>
    <w:p>
      <w:pPr>
        <w:widowControl/>
        <w:tabs>
          <w:tab w:val="left" w:pos="753"/>
        </w:tabs>
        <w:adjustRightInd w:val="0"/>
        <w:snapToGrid w:val="0"/>
        <w:spacing w:line="360" w:lineRule="auto"/>
        <w:ind w:left="751" w:leftChars="1" w:hanging="749" w:hangingChars="357"/>
        <w:rPr>
          <w:rFonts w:ascii="宋体" w:hAnsi="宋体"/>
          <w:bCs/>
          <w:color w:val="auto"/>
        </w:rPr>
      </w:pPr>
      <w:r>
        <w:rPr>
          <w:rFonts w:hint="eastAsia" w:ascii="宋体"/>
          <w:bCs/>
          <w:color w:val="auto"/>
        </w:rPr>
        <w:t>2.4</w:t>
      </w:r>
      <w:r>
        <w:rPr>
          <w:rFonts w:hint="eastAsia" w:ascii="宋体"/>
          <w:bCs/>
          <w:color w:val="auto"/>
        </w:rPr>
        <w:tab/>
      </w:r>
      <w:r>
        <w:rPr>
          <w:rFonts w:ascii="宋体" w:hAnsi="宋体"/>
          <w:bCs/>
          <w:color w:val="auto"/>
        </w:rPr>
        <w:t>“</w:t>
      </w:r>
      <w:r>
        <w:rPr>
          <w:rFonts w:hint="eastAsia" w:ascii="宋体" w:hAnsi="宋体"/>
          <w:bCs/>
          <w:color w:val="auto"/>
        </w:rPr>
        <w:t>货物</w:t>
      </w:r>
      <w:r>
        <w:rPr>
          <w:rFonts w:ascii="宋体" w:hAnsi="宋体"/>
          <w:bCs/>
          <w:color w:val="auto"/>
        </w:rPr>
        <w:t>”</w:t>
      </w:r>
      <w:r>
        <w:rPr>
          <w:rFonts w:hint="eastAsia" w:ascii="宋体" w:hAnsi="宋体"/>
          <w:bCs/>
          <w:color w:val="auto"/>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rPr>
      </w:pPr>
      <w:r>
        <w:rPr>
          <w:rFonts w:hint="eastAsia" w:ascii="宋体" w:hAnsi="宋体"/>
          <w:bCs/>
          <w:color w:val="auto"/>
        </w:rPr>
        <w:t>“工作日”系指国家规定除法定节假日以外的以日</w:t>
      </w:r>
      <w:r>
        <w:rPr>
          <w:rFonts w:ascii="宋体" w:hAnsi="宋体"/>
          <w:bCs/>
          <w:color w:val="auto"/>
        </w:rPr>
        <w:t>为计算单位的工作时间</w:t>
      </w:r>
      <w:r>
        <w:rPr>
          <w:rFonts w:hint="eastAsia" w:ascii="宋体" w:hAnsi="宋体"/>
          <w:bCs/>
          <w:color w:val="auto"/>
        </w:rPr>
        <w:t>。</w:t>
      </w:r>
    </w:p>
    <w:p>
      <w:pPr>
        <w:pStyle w:val="6"/>
        <w:numPr>
          <w:ilvl w:val="4"/>
          <w:numId w:val="24"/>
        </w:numPr>
        <w:tabs>
          <w:tab w:val="left" w:pos="720"/>
        </w:tabs>
        <w:spacing w:before="240" w:after="120"/>
        <w:ind w:left="2432" w:hanging="2432"/>
        <w:rPr>
          <w:color w:val="auto"/>
        </w:rPr>
      </w:pPr>
      <w:bookmarkStart w:id="233" w:name="_Toc497224197"/>
      <w:bookmarkStart w:id="234" w:name="_Toc503785399"/>
      <w:bookmarkStart w:id="235" w:name="_Toc336681906"/>
      <w:bookmarkStart w:id="236" w:name="_Toc366072499"/>
      <w:bookmarkStart w:id="237" w:name="_Toc349127597"/>
      <w:bookmarkStart w:id="238" w:name="_Toc365985150"/>
      <w:bookmarkStart w:id="239" w:name="_Toc331684009"/>
      <w:bookmarkStart w:id="240" w:name="_Toc330459956"/>
      <w:bookmarkStart w:id="241" w:name="_Toc333237648"/>
      <w:bookmarkStart w:id="242" w:name="_Toc365967044"/>
      <w:bookmarkStart w:id="243" w:name="_Toc339362271"/>
      <w:bookmarkStart w:id="244" w:name="_Toc333935317"/>
      <w:bookmarkStart w:id="245" w:name="_Toc339019860"/>
      <w:bookmarkStart w:id="246" w:name="_Toc339020204"/>
      <w:bookmarkStart w:id="247" w:name="_Toc336681551"/>
      <w:bookmarkStart w:id="248" w:name="_Toc342060345"/>
      <w:bookmarkStart w:id="249" w:name="_Toc339019986"/>
      <w:bookmarkStart w:id="250" w:name="_Toc339020066"/>
      <w:bookmarkStart w:id="251" w:name="_Toc332206679"/>
      <w:bookmarkStart w:id="252" w:name="_Toc332270317"/>
      <w:bookmarkStart w:id="253" w:name="_Toc350756421"/>
      <w:bookmarkStart w:id="254" w:name="_Toc342296731"/>
      <w:bookmarkStart w:id="255" w:name="_Toc345513838"/>
      <w:bookmarkStart w:id="256" w:name="_Toc333238604"/>
      <w:bookmarkStart w:id="257" w:name="_Toc374454572"/>
      <w:bookmarkStart w:id="258" w:name="_Toc340507413"/>
      <w:bookmarkStart w:id="259" w:name="_Toc337632329"/>
      <w:bookmarkStart w:id="260" w:name="_Toc339441058"/>
      <w:bookmarkStart w:id="261" w:name="_Toc350438720"/>
      <w:bookmarkStart w:id="262" w:name="_Toc341348309"/>
      <w:bookmarkStart w:id="263" w:name="_Toc331512869"/>
      <w:bookmarkStart w:id="264" w:name="_Toc333935658"/>
      <w:bookmarkStart w:id="265" w:name="_Toc340677041"/>
      <w:bookmarkStart w:id="266" w:name="_Toc333237759"/>
      <w:bookmarkStart w:id="267" w:name="_Toc349143560"/>
      <w:bookmarkStart w:id="268" w:name="_Toc340672840"/>
      <w:bookmarkStart w:id="269" w:name="_Toc29253"/>
      <w:r>
        <w:rPr>
          <w:rFonts w:hint="eastAsia"/>
          <w:color w:val="auto"/>
        </w:rPr>
        <w:t>合格的</w:t>
      </w:r>
      <w:bookmarkEnd w:id="233"/>
      <w:bookmarkEnd w:id="234"/>
      <w:r>
        <w:rPr>
          <w:rFonts w:hint="eastAsia"/>
          <w:color w:val="auto"/>
        </w:rPr>
        <w:t>投标人</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pPr>
        <w:widowControl/>
        <w:tabs>
          <w:tab w:val="left" w:pos="502"/>
          <w:tab w:val="left" w:pos="753"/>
        </w:tabs>
        <w:adjustRightInd w:val="0"/>
        <w:snapToGrid w:val="0"/>
        <w:spacing w:line="360" w:lineRule="auto"/>
        <w:ind w:left="752" w:hanging="751" w:hangingChars="358"/>
        <w:rPr>
          <w:rFonts w:ascii="宋体"/>
          <w:bCs/>
          <w:color w:val="auto"/>
        </w:rPr>
      </w:pPr>
      <w:r>
        <w:rPr>
          <w:rFonts w:ascii="宋体"/>
          <w:bCs/>
          <w:color w:val="auto"/>
        </w:rPr>
        <w:t>3.1</w:t>
      </w:r>
      <w:r>
        <w:rPr>
          <w:rFonts w:hint="eastAsia" w:ascii="宋体"/>
          <w:bCs/>
          <w:color w:val="auto"/>
        </w:rPr>
        <w:tab/>
      </w:r>
      <w:r>
        <w:rPr>
          <w:rFonts w:hint="eastAsia" w:ascii="宋体"/>
          <w:bCs/>
          <w:color w:val="auto"/>
        </w:rPr>
        <w:tab/>
      </w:r>
      <w:r>
        <w:rPr>
          <w:rFonts w:hint="eastAsia" w:ascii="宋体" w:hAnsi="宋体"/>
          <w:bCs/>
          <w:color w:val="auto"/>
        </w:rPr>
        <w:t>国内有能力提供采购项目相关的工程、货物和服务且符合本项目合格投标人资格条件的投标人</w:t>
      </w:r>
      <w:r>
        <w:rPr>
          <w:rFonts w:hint="eastAsia" w:ascii="宋体"/>
          <w:bCs/>
          <w:color w:val="auto"/>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auto"/>
        </w:rPr>
      </w:pPr>
      <w:r>
        <w:rPr>
          <w:rFonts w:ascii="宋体"/>
          <w:bCs/>
          <w:color w:val="auto"/>
        </w:rPr>
        <w:t>3.2</w:t>
      </w:r>
      <w:r>
        <w:rPr>
          <w:rFonts w:ascii="宋体"/>
          <w:bCs/>
          <w:color w:val="auto"/>
        </w:rPr>
        <w:tab/>
      </w:r>
      <w:r>
        <w:rPr>
          <w:rFonts w:hint="eastAsia" w:ascii="宋体"/>
          <w:bCs/>
          <w:color w:val="auto"/>
        </w:rPr>
        <w:tab/>
      </w:r>
      <w:r>
        <w:rPr>
          <w:rFonts w:hint="eastAsia" w:ascii="宋体" w:hAnsi="宋体"/>
          <w:bCs/>
          <w:color w:val="auto"/>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3.3    </w:t>
      </w:r>
      <w:r>
        <w:rPr>
          <w:rFonts w:ascii="宋体" w:hAnsi="宋体"/>
          <w:bCs/>
          <w:color w:val="auto"/>
          <w:szCs w:val="21"/>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3.4     </w:t>
      </w:r>
      <w:r>
        <w:rPr>
          <w:rFonts w:ascii="宋体" w:hAnsi="宋体"/>
          <w:bCs/>
          <w:color w:val="auto"/>
          <w:szCs w:val="21"/>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rPr>
      </w:pPr>
      <w:r>
        <w:rPr>
          <w:rFonts w:hint="eastAsia" w:ascii="宋体" w:hAnsi="宋体"/>
          <w:bCs/>
          <w:color w:val="auto"/>
          <w:szCs w:val="21"/>
        </w:rPr>
        <w:t xml:space="preserve">3.5    </w:t>
      </w:r>
      <w:r>
        <w:rPr>
          <w:rFonts w:ascii="宋体" w:hAnsi="宋体"/>
          <w:bCs/>
          <w:color w:val="auto"/>
          <w:szCs w:val="21"/>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szCs w:val="21"/>
        </w:rPr>
        <w:t xml:space="preserve">3.6    </w:t>
      </w:r>
      <w:r>
        <w:rPr>
          <w:bCs/>
          <w:color w:val="auto"/>
          <w:szCs w:val="21"/>
        </w:rPr>
        <w:t>专门面向中小微企业采购的项目，只能由中小企业或微型企业参加。</w:t>
      </w:r>
    </w:p>
    <w:p>
      <w:pPr>
        <w:pStyle w:val="6"/>
        <w:numPr>
          <w:ilvl w:val="4"/>
          <w:numId w:val="24"/>
        </w:numPr>
        <w:tabs>
          <w:tab w:val="left" w:pos="720"/>
        </w:tabs>
        <w:spacing w:before="240" w:after="120"/>
        <w:ind w:left="2432" w:hanging="2432"/>
        <w:rPr>
          <w:color w:val="auto"/>
        </w:rPr>
      </w:pPr>
      <w:bookmarkStart w:id="270" w:name="_Toc339020205"/>
      <w:bookmarkStart w:id="271" w:name="_Toc350756422"/>
      <w:bookmarkStart w:id="272" w:name="_Toc331684010"/>
      <w:bookmarkStart w:id="273" w:name="_Toc497224198"/>
      <w:bookmarkStart w:id="274" w:name="_Toc365985151"/>
      <w:bookmarkStart w:id="275" w:name="_Toc339362272"/>
      <w:bookmarkStart w:id="276" w:name="_Toc333238605"/>
      <w:bookmarkStart w:id="277" w:name="_Toc503785400"/>
      <w:bookmarkStart w:id="278" w:name="_Toc339020067"/>
      <w:bookmarkStart w:id="279" w:name="_Toc374454573"/>
      <w:bookmarkStart w:id="280" w:name="_Toc330459957"/>
      <w:bookmarkStart w:id="281" w:name="_Toc340507414"/>
      <w:bookmarkStart w:id="282" w:name="_Toc333935659"/>
      <w:bookmarkStart w:id="283" w:name="_Toc336681552"/>
      <w:bookmarkStart w:id="284" w:name="_Toc349143561"/>
      <w:bookmarkStart w:id="285" w:name="_Toc349127598"/>
      <w:bookmarkStart w:id="286" w:name="_Toc337632330"/>
      <w:bookmarkStart w:id="287" w:name="_Toc342060346"/>
      <w:bookmarkStart w:id="288" w:name="_Toc345513839"/>
      <w:bookmarkStart w:id="289" w:name="_Toc350438721"/>
      <w:bookmarkStart w:id="290" w:name="_Toc339441059"/>
      <w:bookmarkStart w:id="291" w:name="_Toc333237760"/>
      <w:bookmarkStart w:id="292" w:name="_Toc340672841"/>
      <w:bookmarkStart w:id="293" w:name="_Toc339019861"/>
      <w:bookmarkStart w:id="294" w:name="_Toc333935318"/>
      <w:bookmarkStart w:id="295" w:name="_Toc341348310"/>
      <w:bookmarkStart w:id="296" w:name="_Toc332206680"/>
      <w:bookmarkStart w:id="297" w:name="_Toc333237649"/>
      <w:bookmarkStart w:id="298" w:name="_Toc365967045"/>
      <w:bookmarkStart w:id="299" w:name="_Toc342296732"/>
      <w:bookmarkStart w:id="300" w:name="_Toc336681907"/>
      <w:bookmarkStart w:id="301" w:name="_Toc331512870"/>
      <w:bookmarkStart w:id="302" w:name="_Toc366072500"/>
      <w:bookmarkStart w:id="303" w:name="_Toc339019987"/>
      <w:bookmarkStart w:id="304" w:name="_Toc340677042"/>
      <w:bookmarkStart w:id="305" w:name="_Toc332270318"/>
      <w:bookmarkStart w:id="306" w:name="_Toc2825"/>
      <w:r>
        <w:rPr>
          <w:rFonts w:hint="eastAsia"/>
          <w:color w:val="auto"/>
        </w:rPr>
        <w:t>投标费用</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4.1</w:t>
      </w:r>
      <w:r>
        <w:rPr>
          <w:rFonts w:hint="eastAsia" w:ascii="宋体"/>
          <w:bCs/>
          <w:color w:val="auto"/>
        </w:rPr>
        <w:tab/>
      </w:r>
      <w:r>
        <w:rPr>
          <w:rFonts w:hint="eastAsia" w:hAnsi="宋体"/>
          <w:color w:val="auto"/>
        </w:rPr>
        <w:t>投标人应承担所有与准备和参加投标有关的费用。不论投标的结果如何，代理采购机构和采购人均无义务和责任承担这些费用</w:t>
      </w:r>
      <w:r>
        <w:rPr>
          <w:rFonts w:hint="eastAsia" w:ascii="宋体"/>
          <w:bCs/>
          <w:color w:val="auto"/>
        </w:rPr>
        <w:t>。</w:t>
      </w:r>
      <w:bookmarkStart w:id="307" w:name="_Toc345513840"/>
      <w:bookmarkStart w:id="308" w:name="_Toc339020206"/>
      <w:bookmarkStart w:id="309" w:name="_Toc333237650"/>
      <w:bookmarkStart w:id="310" w:name="_Toc350756423"/>
      <w:bookmarkStart w:id="311" w:name="_Toc497224199"/>
      <w:bookmarkStart w:id="312" w:name="_Toc332270319"/>
      <w:bookmarkStart w:id="313" w:name="_Toc339441060"/>
      <w:bookmarkStart w:id="314" w:name="_Toc339020068"/>
      <w:bookmarkStart w:id="315" w:name="_Toc365967046"/>
      <w:bookmarkStart w:id="316" w:name="_Toc349127599"/>
      <w:bookmarkStart w:id="317" w:name="_Toc374454574"/>
      <w:bookmarkStart w:id="318" w:name="_Toc339019988"/>
      <w:bookmarkStart w:id="319" w:name="_Toc339019862"/>
      <w:bookmarkStart w:id="320" w:name="_Toc331684011"/>
      <w:bookmarkStart w:id="321" w:name="_Toc333237761"/>
      <w:bookmarkStart w:id="322" w:name="_Toc365985152"/>
      <w:bookmarkStart w:id="323" w:name="_Toc333238606"/>
      <w:bookmarkStart w:id="324" w:name="_Toc333935660"/>
      <w:bookmarkStart w:id="325" w:name="_Toc503785401"/>
      <w:bookmarkStart w:id="326" w:name="_Toc336681908"/>
      <w:bookmarkStart w:id="327" w:name="_Toc339362273"/>
      <w:bookmarkStart w:id="328" w:name="_Toc342296733"/>
      <w:bookmarkStart w:id="329" w:name="_Toc341348311"/>
      <w:bookmarkStart w:id="330" w:name="_Toc337632331"/>
      <w:bookmarkStart w:id="331" w:name="_Toc366072501"/>
      <w:bookmarkStart w:id="332" w:name="_Toc342060347"/>
      <w:bookmarkStart w:id="333" w:name="_Toc340677043"/>
      <w:bookmarkStart w:id="334" w:name="_Toc340507415"/>
      <w:bookmarkStart w:id="335" w:name="_Toc350438722"/>
      <w:bookmarkStart w:id="336" w:name="_Toc331512871"/>
      <w:bookmarkStart w:id="337" w:name="_Toc336681553"/>
      <w:bookmarkStart w:id="338" w:name="_Toc332206681"/>
      <w:bookmarkStart w:id="339" w:name="_Toc333935319"/>
      <w:bookmarkStart w:id="340" w:name="_Toc349143562"/>
      <w:bookmarkStart w:id="341" w:name="_Toc340672842"/>
      <w:bookmarkStart w:id="342" w:name="_Toc330459958"/>
    </w:p>
    <w:p>
      <w:pPr>
        <w:pStyle w:val="4"/>
        <w:numPr>
          <w:ilvl w:val="0"/>
          <w:numId w:val="0"/>
        </w:numPr>
        <w:rPr>
          <w:color w:val="auto"/>
          <w:sz w:val="24"/>
        </w:rPr>
      </w:pPr>
      <w:bookmarkStart w:id="343" w:name="_Toc5652"/>
      <w:r>
        <w:rPr>
          <w:rFonts w:hint="eastAsia"/>
          <w:color w:val="auto"/>
          <w:sz w:val="24"/>
        </w:rPr>
        <w:t>Ｂ招标文件说明</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pPr>
        <w:pStyle w:val="6"/>
        <w:numPr>
          <w:ilvl w:val="4"/>
          <w:numId w:val="24"/>
        </w:numPr>
        <w:tabs>
          <w:tab w:val="left" w:pos="720"/>
        </w:tabs>
        <w:spacing w:before="240" w:after="120"/>
        <w:ind w:left="2432" w:hanging="2432"/>
        <w:rPr>
          <w:color w:val="auto"/>
        </w:rPr>
      </w:pPr>
      <w:bookmarkStart w:id="344" w:name="_Toc333237651"/>
      <w:bookmarkStart w:id="345" w:name="_Toc374454575"/>
      <w:bookmarkStart w:id="346" w:name="_Toc340672843"/>
      <w:bookmarkStart w:id="347" w:name="_Toc332270320"/>
      <w:bookmarkStart w:id="348" w:name="_Toc333935320"/>
      <w:bookmarkStart w:id="349" w:name="_Toc332206682"/>
      <w:bookmarkStart w:id="350" w:name="_Toc350756424"/>
      <w:bookmarkStart w:id="351" w:name="_Toc339019989"/>
      <w:bookmarkStart w:id="352" w:name="_Toc345513841"/>
      <w:bookmarkStart w:id="353" w:name="_Toc342060348"/>
      <w:bookmarkStart w:id="354" w:name="_Toc349143563"/>
      <w:bookmarkStart w:id="355" w:name="_Toc340507416"/>
      <w:bookmarkStart w:id="356" w:name="_Toc336681909"/>
      <w:bookmarkStart w:id="357" w:name="_Toc336681554"/>
      <w:bookmarkStart w:id="358" w:name="_Toc497224200"/>
      <w:bookmarkStart w:id="359" w:name="_Toc365967047"/>
      <w:bookmarkStart w:id="360" w:name="_Toc333935661"/>
      <w:bookmarkStart w:id="361" w:name="_Toc365985153"/>
      <w:bookmarkStart w:id="362" w:name="_Toc331512872"/>
      <w:bookmarkStart w:id="363" w:name="_Toc333237762"/>
      <w:bookmarkStart w:id="364" w:name="_Toc339362274"/>
      <w:bookmarkStart w:id="365" w:name="_Toc339020069"/>
      <w:bookmarkStart w:id="366" w:name="_Toc503785402"/>
      <w:bookmarkStart w:id="367" w:name="_Toc339019863"/>
      <w:bookmarkStart w:id="368" w:name="_Toc331684012"/>
      <w:bookmarkStart w:id="369" w:name="_Toc349127600"/>
      <w:bookmarkStart w:id="370" w:name="_Toc337632332"/>
      <w:bookmarkStart w:id="371" w:name="_Toc339441061"/>
      <w:bookmarkStart w:id="372" w:name="_Toc342296734"/>
      <w:bookmarkStart w:id="373" w:name="_Toc366072502"/>
      <w:bookmarkStart w:id="374" w:name="_Toc333238607"/>
      <w:bookmarkStart w:id="375" w:name="_Toc339020207"/>
      <w:bookmarkStart w:id="376" w:name="_Toc341348312"/>
      <w:bookmarkStart w:id="377" w:name="_Toc350438723"/>
      <w:bookmarkStart w:id="378" w:name="_Toc330459959"/>
      <w:bookmarkStart w:id="379" w:name="_Toc340677044"/>
      <w:bookmarkStart w:id="380" w:name="_Toc10337"/>
      <w:r>
        <w:rPr>
          <w:rFonts w:hint="eastAsia"/>
          <w:color w:val="auto"/>
        </w:rPr>
        <w:t>招标文件的构成</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5.1</w:t>
      </w:r>
      <w:r>
        <w:rPr>
          <w:rFonts w:ascii="宋体"/>
          <w:bCs/>
          <w:color w:val="auto"/>
        </w:rPr>
        <w:tab/>
      </w:r>
      <w:r>
        <w:rPr>
          <w:rFonts w:hint="eastAsia" w:ascii="宋体"/>
          <w:bCs/>
          <w:color w:val="auto"/>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第一部分  投标邀请函</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第二部分  采购项目内容</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第三部分  投标人须知</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第四部分  参考合同</w:t>
      </w:r>
    </w:p>
    <w:p>
      <w:pPr>
        <w:widowControl/>
        <w:tabs>
          <w:tab w:val="left" w:pos="753"/>
        </w:tabs>
        <w:adjustRightInd w:val="0"/>
        <w:snapToGrid w:val="0"/>
        <w:spacing w:line="360" w:lineRule="auto"/>
        <w:ind w:left="1445" w:leftChars="448" w:hanging="504"/>
        <w:rPr>
          <w:rFonts w:ascii="宋体"/>
          <w:bCs/>
          <w:color w:val="auto"/>
        </w:rPr>
      </w:pPr>
      <w:r>
        <w:rPr>
          <w:rFonts w:hint="eastAsia" w:ascii="宋体"/>
          <w:bCs/>
          <w:color w:val="auto"/>
        </w:rPr>
        <w:t>第五部分  投标文件格式（含附件）</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5.2</w:t>
      </w:r>
      <w:r>
        <w:rPr>
          <w:rFonts w:ascii="宋体"/>
          <w:bCs/>
          <w:color w:val="auto"/>
        </w:rPr>
        <w:tab/>
      </w:r>
      <w:r>
        <w:rPr>
          <w:rFonts w:hint="eastAsia" w:ascii="宋体"/>
          <w:bCs/>
          <w:color w:val="auto"/>
        </w:rPr>
        <w:t>招标文件以中文编印。</w:t>
      </w:r>
    </w:p>
    <w:p>
      <w:pPr>
        <w:pStyle w:val="6"/>
        <w:numPr>
          <w:ilvl w:val="4"/>
          <w:numId w:val="24"/>
        </w:numPr>
        <w:tabs>
          <w:tab w:val="left" w:pos="720"/>
        </w:tabs>
        <w:spacing w:before="240" w:after="120"/>
        <w:ind w:left="2432" w:hanging="2432"/>
        <w:rPr>
          <w:color w:val="auto"/>
        </w:rPr>
      </w:pPr>
      <w:bookmarkStart w:id="381" w:name="_Toc333935321"/>
      <w:bookmarkStart w:id="382" w:name="_Toc339019864"/>
      <w:bookmarkStart w:id="383" w:name="_Toc333237652"/>
      <w:bookmarkStart w:id="384" w:name="_Toc339019990"/>
      <w:bookmarkStart w:id="385" w:name="_Toc339441062"/>
      <w:bookmarkStart w:id="386" w:name="_Toc336681910"/>
      <w:bookmarkStart w:id="387" w:name="_Toc333237763"/>
      <w:bookmarkStart w:id="388" w:name="_Toc342296735"/>
      <w:bookmarkStart w:id="389" w:name="_Toc497224201"/>
      <w:bookmarkStart w:id="390" w:name="_Toc340507417"/>
      <w:bookmarkStart w:id="391" w:name="_Toc336681555"/>
      <w:bookmarkStart w:id="392" w:name="_Toc331512873"/>
      <w:bookmarkStart w:id="393" w:name="_Toc332206683"/>
      <w:bookmarkStart w:id="394" w:name="_Toc365967048"/>
      <w:bookmarkStart w:id="395" w:name="_Toc349127601"/>
      <w:bookmarkStart w:id="396" w:name="_Toc333935662"/>
      <w:bookmarkStart w:id="397" w:name="_Toc340672844"/>
      <w:bookmarkStart w:id="398" w:name="_Toc370388389"/>
      <w:bookmarkStart w:id="399" w:name="_Toc345513842"/>
      <w:bookmarkStart w:id="400" w:name="_Toc341348313"/>
      <w:bookmarkStart w:id="401" w:name="_Toc350756425"/>
      <w:bookmarkStart w:id="402" w:name="_Toc365985154"/>
      <w:bookmarkStart w:id="403" w:name="_Toc333238608"/>
      <w:bookmarkStart w:id="404" w:name="_Toc330459960"/>
      <w:bookmarkStart w:id="405" w:name="_Toc337632333"/>
      <w:bookmarkStart w:id="406" w:name="_Toc350438724"/>
      <w:bookmarkStart w:id="407" w:name="_Toc340677045"/>
      <w:bookmarkStart w:id="408" w:name="_Toc332270321"/>
      <w:bookmarkStart w:id="409" w:name="_Toc349143564"/>
      <w:bookmarkStart w:id="410" w:name="_Toc342060349"/>
      <w:bookmarkStart w:id="411" w:name="_Toc339020208"/>
      <w:bookmarkStart w:id="412" w:name="_Toc331684013"/>
      <w:bookmarkStart w:id="413" w:name="_Toc339362275"/>
      <w:bookmarkStart w:id="414" w:name="_Toc339020070"/>
      <w:bookmarkStart w:id="415" w:name="_Toc503785403"/>
      <w:bookmarkStart w:id="416" w:name="_Toc374454576"/>
      <w:bookmarkStart w:id="417" w:name="_Toc31968"/>
      <w:bookmarkStart w:id="418" w:name="_Toc497224203"/>
      <w:bookmarkStart w:id="419" w:name="_Toc503785405"/>
      <w:bookmarkStart w:id="420" w:name="_Toc333237654"/>
      <w:bookmarkStart w:id="421" w:name="_Toc350438726"/>
      <w:bookmarkStart w:id="422" w:name="_Toc330459962"/>
      <w:bookmarkStart w:id="423" w:name="_Toc365967050"/>
      <w:bookmarkStart w:id="424" w:name="_Toc339020210"/>
      <w:bookmarkStart w:id="425" w:name="_Toc331684015"/>
      <w:bookmarkStart w:id="426" w:name="_Toc342296737"/>
      <w:bookmarkStart w:id="427" w:name="_Toc349127603"/>
      <w:bookmarkStart w:id="428" w:name="_Toc345513844"/>
      <w:bookmarkStart w:id="429" w:name="_Toc366072505"/>
      <w:bookmarkStart w:id="430" w:name="_Toc339020072"/>
      <w:bookmarkStart w:id="431" w:name="_Toc342060351"/>
      <w:bookmarkStart w:id="432" w:name="_Toc339441064"/>
      <w:bookmarkStart w:id="433" w:name="_Toc333935323"/>
      <w:bookmarkStart w:id="434" w:name="_Toc333238610"/>
      <w:bookmarkStart w:id="435" w:name="_Toc340507419"/>
      <w:bookmarkStart w:id="436" w:name="_Toc339362277"/>
      <w:bookmarkStart w:id="437" w:name="_Toc349143566"/>
      <w:bookmarkStart w:id="438" w:name="_Toc340677047"/>
      <w:bookmarkStart w:id="439" w:name="_Toc341348315"/>
      <w:bookmarkStart w:id="440" w:name="_Toc333237765"/>
      <w:bookmarkStart w:id="441" w:name="_Toc337632335"/>
      <w:bookmarkStart w:id="442" w:name="_Toc336681912"/>
      <w:bookmarkStart w:id="443" w:name="_Toc350756427"/>
      <w:bookmarkStart w:id="444" w:name="_Toc339019992"/>
      <w:bookmarkStart w:id="445" w:name="_Toc333935664"/>
      <w:bookmarkStart w:id="446" w:name="_Toc365985156"/>
      <w:bookmarkStart w:id="447" w:name="_Toc332206685"/>
      <w:bookmarkStart w:id="448" w:name="_Toc336681557"/>
      <w:bookmarkStart w:id="449" w:name="_Toc340672846"/>
      <w:bookmarkStart w:id="450" w:name="_Toc332270323"/>
      <w:bookmarkStart w:id="451" w:name="_Toc339019866"/>
      <w:bookmarkStart w:id="452" w:name="_Toc331512875"/>
      <w:r>
        <w:rPr>
          <w:rFonts w:hint="eastAsia"/>
          <w:color w:val="auto"/>
        </w:rPr>
        <w:t>招标文件的澄清</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r>
        <w:rPr>
          <w:rFonts w:hint="eastAsia"/>
          <w:color w:val="auto"/>
        </w:rPr>
        <w:t>、修改</w:t>
      </w:r>
      <w:bookmarkEnd w:id="416"/>
      <w:bookmarkEnd w:id="417"/>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rPr>
      </w:pPr>
      <w:r>
        <w:rPr>
          <w:rFonts w:hint="eastAsia" w:ascii="宋体" w:hAnsi="宋体"/>
          <w:color w:val="auto"/>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rPr>
      </w:pPr>
      <w:r>
        <w:rPr>
          <w:rFonts w:hint="eastAsia" w:ascii="宋体" w:hAnsi="宋体"/>
          <w:color w:val="auto"/>
        </w:rPr>
        <w:t>澄清或修改时间距投标截止时间不足15日的，采购人或代理采购机构在征得已获取招标文件的投标人同意并书面确认后，可不改变投标截止时间。</w:t>
      </w:r>
    </w:p>
    <w:p>
      <w:pPr>
        <w:pStyle w:val="4"/>
        <w:numPr>
          <w:ilvl w:val="0"/>
          <w:numId w:val="0"/>
        </w:numPr>
        <w:rPr>
          <w:color w:val="auto"/>
          <w:sz w:val="24"/>
        </w:rPr>
      </w:pPr>
      <w:bookmarkStart w:id="453" w:name="_Toc374454577"/>
      <w:r>
        <w:rPr>
          <w:color w:val="auto"/>
          <w:sz w:val="24"/>
        </w:rPr>
        <w:br w:type="page"/>
      </w:r>
      <w:bookmarkStart w:id="454" w:name="_Toc11294"/>
      <w:r>
        <w:rPr>
          <w:rFonts w:hint="eastAsia"/>
          <w:color w:val="auto"/>
          <w:sz w:val="24"/>
        </w:rPr>
        <w:t>Ｃ投标文件的编</w:t>
      </w:r>
      <w:bookmarkEnd w:id="418"/>
      <w:bookmarkEnd w:id="419"/>
      <w:r>
        <w:rPr>
          <w:rFonts w:hint="eastAsia"/>
          <w:color w:val="auto"/>
          <w:sz w:val="24"/>
        </w:rPr>
        <w:t>制</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pPr>
        <w:pStyle w:val="6"/>
        <w:numPr>
          <w:ilvl w:val="4"/>
          <w:numId w:val="24"/>
        </w:numPr>
        <w:tabs>
          <w:tab w:val="left" w:pos="720"/>
        </w:tabs>
        <w:spacing w:before="240" w:after="120"/>
        <w:ind w:left="2432" w:hanging="2432"/>
        <w:rPr>
          <w:color w:val="auto"/>
        </w:rPr>
      </w:pPr>
      <w:bookmarkStart w:id="455" w:name="_Toc336681558"/>
      <w:bookmarkStart w:id="456" w:name="_Toc374454578"/>
      <w:bookmarkStart w:id="457" w:name="_Toc339362278"/>
      <w:bookmarkStart w:id="458" w:name="_Toc336681913"/>
      <w:bookmarkStart w:id="459" w:name="_Toc365967051"/>
      <w:bookmarkStart w:id="460" w:name="_Toc349143567"/>
      <w:bookmarkStart w:id="461" w:name="_Toc341348316"/>
      <w:bookmarkStart w:id="462" w:name="_Toc350438727"/>
      <w:bookmarkStart w:id="463" w:name="_Toc339441065"/>
      <w:bookmarkStart w:id="464" w:name="_Toc350756428"/>
      <w:bookmarkStart w:id="465" w:name="_Toc349127604"/>
      <w:bookmarkStart w:id="466" w:name="_Toc339020073"/>
      <w:bookmarkStart w:id="467" w:name="_Toc339019993"/>
      <w:bookmarkStart w:id="468" w:name="_Toc337632336"/>
      <w:bookmarkStart w:id="469" w:name="_Toc331512876"/>
      <w:bookmarkStart w:id="470" w:name="_Toc342060352"/>
      <w:bookmarkStart w:id="471" w:name="_Toc340677048"/>
      <w:bookmarkStart w:id="472" w:name="_Toc339020211"/>
      <w:bookmarkStart w:id="473" w:name="_Toc342296738"/>
      <w:bookmarkStart w:id="474" w:name="_Toc340507420"/>
      <w:bookmarkStart w:id="475" w:name="_Toc333238611"/>
      <w:bookmarkStart w:id="476" w:name="_Toc503785406"/>
      <w:bookmarkStart w:id="477" w:name="_Toc365985157"/>
      <w:bookmarkStart w:id="478" w:name="_Toc497224204"/>
      <w:bookmarkStart w:id="479" w:name="_Toc333237655"/>
      <w:bookmarkStart w:id="480" w:name="_Toc333935665"/>
      <w:bookmarkStart w:id="481" w:name="_Toc332270324"/>
      <w:bookmarkStart w:id="482" w:name="_Toc332206686"/>
      <w:bookmarkStart w:id="483" w:name="_Toc345513845"/>
      <w:bookmarkStart w:id="484" w:name="_Toc366072506"/>
      <w:bookmarkStart w:id="485" w:name="_Toc333935324"/>
      <w:bookmarkStart w:id="486" w:name="_Toc330459963"/>
      <w:bookmarkStart w:id="487" w:name="_Toc331684016"/>
      <w:bookmarkStart w:id="488" w:name="_Toc340672847"/>
      <w:bookmarkStart w:id="489" w:name="_Toc339019867"/>
      <w:bookmarkStart w:id="490" w:name="_Toc333237766"/>
      <w:bookmarkStart w:id="491" w:name="_Toc27491"/>
      <w:r>
        <w:rPr>
          <w:rFonts w:hint="eastAsia"/>
          <w:color w:val="auto"/>
        </w:rPr>
        <w:t>要求</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7</w:t>
      </w:r>
      <w:r>
        <w:rPr>
          <w:rFonts w:ascii="宋体"/>
          <w:bCs/>
          <w:color w:val="auto"/>
        </w:rPr>
        <w:t>.1</w:t>
      </w:r>
      <w:r>
        <w:rPr>
          <w:rFonts w:ascii="宋体"/>
          <w:bCs/>
          <w:color w:val="auto"/>
        </w:rPr>
        <w:tab/>
      </w:r>
      <w:r>
        <w:rPr>
          <w:rFonts w:hint="eastAsia" w:ascii="宋体"/>
          <w:bCs/>
          <w:color w:val="auto"/>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4"/>
        </w:numPr>
        <w:tabs>
          <w:tab w:val="left" w:pos="720"/>
        </w:tabs>
        <w:spacing w:before="240" w:after="120"/>
        <w:ind w:left="2432" w:hanging="2432"/>
        <w:rPr>
          <w:color w:val="auto"/>
        </w:rPr>
      </w:pPr>
      <w:bookmarkStart w:id="492" w:name="_Toc332270325"/>
      <w:bookmarkStart w:id="493" w:name="_Toc366072507"/>
      <w:bookmarkStart w:id="494" w:name="_Toc333237656"/>
      <w:bookmarkStart w:id="495" w:name="_Toc340677049"/>
      <w:bookmarkStart w:id="496" w:name="_Toc342060353"/>
      <w:bookmarkStart w:id="497" w:name="_Toc339362279"/>
      <w:bookmarkStart w:id="498" w:name="_Toc374454579"/>
      <w:bookmarkStart w:id="499" w:name="_Toc339019868"/>
      <w:bookmarkStart w:id="500" w:name="_Toc331512877"/>
      <w:bookmarkStart w:id="501" w:name="_Toc332206687"/>
      <w:bookmarkStart w:id="502" w:name="_Toc350756429"/>
      <w:bookmarkStart w:id="503" w:name="_Toc503785407"/>
      <w:bookmarkStart w:id="504" w:name="_Toc340672848"/>
      <w:bookmarkStart w:id="505" w:name="_Toc350438728"/>
      <w:bookmarkStart w:id="506" w:name="_Toc333238612"/>
      <w:bookmarkStart w:id="507" w:name="_Toc497224205"/>
      <w:bookmarkStart w:id="508" w:name="_Toc365967052"/>
      <w:bookmarkStart w:id="509" w:name="_Toc333935325"/>
      <w:bookmarkStart w:id="510" w:name="_Toc349143568"/>
      <w:bookmarkStart w:id="511" w:name="_Toc333935666"/>
      <w:bookmarkStart w:id="512" w:name="_Toc342296739"/>
      <w:bookmarkStart w:id="513" w:name="_Toc365985158"/>
      <w:bookmarkStart w:id="514" w:name="_Toc339020074"/>
      <w:bookmarkStart w:id="515" w:name="_Toc336681559"/>
      <w:bookmarkStart w:id="516" w:name="_Toc339441066"/>
      <w:bookmarkStart w:id="517" w:name="_Toc333237767"/>
      <w:bookmarkStart w:id="518" w:name="_Toc339019994"/>
      <w:bookmarkStart w:id="519" w:name="_Toc349127605"/>
      <w:bookmarkStart w:id="520" w:name="_Toc340507421"/>
      <w:bookmarkStart w:id="521" w:name="_Toc331684017"/>
      <w:bookmarkStart w:id="522" w:name="_Toc341348317"/>
      <w:bookmarkStart w:id="523" w:name="_Toc339020212"/>
      <w:bookmarkStart w:id="524" w:name="_Toc336681914"/>
      <w:bookmarkStart w:id="525" w:name="_Toc337632337"/>
      <w:bookmarkStart w:id="526" w:name="_Toc330459964"/>
      <w:bookmarkStart w:id="527" w:name="_Toc345513846"/>
      <w:bookmarkStart w:id="528" w:name="_Toc3336"/>
      <w:r>
        <w:rPr>
          <w:rFonts w:hint="eastAsia"/>
          <w:color w:val="auto"/>
        </w:rPr>
        <w:t>投标语言及计量单位</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8</w:t>
      </w:r>
      <w:r>
        <w:rPr>
          <w:rFonts w:ascii="宋体"/>
          <w:bCs/>
          <w:color w:val="auto"/>
        </w:rPr>
        <w:t>.1</w:t>
      </w:r>
      <w:r>
        <w:rPr>
          <w:rFonts w:ascii="宋体"/>
          <w:bCs/>
          <w:color w:val="auto"/>
        </w:rPr>
        <w:tab/>
      </w:r>
      <w:r>
        <w:rPr>
          <w:rFonts w:hint="eastAsia" w:ascii="宋体"/>
          <w:bCs/>
          <w:color w:val="auto"/>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rPr>
      </w:pPr>
      <w:r>
        <w:rPr>
          <w:rFonts w:hint="eastAsia" w:ascii="宋体"/>
          <w:bCs/>
          <w:color w:val="auto"/>
        </w:rPr>
        <w:t>8</w:t>
      </w:r>
      <w:r>
        <w:rPr>
          <w:rFonts w:ascii="宋体"/>
          <w:bCs/>
          <w:color w:val="auto"/>
        </w:rPr>
        <w:t>.2</w:t>
      </w:r>
      <w:r>
        <w:rPr>
          <w:rFonts w:ascii="宋体"/>
          <w:bCs/>
          <w:color w:val="auto"/>
        </w:rPr>
        <w:tab/>
      </w:r>
      <w:r>
        <w:rPr>
          <w:rFonts w:hint="eastAsia" w:ascii="宋体"/>
          <w:bCs/>
          <w:color w:val="auto"/>
        </w:rPr>
        <w:t>除在招标文件的技术规格中另有规定外，计量单位应使用中华人民共和国法定计量单位</w:t>
      </w:r>
      <w:r>
        <w:rPr>
          <w:rFonts w:hint="eastAsia"/>
          <w:bCs/>
          <w:color w:val="auto"/>
        </w:rPr>
        <w:t>（国际单位制和国家选定的其他计量单位）</w:t>
      </w:r>
      <w:r>
        <w:rPr>
          <w:rFonts w:hint="eastAsia" w:ascii="宋体"/>
          <w:bCs/>
          <w:color w:val="auto"/>
        </w:rPr>
        <w:t>。</w:t>
      </w:r>
    </w:p>
    <w:p>
      <w:pPr>
        <w:pStyle w:val="6"/>
        <w:numPr>
          <w:ilvl w:val="4"/>
          <w:numId w:val="24"/>
        </w:numPr>
        <w:tabs>
          <w:tab w:val="left" w:pos="720"/>
        </w:tabs>
        <w:spacing w:before="240" w:after="120"/>
        <w:ind w:left="2432" w:hanging="2432"/>
        <w:rPr>
          <w:color w:val="auto"/>
        </w:rPr>
      </w:pPr>
      <w:bookmarkStart w:id="529" w:name="_Toc333237657"/>
      <w:bookmarkStart w:id="530" w:name="_Toc350438729"/>
      <w:bookmarkStart w:id="531" w:name="_Toc341348318"/>
      <w:bookmarkStart w:id="532" w:name="_Toc332270326"/>
      <w:bookmarkStart w:id="533" w:name="_Toc339020213"/>
      <w:bookmarkStart w:id="534" w:name="_Toc339362280"/>
      <w:bookmarkStart w:id="535" w:name="_Toc339019869"/>
      <w:bookmarkStart w:id="536" w:name="_Toc331512878"/>
      <w:bookmarkStart w:id="537" w:name="_Toc333935326"/>
      <w:bookmarkStart w:id="538" w:name="_Toc340507422"/>
      <w:bookmarkStart w:id="539" w:name="_Toc331684018"/>
      <w:bookmarkStart w:id="540" w:name="_Toc336681915"/>
      <w:bookmarkStart w:id="541" w:name="_Toc342060354"/>
      <w:bookmarkStart w:id="542" w:name="_Toc349143569"/>
      <w:bookmarkStart w:id="543" w:name="_Toc333237768"/>
      <w:bookmarkStart w:id="544" w:name="_Toc340672849"/>
      <w:bookmarkStart w:id="545" w:name="_Toc333238613"/>
      <w:bookmarkStart w:id="546" w:name="_Toc345513847"/>
      <w:bookmarkStart w:id="547" w:name="_Toc332206688"/>
      <w:bookmarkStart w:id="548" w:name="_Toc342296740"/>
      <w:bookmarkStart w:id="549" w:name="_Toc333935667"/>
      <w:bookmarkStart w:id="550" w:name="_Toc339020075"/>
      <w:bookmarkStart w:id="551" w:name="_Toc365985159"/>
      <w:bookmarkStart w:id="552" w:name="_Toc340677050"/>
      <w:bookmarkStart w:id="553" w:name="_Toc349127606"/>
      <w:bookmarkStart w:id="554" w:name="_Toc339019995"/>
      <w:bookmarkStart w:id="555" w:name="_Toc339441067"/>
      <w:bookmarkStart w:id="556" w:name="_Toc336681560"/>
      <w:bookmarkStart w:id="557" w:name="_Toc330459965"/>
      <w:bookmarkStart w:id="558" w:name="_Toc366072508"/>
      <w:bookmarkStart w:id="559" w:name="_Toc337632338"/>
      <w:bookmarkStart w:id="560" w:name="_Toc503785408"/>
      <w:bookmarkStart w:id="561" w:name="_Toc497224206"/>
      <w:bookmarkStart w:id="562" w:name="_Toc350756430"/>
      <w:bookmarkStart w:id="563" w:name="_Toc374454580"/>
      <w:bookmarkStart w:id="564" w:name="_Toc365967053"/>
      <w:bookmarkStart w:id="565" w:name="_Toc30317"/>
      <w:r>
        <w:rPr>
          <w:rFonts w:hint="eastAsia"/>
          <w:color w:val="auto"/>
        </w:rPr>
        <w:t>投标文件的构成</w:t>
      </w:r>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pPr>
        <w:widowControl/>
        <w:tabs>
          <w:tab w:val="left" w:pos="753"/>
        </w:tabs>
        <w:adjustRightInd w:val="0"/>
        <w:snapToGrid w:val="0"/>
        <w:spacing w:line="360" w:lineRule="auto"/>
        <w:rPr>
          <w:rFonts w:ascii="宋体"/>
          <w:bCs/>
          <w:color w:val="auto"/>
        </w:rPr>
      </w:pPr>
      <w:r>
        <w:rPr>
          <w:rFonts w:hint="eastAsia" w:ascii="宋体"/>
          <w:bCs/>
          <w:color w:val="auto"/>
        </w:rPr>
        <w:t>9</w:t>
      </w:r>
      <w:r>
        <w:rPr>
          <w:rFonts w:ascii="宋体"/>
          <w:bCs/>
          <w:color w:val="auto"/>
        </w:rPr>
        <w:t>.1</w:t>
      </w:r>
      <w:r>
        <w:rPr>
          <w:rFonts w:hint="eastAsia" w:ascii="宋体"/>
          <w:bCs/>
          <w:color w:val="auto"/>
        </w:rPr>
        <w:t xml:space="preserve">   投标文件包括：</w:t>
      </w:r>
    </w:p>
    <w:p>
      <w:pPr>
        <w:widowControl/>
        <w:adjustRightInd w:val="0"/>
        <w:snapToGrid w:val="0"/>
        <w:spacing w:line="360" w:lineRule="auto"/>
        <w:ind w:left="734"/>
        <w:rPr>
          <w:rFonts w:ascii="宋体" w:hAnsi="宋体"/>
          <w:bCs/>
          <w:color w:val="auto"/>
        </w:rPr>
      </w:pPr>
      <w:bookmarkStart w:id="566" w:name="_Toc503785409"/>
      <w:bookmarkStart w:id="567" w:name="_Toc497224207"/>
      <w:r>
        <w:rPr>
          <w:rFonts w:hint="eastAsia" w:ascii="宋体" w:hAnsi="宋体"/>
          <w:bCs/>
          <w:color w:val="auto"/>
        </w:rPr>
        <w:t>第一章 资格审查文件（含附件）</w:t>
      </w:r>
    </w:p>
    <w:p>
      <w:pPr>
        <w:widowControl/>
        <w:adjustRightInd w:val="0"/>
        <w:snapToGrid w:val="0"/>
        <w:spacing w:line="360" w:lineRule="auto"/>
        <w:ind w:left="734"/>
        <w:rPr>
          <w:rFonts w:ascii="宋体" w:hAnsi="宋体"/>
          <w:bCs/>
          <w:color w:val="auto"/>
        </w:rPr>
      </w:pPr>
      <w:r>
        <w:rPr>
          <w:rFonts w:hint="eastAsia" w:ascii="宋体" w:hAnsi="宋体"/>
          <w:bCs/>
          <w:color w:val="auto"/>
        </w:rPr>
        <w:t>第二章 商务和技术部分</w:t>
      </w:r>
    </w:p>
    <w:p>
      <w:pPr>
        <w:pStyle w:val="6"/>
        <w:numPr>
          <w:ilvl w:val="4"/>
          <w:numId w:val="24"/>
        </w:numPr>
        <w:tabs>
          <w:tab w:val="left" w:pos="720"/>
        </w:tabs>
        <w:spacing w:before="240" w:after="120"/>
        <w:ind w:left="2432" w:hanging="2432"/>
        <w:rPr>
          <w:color w:val="auto"/>
        </w:rPr>
      </w:pPr>
      <w:bookmarkStart w:id="568" w:name="_Toc350438730"/>
      <w:bookmarkStart w:id="569" w:name="_Toc333935668"/>
      <w:bookmarkStart w:id="570" w:name="_Toc333238614"/>
      <w:bookmarkStart w:id="571" w:name="_Toc336681916"/>
      <w:bookmarkStart w:id="572" w:name="_Toc332206689"/>
      <w:bookmarkStart w:id="573" w:name="_Toc350756431"/>
      <w:bookmarkStart w:id="574" w:name="_Toc336681561"/>
      <w:bookmarkStart w:id="575" w:name="_Toc339020076"/>
      <w:bookmarkStart w:id="576" w:name="_Toc342296741"/>
      <w:bookmarkStart w:id="577" w:name="_Toc337632339"/>
      <w:bookmarkStart w:id="578" w:name="_Toc349143570"/>
      <w:bookmarkStart w:id="579" w:name="_Toc333935327"/>
      <w:bookmarkStart w:id="580" w:name="_Toc365985160"/>
      <w:bookmarkStart w:id="581" w:name="_Toc340672850"/>
      <w:bookmarkStart w:id="582" w:name="_Toc339441068"/>
      <w:bookmarkStart w:id="583" w:name="_Toc365967054"/>
      <w:bookmarkStart w:id="584" w:name="_Toc331684019"/>
      <w:bookmarkStart w:id="585" w:name="_Toc339019870"/>
      <w:bookmarkStart w:id="586" w:name="_Toc340507423"/>
      <w:bookmarkStart w:id="587" w:name="_Toc349127607"/>
      <w:bookmarkStart w:id="588" w:name="_Toc341348319"/>
      <w:bookmarkStart w:id="589" w:name="_Toc340677051"/>
      <w:bookmarkStart w:id="590" w:name="_Toc330459966"/>
      <w:bookmarkStart w:id="591" w:name="_Toc374454581"/>
      <w:bookmarkStart w:id="592" w:name="_Toc339020214"/>
      <w:bookmarkStart w:id="593" w:name="_Toc366072509"/>
      <w:bookmarkStart w:id="594" w:name="_Toc342060355"/>
      <w:bookmarkStart w:id="595" w:name="_Toc339362281"/>
      <w:bookmarkStart w:id="596" w:name="_Toc333237769"/>
      <w:bookmarkStart w:id="597" w:name="_Toc331512879"/>
      <w:bookmarkStart w:id="598" w:name="_Toc332270327"/>
      <w:bookmarkStart w:id="599" w:name="_Toc345513848"/>
      <w:bookmarkStart w:id="600" w:name="_Toc339019996"/>
      <w:bookmarkStart w:id="601" w:name="_Toc333237658"/>
      <w:bookmarkStart w:id="602" w:name="_Toc18734"/>
      <w:r>
        <w:rPr>
          <w:rFonts w:hint="eastAsia"/>
          <w:color w:val="auto"/>
        </w:rPr>
        <w:t>投标文件格式</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p>
    <w:p>
      <w:pPr>
        <w:widowControl/>
        <w:tabs>
          <w:tab w:val="left" w:pos="753"/>
        </w:tabs>
        <w:adjustRightInd w:val="0"/>
        <w:snapToGrid w:val="0"/>
        <w:spacing w:before="240" w:line="360" w:lineRule="auto"/>
        <w:ind w:left="752" w:hanging="751" w:hangingChars="358"/>
        <w:rPr>
          <w:rFonts w:ascii="宋体" w:hAnsi="宋体"/>
          <w:bCs/>
          <w:color w:val="auto"/>
        </w:rPr>
      </w:pPr>
      <w:r>
        <w:rPr>
          <w:rFonts w:ascii="宋体"/>
          <w:bCs/>
          <w:color w:val="auto"/>
        </w:rPr>
        <w:t>1</w:t>
      </w:r>
      <w:r>
        <w:rPr>
          <w:rFonts w:hint="eastAsia" w:ascii="宋体"/>
          <w:bCs/>
          <w:color w:val="auto"/>
        </w:rPr>
        <w:t>0</w:t>
      </w:r>
      <w:r>
        <w:rPr>
          <w:rFonts w:ascii="宋体"/>
          <w:bCs/>
          <w:color w:val="auto"/>
        </w:rPr>
        <w:t>.1</w:t>
      </w:r>
      <w:r>
        <w:rPr>
          <w:rFonts w:hint="eastAsia" w:ascii="宋体"/>
          <w:bCs/>
          <w:color w:val="auto"/>
        </w:rPr>
        <w:t xml:space="preserve">   投标人应</w:t>
      </w:r>
      <w:r>
        <w:rPr>
          <w:rFonts w:hint="eastAsia" w:ascii="宋体" w:hAnsi="宋体"/>
          <w:bCs/>
          <w:color w:val="auto"/>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10.2 </w:t>
      </w:r>
      <w:r>
        <w:rPr>
          <w:rFonts w:hint="eastAsia" w:ascii="宋体" w:hAnsi="宋体"/>
          <w:bCs/>
          <w:color w:val="auto"/>
        </w:rPr>
        <w:tab/>
      </w:r>
      <w:r>
        <w:rPr>
          <w:rFonts w:hint="eastAsia" w:ascii="宋体" w:hAnsi="宋体"/>
          <w:bCs/>
          <w:color w:val="auto"/>
        </w:rPr>
        <w:tab/>
      </w:r>
      <w:r>
        <w:rPr>
          <w:rFonts w:hint="eastAsia" w:ascii="宋体" w:hAnsi="宋体"/>
          <w:bCs/>
          <w:color w:val="auto"/>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4"/>
        </w:numPr>
        <w:tabs>
          <w:tab w:val="left" w:pos="720"/>
        </w:tabs>
        <w:spacing w:before="240" w:after="120"/>
        <w:ind w:left="2432" w:hanging="2432"/>
        <w:rPr>
          <w:color w:val="auto"/>
        </w:rPr>
      </w:pPr>
      <w:bookmarkStart w:id="603" w:name="_Toc374454582"/>
      <w:bookmarkStart w:id="604" w:name="_Toc333238615"/>
      <w:bookmarkStart w:id="605" w:name="_Toc339362282"/>
      <w:bookmarkStart w:id="606" w:name="_Toc333935669"/>
      <w:bookmarkStart w:id="607" w:name="_Toc333237770"/>
      <w:bookmarkStart w:id="608" w:name="_Toc340507424"/>
      <w:bookmarkStart w:id="609" w:name="_Toc341348320"/>
      <w:bookmarkStart w:id="610" w:name="_Toc330459967"/>
      <w:bookmarkStart w:id="611" w:name="_Toc5003680"/>
      <w:bookmarkStart w:id="612" w:name="_Toc339019871"/>
      <w:bookmarkStart w:id="613" w:name="_Toc332270328"/>
      <w:bookmarkStart w:id="614" w:name="_Toc331512880"/>
      <w:bookmarkStart w:id="615" w:name="_Toc349127608"/>
      <w:bookmarkStart w:id="616" w:name="_Toc337632340"/>
      <w:bookmarkStart w:id="617" w:name="_Toc350756432"/>
      <w:bookmarkStart w:id="618" w:name="_Toc345513849"/>
      <w:bookmarkStart w:id="619" w:name="_Toc331684020"/>
      <w:bookmarkStart w:id="620" w:name="_Toc350438731"/>
      <w:bookmarkStart w:id="621" w:name="_Toc366072510"/>
      <w:bookmarkStart w:id="622" w:name="_Toc342060356"/>
      <w:bookmarkStart w:id="623" w:name="_Toc349143571"/>
      <w:bookmarkStart w:id="624" w:name="_Toc333935328"/>
      <w:bookmarkStart w:id="625" w:name="_Toc365985161"/>
      <w:bookmarkStart w:id="626" w:name="_Toc336681562"/>
      <w:bookmarkStart w:id="627" w:name="_Toc336681917"/>
      <w:bookmarkStart w:id="628" w:name="_Toc365967055"/>
      <w:bookmarkStart w:id="629" w:name="_Toc332206690"/>
      <w:bookmarkStart w:id="630" w:name="_Toc333237659"/>
      <w:bookmarkStart w:id="631" w:name="_Toc340672851"/>
      <w:bookmarkStart w:id="632" w:name="_Toc339020215"/>
      <w:bookmarkStart w:id="633" w:name="_Toc340677052"/>
      <w:bookmarkStart w:id="634" w:name="_Toc342296742"/>
      <w:bookmarkStart w:id="635" w:name="_Toc339020077"/>
      <w:bookmarkStart w:id="636" w:name="_Toc339019997"/>
      <w:bookmarkStart w:id="637" w:name="_Toc339441069"/>
      <w:bookmarkStart w:id="638" w:name="_Toc30286"/>
      <w:r>
        <w:rPr>
          <w:rFonts w:hint="eastAsia"/>
          <w:color w:val="auto"/>
        </w:rPr>
        <w:t>资格证明文件</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11.1  </w:t>
      </w:r>
      <w:r>
        <w:rPr>
          <w:rFonts w:hint="eastAsia" w:ascii="宋体" w:hAnsi="宋体"/>
          <w:bCs/>
          <w:color w:val="auto"/>
        </w:rPr>
        <w:tab/>
      </w:r>
      <w:r>
        <w:rPr>
          <w:rFonts w:hint="eastAsia" w:ascii="宋体" w:hAnsi="宋体"/>
          <w:bCs/>
          <w:color w:val="auto"/>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rPr>
      </w:pPr>
      <w:r>
        <w:rPr>
          <w:rFonts w:hint="eastAsia" w:ascii="宋体" w:hAnsi="宋体"/>
          <w:bCs/>
          <w:color w:val="auto"/>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rPr>
      </w:pPr>
      <w:r>
        <w:rPr>
          <w:rFonts w:hint="eastAsia" w:ascii="宋体" w:hAnsi="宋体"/>
          <w:bCs/>
          <w:color w:val="auto"/>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4"/>
        </w:numPr>
        <w:tabs>
          <w:tab w:val="left" w:pos="720"/>
        </w:tabs>
        <w:spacing w:before="240" w:after="120"/>
        <w:ind w:left="2432" w:hanging="2432"/>
        <w:rPr>
          <w:color w:val="auto"/>
        </w:rPr>
      </w:pPr>
      <w:bookmarkStart w:id="639" w:name="_Toc339362283"/>
      <w:bookmarkStart w:id="640" w:name="_Toc333935329"/>
      <w:bookmarkStart w:id="641" w:name="_Toc336681918"/>
      <w:bookmarkStart w:id="642" w:name="_Toc336681563"/>
      <w:bookmarkStart w:id="643" w:name="_Toc342296743"/>
      <w:bookmarkStart w:id="644" w:name="_Toc374454583"/>
      <w:bookmarkStart w:id="645" w:name="_Toc339019872"/>
      <w:bookmarkStart w:id="646" w:name="_Toc333237771"/>
      <w:bookmarkStart w:id="647" w:name="_Toc340507425"/>
      <w:bookmarkStart w:id="648" w:name="_Toc332206691"/>
      <w:bookmarkStart w:id="649" w:name="_Toc341348321"/>
      <w:bookmarkStart w:id="650" w:name="_Toc340672852"/>
      <w:bookmarkStart w:id="651" w:name="_Toc5003681"/>
      <w:bookmarkStart w:id="652" w:name="_Toc333238616"/>
      <w:bookmarkStart w:id="653" w:name="_Toc339441070"/>
      <w:bookmarkStart w:id="654" w:name="_Toc365967056"/>
      <w:bookmarkStart w:id="655" w:name="_Toc333237660"/>
      <w:bookmarkStart w:id="656" w:name="_Toc330459968"/>
      <w:bookmarkStart w:id="657" w:name="_Toc339020216"/>
      <w:bookmarkStart w:id="658" w:name="_Toc345513850"/>
      <w:bookmarkStart w:id="659" w:name="_Toc331684021"/>
      <w:bookmarkStart w:id="660" w:name="_Toc333935670"/>
      <w:bookmarkStart w:id="661" w:name="_Toc339019998"/>
      <w:bookmarkStart w:id="662" w:name="_Toc350756433"/>
      <w:bookmarkStart w:id="663" w:name="_Toc337632341"/>
      <w:bookmarkStart w:id="664" w:name="_Toc350438732"/>
      <w:bookmarkStart w:id="665" w:name="_Toc332270329"/>
      <w:bookmarkStart w:id="666" w:name="_Toc366072511"/>
      <w:bookmarkStart w:id="667" w:name="_Toc339020078"/>
      <w:bookmarkStart w:id="668" w:name="_Toc365985162"/>
      <w:bookmarkStart w:id="669" w:name="_Toc349127609"/>
      <w:bookmarkStart w:id="670" w:name="_Toc331512881"/>
      <w:bookmarkStart w:id="671" w:name="_Toc349143572"/>
      <w:bookmarkStart w:id="672" w:name="_Toc342060357"/>
      <w:bookmarkStart w:id="673" w:name="_Toc340677053"/>
      <w:bookmarkStart w:id="674" w:name="_Toc18485"/>
      <w:r>
        <w:rPr>
          <w:rFonts w:hint="eastAsia"/>
          <w:color w:val="auto"/>
        </w:rPr>
        <w:t>货物和服务的证明文件</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pPr>
        <w:tabs>
          <w:tab w:val="left" w:pos="753"/>
        </w:tabs>
        <w:autoSpaceDE w:val="0"/>
        <w:autoSpaceDN w:val="0"/>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 xml:space="preserve">12.1 </w:t>
      </w:r>
      <w:r>
        <w:rPr>
          <w:rFonts w:hint="eastAsia" w:ascii="宋体" w:hAnsi="宋体"/>
          <w:bCs/>
          <w:color w:val="auto"/>
        </w:rPr>
        <w:tab/>
      </w:r>
      <w:r>
        <w:rPr>
          <w:rFonts w:hint="eastAsia" w:ascii="宋体" w:hAnsi="宋体"/>
          <w:bCs/>
          <w:color w:val="auto"/>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12.2</w:t>
      </w:r>
      <w:r>
        <w:rPr>
          <w:rFonts w:hint="eastAsia" w:ascii="宋体" w:hAnsi="宋体"/>
          <w:bCs/>
          <w:color w:val="auto"/>
        </w:rPr>
        <w:tab/>
      </w:r>
      <w:r>
        <w:rPr>
          <w:rFonts w:hint="eastAsia" w:ascii="宋体" w:hAnsi="宋体"/>
          <w:bCs/>
          <w:color w:val="auto"/>
        </w:rPr>
        <w:t xml:space="preserve"> 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rPr>
      </w:pPr>
      <w:r>
        <w:rPr>
          <w:rFonts w:hint="eastAsia" w:ascii="宋体" w:hAnsi="宋体"/>
          <w:bCs/>
          <w:color w:val="auto"/>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rPr>
      </w:pPr>
      <w:r>
        <w:rPr>
          <w:rFonts w:hint="eastAsia" w:ascii="宋体" w:hAnsi="宋体"/>
          <w:bCs/>
          <w:color w:val="auto"/>
        </w:rPr>
        <w:t>12.3</w:t>
      </w:r>
      <w:r>
        <w:rPr>
          <w:rFonts w:hint="eastAsia" w:ascii="宋体" w:hAnsi="宋体"/>
          <w:bCs/>
          <w:color w:val="auto"/>
        </w:rPr>
        <w:tab/>
      </w:r>
      <w:r>
        <w:rPr>
          <w:rFonts w:hint="eastAsia"/>
          <w:color w:val="auto"/>
        </w:rPr>
        <w:t>投标人在阐述上述第</w:t>
      </w:r>
      <w:r>
        <w:rPr>
          <w:rFonts w:hint="eastAsia" w:ascii="宋体" w:hAnsi="宋体"/>
          <w:color w:val="auto"/>
        </w:rPr>
        <w:t>12.2（3）</w:t>
      </w:r>
      <w:r>
        <w:rPr>
          <w:rFonts w:hint="eastAsia"/>
          <w:color w:val="auto"/>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rPr>
      </w:pPr>
      <w:r>
        <w:rPr>
          <w:rFonts w:hint="eastAsia" w:ascii="宋体" w:hAnsi="宋体"/>
          <w:color w:val="auto"/>
        </w:rPr>
        <w:t>12.4   评标委员会对投标人所提供的证明货物和服务的合格性的文件进行审查，审查不合格的投标将作为无效投标处理。</w:t>
      </w:r>
    </w:p>
    <w:p>
      <w:pPr>
        <w:pStyle w:val="6"/>
        <w:numPr>
          <w:ilvl w:val="4"/>
          <w:numId w:val="24"/>
        </w:numPr>
        <w:tabs>
          <w:tab w:val="left" w:pos="720"/>
        </w:tabs>
        <w:spacing w:before="240" w:after="120"/>
        <w:ind w:left="2432" w:hanging="2432"/>
        <w:rPr>
          <w:color w:val="auto"/>
        </w:rPr>
      </w:pPr>
      <w:bookmarkStart w:id="675" w:name="_Toc366072512"/>
      <w:bookmarkStart w:id="676" w:name="_Toc341348322"/>
      <w:bookmarkStart w:id="677" w:name="_Toc331512882"/>
      <w:bookmarkStart w:id="678" w:name="_Toc333935330"/>
      <w:bookmarkStart w:id="679" w:name="_Toc365967057"/>
      <w:bookmarkStart w:id="680" w:name="_Toc333237772"/>
      <w:bookmarkStart w:id="681" w:name="_Toc330459969"/>
      <w:bookmarkStart w:id="682" w:name="_Toc342296744"/>
      <w:bookmarkStart w:id="683" w:name="_Toc503785411"/>
      <w:bookmarkStart w:id="684" w:name="_Toc345513851"/>
      <w:bookmarkStart w:id="685" w:name="_Toc333935671"/>
      <w:bookmarkStart w:id="686" w:name="_Toc337632342"/>
      <w:bookmarkStart w:id="687" w:name="_Toc339020079"/>
      <w:bookmarkStart w:id="688" w:name="_Toc365985163"/>
      <w:bookmarkStart w:id="689" w:name="_Toc349127610"/>
      <w:bookmarkStart w:id="690" w:name="_Toc340677054"/>
      <w:bookmarkStart w:id="691" w:name="_Toc342060358"/>
      <w:bookmarkStart w:id="692" w:name="_Toc332270330"/>
      <w:bookmarkStart w:id="693" w:name="_Toc350756434"/>
      <w:bookmarkStart w:id="694" w:name="_Toc331684022"/>
      <w:bookmarkStart w:id="695" w:name="_Toc333237661"/>
      <w:bookmarkStart w:id="696" w:name="_Toc339441071"/>
      <w:bookmarkStart w:id="697" w:name="_Toc336681564"/>
      <w:bookmarkStart w:id="698" w:name="_Toc349143573"/>
      <w:bookmarkStart w:id="699" w:name="_Toc339362284"/>
      <w:bookmarkStart w:id="700" w:name="_Toc333238617"/>
      <w:bookmarkStart w:id="701" w:name="_Toc336681919"/>
      <w:bookmarkStart w:id="702" w:name="_Toc332206692"/>
      <w:bookmarkStart w:id="703" w:name="_Toc374454584"/>
      <w:bookmarkStart w:id="704" w:name="_Toc339020217"/>
      <w:bookmarkStart w:id="705" w:name="_Toc340672853"/>
      <w:bookmarkStart w:id="706" w:name="_Toc339019873"/>
      <w:bookmarkStart w:id="707" w:name="_Toc497224209"/>
      <w:bookmarkStart w:id="708" w:name="_Toc340507426"/>
      <w:bookmarkStart w:id="709" w:name="_Toc339019999"/>
      <w:bookmarkStart w:id="710" w:name="_Toc350438733"/>
      <w:bookmarkStart w:id="711" w:name="_Toc10848"/>
      <w:r>
        <w:rPr>
          <w:rFonts w:hint="eastAsia"/>
          <w:color w:val="auto"/>
        </w:rPr>
        <w:t>投标报价与投标货币</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13.1</w:t>
      </w:r>
      <w:r>
        <w:rPr>
          <w:rFonts w:hint="eastAsia" w:ascii="宋体" w:hAnsi="宋体"/>
          <w:color w:val="auto"/>
        </w:rPr>
        <w:tab/>
      </w:r>
      <w:r>
        <w:rPr>
          <w:rFonts w:hint="eastAsia" w:ascii="宋体" w:hAnsi="宋体"/>
          <w:color w:val="auto"/>
        </w:rPr>
        <w:t xml:space="preserve"> 投标报价应为包括设备费、备品备件费、运输费、安装调试费、技术资料费、验收费、应缴税费、培训费和质量保证期内维修费等在内的</w:t>
      </w:r>
      <w:r>
        <w:rPr>
          <w:rFonts w:hint="eastAsia" w:ascii="宋体" w:hAnsi="宋体"/>
          <w:bCs/>
          <w:color w:val="auto"/>
        </w:rPr>
        <w:t>价格。</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13.3</w:t>
      </w:r>
      <w:r>
        <w:rPr>
          <w:rFonts w:hint="eastAsia" w:ascii="宋体" w:hAnsi="宋体"/>
          <w:color w:val="auto"/>
        </w:rPr>
        <w:tab/>
      </w:r>
      <w:r>
        <w:rPr>
          <w:rFonts w:hint="eastAsia" w:ascii="宋体" w:hAnsi="宋体"/>
          <w:color w:val="auto"/>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13.5   投标价格一律用人民币填报。</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hAnsi="宋体"/>
          <w:color w:val="auto"/>
        </w:rPr>
        <w:t>13.6   投标人在投标文件中如有任何遗漏，影响到招标文件中规定的范围、质量、性能和项目的实施或限制了采购人的权利和投标人的义务，由此产生的费用由投标人负责。</w:t>
      </w:r>
    </w:p>
    <w:p>
      <w:pPr>
        <w:pStyle w:val="6"/>
        <w:numPr>
          <w:ilvl w:val="4"/>
          <w:numId w:val="24"/>
        </w:numPr>
        <w:tabs>
          <w:tab w:val="left" w:pos="720"/>
        </w:tabs>
        <w:spacing w:before="240" w:after="120"/>
        <w:ind w:left="2432" w:hanging="2432"/>
        <w:rPr>
          <w:color w:val="auto"/>
        </w:rPr>
      </w:pPr>
      <w:bookmarkStart w:id="712" w:name="_Toc342296745"/>
      <w:bookmarkStart w:id="713" w:name="_Toc330459970"/>
      <w:bookmarkStart w:id="714" w:name="_Toc374454585"/>
      <w:bookmarkStart w:id="715" w:name="_Toc497224212"/>
      <w:bookmarkStart w:id="716" w:name="_Toc345513852"/>
      <w:bookmarkStart w:id="717" w:name="_Toc342060359"/>
      <w:bookmarkStart w:id="718" w:name="_Toc365985164"/>
      <w:bookmarkStart w:id="719" w:name="_Toc366072513"/>
      <w:bookmarkStart w:id="720" w:name="_Toc341348323"/>
      <w:bookmarkStart w:id="721" w:name="_Toc333237662"/>
      <w:bookmarkStart w:id="722" w:name="_Toc332206693"/>
      <w:bookmarkStart w:id="723" w:name="_Toc339020080"/>
      <w:bookmarkStart w:id="724" w:name="_Toc339362285"/>
      <w:bookmarkStart w:id="725" w:name="_Toc350438734"/>
      <w:bookmarkStart w:id="726" w:name="_Toc333237773"/>
      <w:bookmarkStart w:id="727" w:name="_Toc331512883"/>
      <w:bookmarkStart w:id="728" w:name="_Toc333238618"/>
      <w:bookmarkStart w:id="729" w:name="_Toc340672854"/>
      <w:bookmarkStart w:id="730" w:name="_Toc336681565"/>
      <w:bookmarkStart w:id="731" w:name="_Toc332270331"/>
      <w:bookmarkStart w:id="732" w:name="_Toc339020218"/>
      <w:bookmarkStart w:id="733" w:name="_Toc349127611"/>
      <w:bookmarkStart w:id="734" w:name="_Toc337632343"/>
      <w:bookmarkStart w:id="735" w:name="_Toc333935672"/>
      <w:bookmarkStart w:id="736" w:name="_Toc339020000"/>
      <w:bookmarkStart w:id="737" w:name="_Toc331684023"/>
      <w:bookmarkStart w:id="738" w:name="_Toc503785414"/>
      <w:bookmarkStart w:id="739" w:name="_Toc339441072"/>
      <w:bookmarkStart w:id="740" w:name="_Toc365967058"/>
      <w:bookmarkStart w:id="741" w:name="_Toc340677055"/>
      <w:bookmarkStart w:id="742" w:name="_Toc333935331"/>
      <w:bookmarkStart w:id="743" w:name="_Toc340507427"/>
      <w:bookmarkStart w:id="744" w:name="_Toc336681920"/>
      <w:bookmarkStart w:id="745" w:name="_Toc339019874"/>
      <w:bookmarkStart w:id="746" w:name="_Toc349143574"/>
      <w:bookmarkStart w:id="747" w:name="_Toc350756435"/>
      <w:bookmarkStart w:id="748" w:name="_Toc4397"/>
      <w:r>
        <w:rPr>
          <w:rFonts w:hint="eastAsia"/>
          <w:color w:val="auto"/>
        </w:rPr>
        <w:t>投标保证金</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.1</w:t>
      </w:r>
      <w:r>
        <w:rPr>
          <w:rFonts w:ascii="宋体"/>
          <w:bCs/>
          <w:color w:val="auto"/>
        </w:rPr>
        <w:tab/>
      </w:r>
      <w:r>
        <w:rPr>
          <w:rFonts w:hint="eastAsia" w:ascii="宋体"/>
          <w:bCs/>
          <w:color w:val="auto"/>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color w:val="auto"/>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auto"/>
        </w:rPr>
      </w:pPr>
      <w:r>
        <w:rPr>
          <w:rFonts w:hint="eastAsia" w:ascii="宋体"/>
          <w:bCs/>
          <w:color w:val="auto"/>
        </w:rPr>
        <w:t>14.3</w:t>
      </w:r>
      <w:r>
        <w:rPr>
          <w:rFonts w:hint="eastAsia" w:ascii="宋体"/>
          <w:bCs/>
          <w:color w:val="auto"/>
        </w:rPr>
        <w:tab/>
      </w:r>
      <w:r>
        <w:rPr>
          <w:rFonts w:hint="eastAsia" w:ascii="宋体"/>
          <w:bCs/>
          <w:color w:val="auto"/>
        </w:rPr>
        <w:t>投标保证金用于保护本次招标免遭因投标人的行为而蒙受的损失。</w:t>
      </w:r>
      <w:r>
        <w:rPr>
          <w:rFonts w:hint="eastAsia" w:ascii="宋体" w:hAnsi="宋体"/>
          <w:color w:val="auto"/>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4</w:t>
      </w:r>
      <w:r>
        <w:rPr>
          <w:rFonts w:hint="eastAsia" w:ascii="宋体"/>
          <w:bCs/>
          <w:color w:val="auto"/>
        </w:rPr>
        <w:tab/>
      </w:r>
      <w:r>
        <w:rPr>
          <w:rFonts w:hint="eastAsia" w:ascii="宋体" w:hAnsi="宋体"/>
          <w:bCs/>
          <w:color w:val="auto"/>
        </w:rPr>
        <w:t>凡未按本须知第14.2条规定随附有效投标保证金的投标</w:t>
      </w:r>
      <w:r>
        <w:rPr>
          <w:rFonts w:ascii="宋体" w:hAnsi="宋体"/>
          <w:bCs/>
          <w:color w:val="auto"/>
        </w:rPr>
        <w:t>,</w:t>
      </w:r>
      <w:r>
        <w:rPr>
          <w:rFonts w:hint="eastAsia" w:ascii="宋体" w:hAnsi="宋体"/>
          <w:bCs/>
          <w:color w:val="auto"/>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5</w:t>
      </w:r>
      <w:r>
        <w:rPr>
          <w:rFonts w:ascii="宋体"/>
          <w:bCs/>
          <w:color w:val="auto"/>
        </w:rPr>
        <w:tab/>
      </w:r>
      <w:r>
        <w:rPr>
          <w:rFonts w:hint="eastAsia" w:ascii="宋体" w:hAnsi="宋体"/>
          <w:bCs/>
          <w:color w:val="auto"/>
        </w:rPr>
        <w:t>未中标的投标人的投标保证金，采购</w:t>
      </w:r>
      <w:r>
        <w:rPr>
          <w:rFonts w:hint="eastAsia" w:ascii="宋体" w:hAnsi="宋体"/>
          <w:bCs/>
          <w:color w:val="auto"/>
          <w:szCs w:val="21"/>
        </w:rPr>
        <w:t>代理</w:t>
      </w:r>
      <w:r>
        <w:rPr>
          <w:rFonts w:hint="eastAsia" w:ascii="宋体" w:hAnsi="宋体"/>
          <w:bCs/>
          <w:color w:val="auto"/>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6</w:t>
      </w:r>
      <w:r>
        <w:rPr>
          <w:rFonts w:ascii="宋体"/>
          <w:bCs/>
          <w:color w:val="auto"/>
        </w:rPr>
        <w:tab/>
      </w:r>
      <w:r>
        <w:rPr>
          <w:rFonts w:hint="eastAsia" w:ascii="宋体" w:hAnsi="宋体"/>
          <w:bCs/>
          <w:color w:val="auto"/>
        </w:rPr>
        <w:t>中标投标人的投标保证金</w:t>
      </w:r>
      <w:r>
        <w:rPr>
          <w:rFonts w:ascii="宋体" w:hAnsi="宋体"/>
          <w:bCs/>
          <w:color w:val="auto"/>
        </w:rPr>
        <w:t>，</w:t>
      </w:r>
      <w:r>
        <w:rPr>
          <w:rFonts w:hint="eastAsia" w:ascii="宋体" w:hAnsi="宋体"/>
          <w:bCs/>
          <w:color w:val="auto"/>
        </w:rPr>
        <w:t>在中标投标人付清中标服务费、签订合同之日起5个工作日内无息退</w:t>
      </w:r>
      <w:r>
        <w:rPr>
          <w:rFonts w:hint="eastAsia" w:ascii="宋体"/>
          <w:bCs/>
          <w:color w:val="auto"/>
        </w:rPr>
        <w:t>还。</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4</w:t>
      </w:r>
      <w:r>
        <w:rPr>
          <w:rFonts w:ascii="宋体"/>
          <w:bCs/>
          <w:color w:val="auto"/>
        </w:rPr>
        <w:t>.</w:t>
      </w:r>
      <w:r>
        <w:rPr>
          <w:rFonts w:hint="eastAsia" w:ascii="宋体"/>
          <w:bCs/>
          <w:color w:val="auto"/>
        </w:rPr>
        <w:t>7</w:t>
      </w:r>
      <w:r>
        <w:rPr>
          <w:rFonts w:ascii="宋体"/>
          <w:bCs/>
          <w:color w:val="auto"/>
        </w:rPr>
        <w:tab/>
      </w:r>
      <w:r>
        <w:rPr>
          <w:rFonts w:hint="eastAsia" w:ascii="宋体"/>
          <w:bCs/>
          <w:color w:val="auto"/>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auto"/>
        </w:rPr>
      </w:pPr>
      <w:r>
        <w:rPr>
          <w:rFonts w:hint="eastAsia" w:ascii="宋体" w:hAnsi="宋体"/>
          <w:bCs/>
          <w:color w:val="auto"/>
        </w:rPr>
        <w:t>（4）投标人提供虚假投标文件或虚假补充文件的。</w:t>
      </w:r>
    </w:p>
    <w:p>
      <w:pPr>
        <w:pStyle w:val="6"/>
        <w:numPr>
          <w:ilvl w:val="4"/>
          <w:numId w:val="24"/>
        </w:numPr>
        <w:tabs>
          <w:tab w:val="left" w:pos="720"/>
        </w:tabs>
        <w:spacing w:before="240" w:after="120"/>
        <w:ind w:left="2432" w:hanging="2432"/>
        <w:rPr>
          <w:color w:val="auto"/>
        </w:rPr>
      </w:pPr>
      <w:bookmarkStart w:id="749" w:name="_Toc349143575"/>
      <w:bookmarkStart w:id="750" w:name="_Toc350438735"/>
      <w:bookmarkStart w:id="751" w:name="_Toc341348324"/>
      <w:bookmarkStart w:id="752" w:name="_Toc345513853"/>
      <w:bookmarkStart w:id="753" w:name="_Toc333237774"/>
      <w:bookmarkStart w:id="754" w:name="_Toc340672855"/>
      <w:bookmarkStart w:id="755" w:name="_Toc330459971"/>
      <w:bookmarkStart w:id="756" w:name="_Toc340507428"/>
      <w:bookmarkStart w:id="757" w:name="_Toc333237663"/>
      <w:bookmarkStart w:id="758" w:name="_Toc503785415"/>
      <w:bookmarkStart w:id="759" w:name="_Toc339020219"/>
      <w:bookmarkStart w:id="760" w:name="_Toc374454586"/>
      <w:bookmarkStart w:id="761" w:name="_Toc333935673"/>
      <w:bookmarkStart w:id="762" w:name="_Toc342060360"/>
      <w:bookmarkStart w:id="763" w:name="_Toc336681921"/>
      <w:bookmarkStart w:id="764" w:name="_Toc332270332"/>
      <w:bookmarkStart w:id="765" w:name="_Toc340677056"/>
      <w:bookmarkStart w:id="766" w:name="_Toc339441073"/>
      <w:bookmarkStart w:id="767" w:name="_Toc342296746"/>
      <w:bookmarkStart w:id="768" w:name="_Toc350756436"/>
      <w:bookmarkStart w:id="769" w:name="_Toc337632344"/>
      <w:bookmarkStart w:id="770" w:name="_Toc365967059"/>
      <w:bookmarkStart w:id="771" w:name="_Toc339020081"/>
      <w:bookmarkStart w:id="772" w:name="_Toc497224213"/>
      <w:bookmarkStart w:id="773" w:name="_Toc336681566"/>
      <w:bookmarkStart w:id="774" w:name="_Toc366072514"/>
      <w:bookmarkStart w:id="775" w:name="_Toc365985165"/>
      <w:bookmarkStart w:id="776" w:name="_Toc331684024"/>
      <w:bookmarkStart w:id="777" w:name="_Toc332206694"/>
      <w:bookmarkStart w:id="778" w:name="_Toc349127612"/>
      <w:bookmarkStart w:id="779" w:name="_Toc333238619"/>
      <w:bookmarkStart w:id="780" w:name="_Toc339362286"/>
      <w:bookmarkStart w:id="781" w:name="_Toc339020001"/>
      <w:bookmarkStart w:id="782" w:name="_Toc333935332"/>
      <w:bookmarkStart w:id="783" w:name="_Toc331512884"/>
      <w:bookmarkStart w:id="784" w:name="_Toc339019875"/>
      <w:bookmarkStart w:id="785" w:name="_Toc13833"/>
      <w:r>
        <w:rPr>
          <w:rFonts w:hint="eastAsia"/>
          <w:color w:val="auto"/>
        </w:rPr>
        <w:t>投标有效期</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5</w:t>
      </w:r>
      <w:r>
        <w:rPr>
          <w:rFonts w:ascii="宋体"/>
          <w:bCs/>
          <w:color w:val="auto"/>
        </w:rPr>
        <w:t>.1</w:t>
      </w:r>
      <w:r>
        <w:rPr>
          <w:rFonts w:hint="eastAsia" w:ascii="宋体"/>
          <w:bCs/>
          <w:color w:val="auto"/>
        </w:rPr>
        <w:tab/>
      </w:r>
      <w:r>
        <w:rPr>
          <w:rFonts w:hint="eastAsia" w:ascii="宋体"/>
          <w:bCs/>
          <w:color w:val="auto"/>
        </w:rPr>
        <w:t>从开标之日起，本项目的投标有效期为90天。</w:t>
      </w:r>
    </w:p>
    <w:p>
      <w:pPr>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5</w:t>
      </w:r>
      <w:r>
        <w:rPr>
          <w:rFonts w:ascii="宋体"/>
          <w:bCs/>
          <w:color w:val="auto"/>
        </w:rPr>
        <w:t>.2</w:t>
      </w:r>
      <w:r>
        <w:rPr>
          <w:rFonts w:hint="eastAsia" w:ascii="宋体"/>
          <w:bCs/>
          <w:color w:val="auto"/>
        </w:rPr>
        <w:tab/>
      </w:r>
      <w:r>
        <w:rPr>
          <w:rFonts w:hint="eastAsia" w:ascii="宋体"/>
          <w:bCs/>
          <w:color w:val="auto"/>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4"/>
        </w:numPr>
        <w:tabs>
          <w:tab w:val="left" w:pos="720"/>
        </w:tabs>
        <w:spacing w:before="240" w:after="120"/>
        <w:ind w:left="2432" w:hanging="2432"/>
        <w:rPr>
          <w:color w:val="auto"/>
        </w:rPr>
      </w:pPr>
      <w:bookmarkStart w:id="786" w:name="_Toc337632345"/>
      <w:bookmarkStart w:id="787" w:name="_Toc366072515"/>
      <w:bookmarkStart w:id="788" w:name="_Toc365967060"/>
      <w:bookmarkStart w:id="789" w:name="_Toc331512885"/>
      <w:bookmarkStart w:id="790" w:name="_Toc339020220"/>
      <w:bookmarkStart w:id="791" w:name="_Toc339019876"/>
      <w:bookmarkStart w:id="792" w:name="_Toc333935674"/>
      <w:bookmarkStart w:id="793" w:name="_Toc340507429"/>
      <w:bookmarkStart w:id="794" w:name="_Toc365985166"/>
      <w:bookmarkStart w:id="795" w:name="_Toc336681567"/>
      <w:bookmarkStart w:id="796" w:name="_Toc339020082"/>
      <w:bookmarkStart w:id="797" w:name="_Toc342296747"/>
      <w:bookmarkStart w:id="798" w:name="_Toc341348325"/>
      <w:bookmarkStart w:id="799" w:name="_Toc111534389"/>
      <w:bookmarkStart w:id="800" w:name="_Toc350438736"/>
      <w:bookmarkStart w:id="801" w:name="_Toc339441074"/>
      <w:bookmarkStart w:id="802" w:name="_Toc330459972"/>
      <w:bookmarkStart w:id="803" w:name="_Toc333237775"/>
      <w:bookmarkStart w:id="804" w:name="_Toc332206695"/>
      <w:bookmarkStart w:id="805" w:name="_Toc333238620"/>
      <w:bookmarkStart w:id="806" w:name="_Toc340672856"/>
      <w:bookmarkStart w:id="807" w:name="_Toc332270333"/>
      <w:bookmarkStart w:id="808" w:name="_Toc331684025"/>
      <w:bookmarkStart w:id="809" w:name="_Toc349143576"/>
      <w:bookmarkStart w:id="810" w:name="_Toc497224214"/>
      <w:bookmarkStart w:id="811" w:name="_Toc333237664"/>
      <w:bookmarkStart w:id="812" w:name="_Toc349127613"/>
      <w:bookmarkStart w:id="813" w:name="_Toc503785416"/>
      <w:bookmarkStart w:id="814" w:name="_Toc339020002"/>
      <w:bookmarkStart w:id="815" w:name="_Toc342060361"/>
      <w:bookmarkStart w:id="816" w:name="_Toc339362287"/>
      <w:bookmarkStart w:id="817" w:name="_Toc350756437"/>
      <w:bookmarkStart w:id="818" w:name="_Toc336681922"/>
      <w:bookmarkStart w:id="819" w:name="_Toc374454587"/>
      <w:bookmarkStart w:id="820" w:name="_Toc333935333"/>
      <w:bookmarkStart w:id="821" w:name="_Toc345513854"/>
      <w:bookmarkStart w:id="822" w:name="_Toc340677057"/>
      <w:bookmarkStart w:id="823" w:name="_Toc30744"/>
      <w:r>
        <w:rPr>
          <w:rFonts w:hint="eastAsia"/>
          <w:color w:val="auto"/>
        </w:rPr>
        <w:t>投标文件的签署及规定</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1</w:t>
      </w:r>
      <w:r>
        <w:rPr>
          <w:rFonts w:hint="eastAsia" w:ascii="宋体"/>
          <w:bCs/>
          <w:color w:val="auto"/>
        </w:rPr>
        <w:t>6</w:t>
      </w:r>
      <w:r>
        <w:rPr>
          <w:rFonts w:ascii="宋体"/>
          <w:bCs/>
          <w:color w:val="auto"/>
        </w:rPr>
        <w:t>.1</w:t>
      </w:r>
      <w:r>
        <w:rPr>
          <w:rFonts w:hint="eastAsia" w:ascii="宋体"/>
          <w:bCs/>
          <w:color w:val="auto"/>
        </w:rPr>
        <w:tab/>
      </w:r>
      <w:r>
        <w:rPr>
          <w:rFonts w:hint="eastAsia" w:ascii="宋体"/>
          <w:bCs/>
          <w:color w:val="auto"/>
        </w:rPr>
        <w:t>投标人应按所投项目准备正本和副本，在每一份投标文件上要明确标明“正本”或“副本”。如正本的内容和副本不符，以正本为准（注：投标文件副本可为正本的复印件）。电子文件</w:t>
      </w:r>
      <w:r>
        <w:rPr>
          <w:rFonts w:hint="eastAsia"/>
          <w:color w:val="auto"/>
          <w:szCs w:val="21"/>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1</w:t>
      </w:r>
      <w:r>
        <w:rPr>
          <w:rFonts w:hint="eastAsia" w:ascii="宋体"/>
          <w:bCs/>
          <w:color w:val="auto"/>
        </w:rPr>
        <w:t>6</w:t>
      </w:r>
      <w:r>
        <w:rPr>
          <w:rFonts w:ascii="宋体"/>
          <w:bCs/>
          <w:color w:val="auto"/>
        </w:rPr>
        <w:t>.2</w:t>
      </w:r>
      <w:r>
        <w:rPr>
          <w:rFonts w:hint="eastAsia" w:ascii="宋体"/>
          <w:bCs/>
          <w:color w:val="auto"/>
        </w:rPr>
        <w:tab/>
      </w:r>
      <w:r>
        <w:rPr>
          <w:rFonts w:hint="eastAsia" w:ascii="宋体" w:hAnsi="宋体"/>
          <w:bCs/>
          <w:color w:val="auto"/>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auto"/>
        </w:rPr>
      </w:pPr>
      <w:r>
        <w:rPr>
          <w:rFonts w:ascii="宋体"/>
          <w:bCs/>
          <w:color w:val="auto"/>
        </w:rPr>
        <w:t>1</w:t>
      </w:r>
      <w:r>
        <w:rPr>
          <w:rFonts w:hint="eastAsia" w:ascii="宋体"/>
          <w:bCs/>
          <w:color w:val="auto"/>
        </w:rPr>
        <w:t>6</w:t>
      </w:r>
      <w:r>
        <w:rPr>
          <w:rFonts w:ascii="宋体"/>
          <w:bCs/>
          <w:color w:val="auto"/>
        </w:rPr>
        <w:t>.3</w:t>
      </w:r>
      <w:r>
        <w:rPr>
          <w:rFonts w:hint="eastAsia" w:ascii="宋体"/>
          <w:bCs/>
          <w:color w:val="auto"/>
        </w:rPr>
        <w:tab/>
      </w:r>
      <w:r>
        <w:rPr>
          <w:rFonts w:hint="eastAsia" w:ascii="宋体"/>
          <w:bCs/>
          <w:color w:val="auto"/>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auto"/>
          <w:sz w:val="24"/>
        </w:rPr>
      </w:pPr>
      <w:bookmarkStart w:id="824" w:name="_Toc339020003"/>
      <w:bookmarkStart w:id="825" w:name="_Toc333237776"/>
      <w:bookmarkStart w:id="826" w:name="_Toc350756438"/>
      <w:bookmarkStart w:id="827" w:name="_Toc340677058"/>
      <w:bookmarkStart w:id="828" w:name="_Toc341348326"/>
      <w:bookmarkStart w:id="829" w:name="_Toc497224215"/>
      <w:bookmarkStart w:id="830" w:name="_Toc333935675"/>
      <w:bookmarkStart w:id="831" w:name="_Toc365967061"/>
      <w:bookmarkStart w:id="832" w:name="_Toc374454588"/>
      <w:bookmarkStart w:id="833" w:name="_Toc111534390"/>
      <w:bookmarkStart w:id="834" w:name="_Toc339020083"/>
      <w:bookmarkStart w:id="835" w:name="_Toc349127614"/>
      <w:bookmarkStart w:id="836" w:name="_Toc345513855"/>
      <w:bookmarkStart w:id="837" w:name="_Toc337632346"/>
      <w:bookmarkStart w:id="838" w:name="_Toc339020221"/>
      <w:bookmarkStart w:id="839" w:name="_Toc503785417"/>
      <w:bookmarkStart w:id="840" w:name="_Toc340507430"/>
      <w:bookmarkStart w:id="841" w:name="_Toc342296748"/>
      <w:bookmarkStart w:id="842" w:name="_Toc333237665"/>
      <w:bookmarkStart w:id="843" w:name="_Toc339362288"/>
      <w:bookmarkStart w:id="844" w:name="_Toc336681923"/>
      <w:bookmarkStart w:id="845" w:name="_Toc336681568"/>
      <w:bookmarkStart w:id="846" w:name="_Toc332270334"/>
      <w:bookmarkStart w:id="847" w:name="_Toc333238621"/>
      <w:bookmarkStart w:id="848" w:name="_Toc365985167"/>
      <w:bookmarkStart w:id="849" w:name="_Toc339019877"/>
      <w:bookmarkStart w:id="850" w:name="_Toc342060362"/>
      <w:bookmarkStart w:id="851" w:name="_Toc350438737"/>
      <w:bookmarkStart w:id="852" w:name="_Toc339441075"/>
      <w:bookmarkStart w:id="853" w:name="_Toc349143577"/>
      <w:bookmarkStart w:id="854" w:name="_Toc340672857"/>
      <w:bookmarkStart w:id="855" w:name="_Toc331512886"/>
      <w:bookmarkStart w:id="856" w:name="_Toc333935334"/>
      <w:bookmarkStart w:id="857" w:name="_Toc366072516"/>
      <w:bookmarkStart w:id="858" w:name="_Toc331684026"/>
      <w:bookmarkStart w:id="859" w:name="_Toc332206696"/>
      <w:bookmarkStart w:id="860" w:name="_Toc330459973"/>
      <w:r>
        <w:rPr>
          <w:color w:val="auto"/>
          <w:sz w:val="24"/>
        </w:rPr>
        <w:br w:type="page"/>
      </w:r>
      <w:bookmarkStart w:id="861" w:name="_Toc10931"/>
      <w:r>
        <w:rPr>
          <w:rFonts w:hint="eastAsia"/>
          <w:color w:val="auto"/>
          <w:sz w:val="24"/>
        </w:rPr>
        <w:t>Ｄ投标文件的递交</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pPr>
        <w:pStyle w:val="6"/>
        <w:numPr>
          <w:ilvl w:val="4"/>
          <w:numId w:val="24"/>
        </w:numPr>
        <w:tabs>
          <w:tab w:val="left" w:pos="251"/>
          <w:tab w:val="left" w:pos="720"/>
        </w:tabs>
        <w:spacing w:before="240" w:after="120"/>
        <w:ind w:left="751" w:leftChars="1" w:hangingChars="357"/>
        <w:rPr>
          <w:rFonts w:ascii="宋体" w:hAnsi="宋体"/>
          <w:color w:val="auto"/>
        </w:rPr>
      </w:pPr>
      <w:bookmarkStart w:id="862" w:name="_Toc340507431"/>
      <w:bookmarkStart w:id="863" w:name="_Toc332206697"/>
      <w:bookmarkStart w:id="864" w:name="_Toc503785418"/>
      <w:bookmarkStart w:id="865" w:name="_Toc333935335"/>
      <w:bookmarkStart w:id="866" w:name="_Toc366072517"/>
      <w:bookmarkStart w:id="867" w:name="_Toc349127615"/>
      <w:bookmarkStart w:id="868" w:name="_Toc345513856"/>
      <w:bookmarkStart w:id="869" w:name="_Toc339019878"/>
      <w:bookmarkStart w:id="870" w:name="_Toc365967062"/>
      <w:bookmarkStart w:id="871" w:name="_Toc337632347"/>
      <w:bookmarkStart w:id="872" w:name="_Toc340672858"/>
      <w:bookmarkStart w:id="873" w:name="_Toc333935676"/>
      <w:bookmarkStart w:id="874" w:name="_Toc331684027"/>
      <w:bookmarkStart w:id="875" w:name="_Toc342296749"/>
      <w:bookmarkStart w:id="876" w:name="_Toc342060363"/>
      <w:bookmarkStart w:id="877" w:name="_Toc336681569"/>
      <w:bookmarkStart w:id="878" w:name="_Toc333237777"/>
      <w:bookmarkStart w:id="879" w:name="_Toc339020004"/>
      <w:bookmarkStart w:id="880" w:name="_Toc331512887"/>
      <w:bookmarkStart w:id="881" w:name="_Toc333238622"/>
      <w:bookmarkStart w:id="882" w:name="_Toc350756439"/>
      <w:bookmarkStart w:id="883" w:name="_Toc339362289"/>
      <w:bookmarkStart w:id="884" w:name="_Toc350438738"/>
      <w:bookmarkStart w:id="885" w:name="_Toc349143578"/>
      <w:bookmarkStart w:id="886" w:name="_Toc339020084"/>
      <w:bookmarkStart w:id="887" w:name="_Toc340677059"/>
      <w:bookmarkStart w:id="888" w:name="_Toc497224216"/>
      <w:bookmarkStart w:id="889" w:name="_Toc332270335"/>
      <w:bookmarkStart w:id="890" w:name="_Toc365985168"/>
      <w:bookmarkStart w:id="891" w:name="_Toc330459974"/>
      <w:bookmarkStart w:id="892" w:name="_Toc339020222"/>
      <w:bookmarkStart w:id="893" w:name="_Toc341348327"/>
      <w:bookmarkStart w:id="894" w:name="_Toc336681924"/>
      <w:bookmarkStart w:id="895" w:name="_Toc333237666"/>
      <w:bookmarkStart w:id="896" w:name="_Toc374454589"/>
      <w:bookmarkStart w:id="897" w:name="_Toc339441076"/>
      <w:bookmarkStart w:id="898" w:name="_Toc111534391"/>
      <w:bookmarkStart w:id="899" w:name="_Toc18556"/>
      <w:r>
        <w:rPr>
          <w:rFonts w:hint="eastAsia"/>
          <w:color w:val="auto"/>
        </w:rPr>
        <w:t>投标文件的密封和标记</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pPr>
        <w:pStyle w:val="5"/>
        <w:rPr>
          <w:color w:val="auto"/>
        </w:rPr>
      </w:pPr>
      <w:r>
        <w:rPr>
          <w:rFonts w:hint="eastAsia"/>
          <w:color w:val="auto"/>
        </w:rPr>
        <w:tab/>
      </w:r>
      <w:r>
        <w:rPr>
          <w:rFonts w:hint="eastAsia" w:ascii="黑体" w:eastAsia="黑体"/>
          <w:bCs/>
          <w:color w:val="auto"/>
          <w:kern w:val="2"/>
          <w:sz w:val="21"/>
          <w:szCs w:val="24"/>
        </w:rPr>
        <w:t>详见第三部份《投标人须知〈投标人须知前附表〉》。</w:t>
      </w:r>
    </w:p>
    <w:p>
      <w:pPr>
        <w:pStyle w:val="6"/>
        <w:numPr>
          <w:ilvl w:val="4"/>
          <w:numId w:val="24"/>
        </w:numPr>
        <w:tabs>
          <w:tab w:val="left" w:pos="720"/>
        </w:tabs>
        <w:spacing w:before="240" w:after="120"/>
        <w:ind w:left="2432" w:hanging="2432"/>
        <w:rPr>
          <w:color w:val="auto"/>
        </w:rPr>
      </w:pPr>
      <w:bookmarkStart w:id="900" w:name="_Toc339020005"/>
      <w:bookmarkStart w:id="901" w:name="_Toc333237778"/>
      <w:bookmarkStart w:id="902" w:name="_Toc349127616"/>
      <w:bookmarkStart w:id="903" w:name="_Toc365985169"/>
      <w:bookmarkStart w:id="904" w:name="_Toc503785419"/>
      <w:bookmarkStart w:id="905" w:name="_Toc339019879"/>
      <w:bookmarkStart w:id="906" w:name="_Toc350756440"/>
      <w:bookmarkStart w:id="907" w:name="_Toc336681925"/>
      <w:bookmarkStart w:id="908" w:name="_Toc342296750"/>
      <w:bookmarkStart w:id="909" w:name="_Toc497224217"/>
      <w:bookmarkStart w:id="910" w:name="_Toc341348328"/>
      <w:bookmarkStart w:id="911" w:name="_Toc330459975"/>
      <w:bookmarkStart w:id="912" w:name="_Toc332206698"/>
      <w:bookmarkStart w:id="913" w:name="_Toc340672859"/>
      <w:bookmarkStart w:id="914" w:name="_Toc339020085"/>
      <w:bookmarkStart w:id="915" w:name="_Toc331512888"/>
      <w:bookmarkStart w:id="916" w:name="_Toc349143579"/>
      <w:bookmarkStart w:id="917" w:name="_Toc339020223"/>
      <w:bookmarkStart w:id="918" w:name="_Toc333935336"/>
      <w:bookmarkStart w:id="919" w:name="_Toc339441077"/>
      <w:bookmarkStart w:id="920" w:name="_Toc350438739"/>
      <w:bookmarkStart w:id="921" w:name="_Toc374454590"/>
      <w:bookmarkStart w:id="922" w:name="_Toc333935677"/>
      <w:bookmarkStart w:id="923" w:name="_Toc365967063"/>
      <w:bookmarkStart w:id="924" w:name="_Toc366072518"/>
      <w:bookmarkStart w:id="925" w:name="_Toc333238623"/>
      <w:bookmarkStart w:id="926" w:name="_Toc342060364"/>
      <w:bookmarkStart w:id="927" w:name="_Toc336681570"/>
      <w:bookmarkStart w:id="928" w:name="_Toc332270336"/>
      <w:bookmarkStart w:id="929" w:name="_Toc111534392"/>
      <w:bookmarkStart w:id="930" w:name="_Toc337632348"/>
      <w:bookmarkStart w:id="931" w:name="_Toc340507432"/>
      <w:bookmarkStart w:id="932" w:name="_Toc340677060"/>
      <w:bookmarkStart w:id="933" w:name="_Toc339362290"/>
      <w:bookmarkStart w:id="934" w:name="_Toc331684028"/>
      <w:bookmarkStart w:id="935" w:name="_Toc345513857"/>
      <w:bookmarkStart w:id="936" w:name="_Toc333237667"/>
      <w:bookmarkStart w:id="937" w:name="_Toc11907"/>
      <w:r>
        <w:rPr>
          <w:rFonts w:hint="eastAsia"/>
          <w:color w:val="auto"/>
        </w:rPr>
        <w:t>递交投标文件的时间、地点及截止时间</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pPr>
        <w:widowControl/>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18.1</w:t>
      </w:r>
      <w:r>
        <w:rPr>
          <w:rFonts w:hint="eastAsia" w:ascii="宋体" w:hAnsi="宋体"/>
          <w:bCs/>
          <w:color w:val="auto"/>
        </w:rPr>
        <w:tab/>
      </w:r>
      <w:r>
        <w:rPr>
          <w:rFonts w:hint="eastAsia" w:ascii="宋体" w:hAnsi="宋体"/>
          <w:bCs/>
          <w:color w:val="auto"/>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18.2</w:t>
      </w:r>
      <w:r>
        <w:rPr>
          <w:rFonts w:hint="eastAsia" w:ascii="宋体" w:hAnsi="宋体"/>
          <w:bCs/>
          <w:color w:val="auto"/>
        </w:rPr>
        <w:tab/>
      </w:r>
      <w:r>
        <w:rPr>
          <w:rFonts w:hint="eastAsia" w:ascii="宋体" w:hAnsi="宋体"/>
          <w:bCs/>
          <w:color w:val="auto"/>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rPr>
      </w:pPr>
      <w:bookmarkStart w:id="938" w:name="_Toc333935337"/>
      <w:bookmarkStart w:id="939" w:name="_Toc350756441"/>
      <w:bookmarkStart w:id="940" w:name="_Toc350438740"/>
      <w:bookmarkStart w:id="941" w:name="_Toc332206699"/>
      <w:bookmarkStart w:id="942" w:name="_Toc503785420"/>
      <w:bookmarkStart w:id="943" w:name="_Toc365985170"/>
      <w:bookmarkStart w:id="944" w:name="_Toc349143580"/>
      <w:bookmarkStart w:id="945" w:name="_Toc339020006"/>
      <w:bookmarkStart w:id="946" w:name="_Toc337632349"/>
      <w:bookmarkStart w:id="947" w:name="_Toc366072519"/>
      <w:bookmarkStart w:id="948" w:name="_Toc330459976"/>
      <w:bookmarkStart w:id="949" w:name="_Toc336681571"/>
      <w:bookmarkStart w:id="950" w:name="_Toc497224218"/>
      <w:bookmarkStart w:id="951" w:name="_Toc340507433"/>
      <w:bookmarkStart w:id="952" w:name="_Toc340677061"/>
      <w:bookmarkStart w:id="953" w:name="_Toc365967064"/>
      <w:bookmarkStart w:id="954" w:name="_Toc345513858"/>
      <w:bookmarkStart w:id="955" w:name="_Toc342296751"/>
      <w:bookmarkStart w:id="956" w:name="_Toc339362291"/>
      <w:bookmarkStart w:id="957" w:name="_Toc333237779"/>
      <w:bookmarkStart w:id="958" w:name="_Toc339019880"/>
      <w:bookmarkStart w:id="959" w:name="_Toc332270337"/>
      <w:bookmarkStart w:id="960" w:name="_Toc342060365"/>
      <w:bookmarkStart w:id="961" w:name="_Toc339441078"/>
      <w:bookmarkStart w:id="962" w:name="_Toc333935678"/>
      <w:bookmarkStart w:id="963" w:name="_Toc333238624"/>
      <w:bookmarkStart w:id="964" w:name="_Toc336681926"/>
      <w:bookmarkStart w:id="965" w:name="_Toc340672860"/>
      <w:bookmarkStart w:id="966" w:name="_Toc331684029"/>
      <w:bookmarkStart w:id="967" w:name="_Toc333237668"/>
      <w:bookmarkStart w:id="968" w:name="_Toc349127617"/>
      <w:bookmarkStart w:id="969" w:name="_Toc331512889"/>
      <w:bookmarkStart w:id="970" w:name="_Toc339020224"/>
      <w:bookmarkStart w:id="971" w:name="_Toc341348329"/>
      <w:bookmarkStart w:id="972" w:name="_Toc339020086"/>
      <w:bookmarkStart w:id="973" w:name="_Toc374454591"/>
      <w:r>
        <w:rPr>
          <w:rFonts w:hint="eastAsia" w:ascii="宋体" w:hAnsi="宋体"/>
          <w:bCs/>
          <w:color w:val="auto"/>
        </w:rPr>
        <w:t>18.3</w:t>
      </w:r>
      <w:r>
        <w:rPr>
          <w:rFonts w:hint="eastAsia" w:ascii="宋体" w:hAnsi="宋体"/>
          <w:bCs/>
          <w:color w:val="auto"/>
        </w:rPr>
        <w:tab/>
      </w:r>
      <w:r>
        <w:rPr>
          <w:rFonts w:hint="eastAsia" w:ascii="宋体" w:hAnsi="宋体"/>
          <w:bCs/>
          <w:color w:val="auto"/>
        </w:rPr>
        <w:t xml:space="preserve"> 代理采购机构于投标截止时间前30分钟开始接收投标文件，并于招标文件“第一部分投标邀请函”规定的开标时间、开标地点公开开标。</w:t>
      </w:r>
    </w:p>
    <w:p>
      <w:pPr>
        <w:pStyle w:val="6"/>
        <w:numPr>
          <w:ilvl w:val="4"/>
          <w:numId w:val="24"/>
        </w:numPr>
        <w:tabs>
          <w:tab w:val="left" w:pos="720"/>
        </w:tabs>
        <w:spacing w:before="240" w:after="120"/>
        <w:ind w:left="2432" w:hanging="2432"/>
        <w:rPr>
          <w:color w:val="auto"/>
        </w:rPr>
      </w:pPr>
      <w:bookmarkStart w:id="974" w:name="_Toc23995"/>
      <w:r>
        <w:rPr>
          <w:rFonts w:hint="eastAsia"/>
          <w:color w:val="auto"/>
        </w:rPr>
        <w:t>迟交的投标文件</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pPr>
        <w:widowControl/>
        <w:tabs>
          <w:tab w:val="left" w:pos="753"/>
        </w:tabs>
        <w:adjustRightInd w:val="0"/>
        <w:snapToGrid w:val="0"/>
        <w:spacing w:line="360" w:lineRule="auto"/>
        <w:ind w:left="751" w:leftChars="1" w:hanging="749" w:hangingChars="357"/>
        <w:rPr>
          <w:rFonts w:ascii="宋体"/>
          <w:bCs/>
          <w:color w:val="auto"/>
        </w:rPr>
      </w:pPr>
      <w:r>
        <w:rPr>
          <w:rFonts w:hint="eastAsia" w:ascii="宋体"/>
          <w:bCs/>
          <w:color w:val="auto"/>
        </w:rPr>
        <w:t>19</w:t>
      </w:r>
      <w:r>
        <w:rPr>
          <w:rFonts w:ascii="宋体"/>
          <w:bCs/>
          <w:color w:val="auto"/>
        </w:rPr>
        <w:t>.1</w:t>
      </w:r>
      <w:r>
        <w:rPr>
          <w:rFonts w:hint="eastAsia" w:ascii="宋体"/>
          <w:bCs/>
          <w:color w:val="auto"/>
        </w:rPr>
        <w:tab/>
      </w:r>
      <w:r>
        <w:rPr>
          <w:rFonts w:hint="eastAsia" w:ascii="宋体"/>
          <w:bCs/>
          <w:color w:val="auto"/>
        </w:rPr>
        <w:t>代理采购机构将拒绝在投标截止时间后递交的任何投标文件。</w:t>
      </w:r>
    </w:p>
    <w:p>
      <w:pPr>
        <w:pStyle w:val="6"/>
        <w:numPr>
          <w:ilvl w:val="4"/>
          <w:numId w:val="24"/>
        </w:numPr>
        <w:tabs>
          <w:tab w:val="left" w:pos="720"/>
        </w:tabs>
        <w:spacing w:before="240" w:after="120"/>
        <w:ind w:left="2432" w:hanging="2432"/>
        <w:rPr>
          <w:color w:val="auto"/>
        </w:rPr>
      </w:pPr>
      <w:bookmarkStart w:id="975" w:name="_Toc497224219"/>
      <w:bookmarkStart w:id="976" w:name="_Toc503785421"/>
      <w:bookmarkStart w:id="977" w:name="_Toc349143581"/>
      <w:bookmarkStart w:id="978" w:name="_Toc341348330"/>
      <w:bookmarkStart w:id="979" w:name="_Toc331512890"/>
      <w:bookmarkStart w:id="980" w:name="_Toc374454592"/>
      <w:bookmarkStart w:id="981" w:name="_Toc331684030"/>
      <w:bookmarkStart w:id="982" w:name="_Toc339020007"/>
      <w:bookmarkStart w:id="983" w:name="_Toc333935679"/>
      <w:bookmarkStart w:id="984" w:name="_Toc339362292"/>
      <w:bookmarkStart w:id="985" w:name="_Toc330459977"/>
      <w:bookmarkStart w:id="986" w:name="_Toc340672861"/>
      <w:bookmarkStart w:id="987" w:name="_Toc337632350"/>
      <w:bookmarkStart w:id="988" w:name="_Toc333237780"/>
      <w:bookmarkStart w:id="989" w:name="_Toc349127618"/>
      <w:bookmarkStart w:id="990" w:name="_Toc340507434"/>
      <w:bookmarkStart w:id="991" w:name="_Toc339020225"/>
      <w:bookmarkStart w:id="992" w:name="_Toc333238625"/>
      <w:bookmarkStart w:id="993" w:name="_Toc365985171"/>
      <w:bookmarkStart w:id="994" w:name="_Toc336681572"/>
      <w:bookmarkStart w:id="995" w:name="_Toc333935338"/>
      <w:bookmarkStart w:id="996" w:name="_Toc350756442"/>
      <w:bookmarkStart w:id="997" w:name="_Toc345513859"/>
      <w:bookmarkStart w:id="998" w:name="_Toc342060366"/>
      <w:bookmarkStart w:id="999" w:name="_Toc336681927"/>
      <w:bookmarkStart w:id="1000" w:name="_Toc339441079"/>
      <w:bookmarkStart w:id="1001" w:name="_Toc366072520"/>
      <w:bookmarkStart w:id="1002" w:name="_Toc340677062"/>
      <w:bookmarkStart w:id="1003" w:name="_Toc339020087"/>
      <w:bookmarkStart w:id="1004" w:name="_Toc333237669"/>
      <w:bookmarkStart w:id="1005" w:name="_Toc339019881"/>
      <w:bookmarkStart w:id="1006" w:name="_Toc350438741"/>
      <w:bookmarkStart w:id="1007" w:name="_Toc332270338"/>
      <w:bookmarkStart w:id="1008" w:name="_Toc365967065"/>
      <w:bookmarkStart w:id="1009" w:name="_Toc332206700"/>
      <w:bookmarkStart w:id="1010" w:name="_Toc342296752"/>
      <w:bookmarkStart w:id="1011" w:name="_Toc3548"/>
      <w:r>
        <w:rPr>
          <w:rFonts w:hint="eastAsia"/>
          <w:color w:val="auto"/>
        </w:rPr>
        <w:t>投标文件的修改和撤</w:t>
      </w:r>
      <w:bookmarkEnd w:id="975"/>
      <w:bookmarkEnd w:id="976"/>
      <w:r>
        <w:rPr>
          <w:rFonts w:hint="eastAsia"/>
          <w:color w:val="auto"/>
        </w:rPr>
        <w:t>回</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.1</w:t>
      </w:r>
      <w:r>
        <w:rPr>
          <w:rFonts w:hint="eastAsia" w:ascii="宋体"/>
          <w:bCs/>
          <w:color w:val="auto"/>
        </w:rPr>
        <w:tab/>
      </w:r>
      <w:r>
        <w:rPr>
          <w:rFonts w:hint="eastAsia" w:ascii="宋体"/>
          <w:bCs/>
          <w:color w:val="auto"/>
        </w:rPr>
        <w:t xml:space="preserve"> 投标人在投标截止时间前，可以修改或撤回其投标文件。但必须在规定的投标截止时间之前以书面通知到代理采购机构，该通知须有投标人法定代表人（负责人）或其授权代表签字。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.2</w:t>
      </w:r>
      <w:r>
        <w:rPr>
          <w:rFonts w:hint="eastAsia" w:ascii="宋体"/>
          <w:bCs/>
          <w:color w:val="auto"/>
        </w:rPr>
        <w:tab/>
      </w:r>
      <w:r>
        <w:rPr>
          <w:rFonts w:hint="eastAsia" w:ascii="宋体"/>
          <w:bCs/>
          <w:color w:val="auto"/>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.3</w:t>
      </w:r>
      <w:r>
        <w:rPr>
          <w:rFonts w:hint="eastAsia" w:ascii="宋体"/>
          <w:bCs/>
          <w:color w:val="auto"/>
        </w:rPr>
        <w:tab/>
      </w:r>
      <w:r>
        <w:rPr>
          <w:rFonts w:hint="eastAsia" w:ascii="宋体"/>
          <w:bCs/>
          <w:color w:val="auto"/>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auto"/>
        </w:rPr>
      </w:pPr>
      <w:r>
        <w:rPr>
          <w:rFonts w:ascii="宋体"/>
          <w:bCs/>
          <w:color w:val="auto"/>
        </w:rPr>
        <w:t>2</w:t>
      </w:r>
      <w:r>
        <w:rPr>
          <w:rFonts w:hint="eastAsia" w:ascii="宋体"/>
          <w:bCs/>
          <w:color w:val="auto"/>
        </w:rPr>
        <w:t>0</w:t>
      </w:r>
      <w:r>
        <w:rPr>
          <w:rFonts w:ascii="宋体"/>
          <w:bCs/>
          <w:color w:val="auto"/>
        </w:rPr>
        <w:t>.4</w:t>
      </w:r>
      <w:r>
        <w:rPr>
          <w:rFonts w:hint="eastAsia" w:ascii="宋体"/>
          <w:bCs/>
          <w:color w:val="auto"/>
        </w:rPr>
        <w:tab/>
      </w:r>
      <w:r>
        <w:rPr>
          <w:rFonts w:hint="eastAsia" w:ascii="宋体"/>
          <w:bCs/>
          <w:color w:val="auto"/>
        </w:rPr>
        <w:t>从投标截止时间至投标文件有效期期满之前，投标人不得撤回其投标文件，否则代理采购机构将按规定不予退还投标保证金。</w:t>
      </w:r>
    </w:p>
    <w:p>
      <w:pPr>
        <w:pStyle w:val="4"/>
        <w:numPr>
          <w:ilvl w:val="0"/>
          <w:numId w:val="0"/>
        </w:numPr>
        <w:rPr>
          <w:color w:val="auto"/>
          <w:sz w:val="24"/>
        </w:rPr>
      </w:pPr>
      <w:bookmarkStart w:id="1012" w:name="_Toc497224220"/>
      <w:bookmarkStart w:id="1013" w:name="_Toc333237781"/>
      <w:bookmarkStart w:id="1014" w:name="_Toc332270339"/>
      <w:bookmarkStart w:id="1015" w:name="_Toc330459978"/>
      <w:bookmarkStart w:id="1016" w:name="_Toc349143582"/>
      <w:bookmarkStart w:id="1017" w:name="_Toc333935680"/>
      <w:bookmarkStart w:id="1018" w:name="_Toc337632351"/>
      <w:bookmarkStart w:id="1019" w:name="_Toc332206701"/>
      <w:bookmarkStart w:id="1020" w:name="_Toc345513860"/>
      <w:bookmarkStart w:id="1021" w:name="_Toc339019882"/>
      <w:bookmarkStart w:id="1022" w:name="_Toc340507435"/>
      <w:bookmarkStart w:id="1023" w:name="_Toc350756443"/>
      <w:bookmarkStart w:id="1024" w:name="_Toc336681928"/>
      <w:bookmarkStart w:id="1025" w:name="_Toc365967066"/>
      <w:bookmarkStart w:id="1026" w:name="_Toc339362293"/>
      <w:bookmarkStart w:id="1027" w:name="_Toc339020226"/>
      <w:bookmarkStart w:id="1028" w:name="_Toc339020088"/>
      <w:bookmarkStart w:id="1029" w:name="_Toc365985172"/>
      <w:bookmarkStart w:id="1030" w:name="_Toc333238626"/>
      <w:bookmarkStart w:id="1031" w:name="_Toc340672862"/>
      <w:bookmarkStart w:id="1032" w:name="_Toc339020008"/>
      <w:bookmarkStart w:id="1033" w:name="_Toc350438742"/>
      <w:bookmarkStart w:id="1034" w:name="_Toc374454593"/>
      <w:bookmarkStart w:id="1035" w:name="_Toc333237670"/>
      <w:bookmarkStart w:id="1036" w:name="_Toc349127619"/>
      <w:bookmarkStart w:id="1037" w:name="_Toc333935339"/>
      <w:bookmarkStart w:id="1038" w:name="_Toc336681573"/>
      <w:bookmarkStart w:id="1039" w:name="_Toc342296753"/>
      <w:bookmarkStart w:id="1040" w:name="_Toc331684031"/>
      <w:bookmarkStart w:id="1041" w:name="_Toc331512891"/>
      <w:bookmarkStart w:id="1042" w:name="_Toc342060367"/>
      <w:bookmarkStart w:id="1043" w:name="_Toc503785422"/>
      <w:bookmarkStart w:id="1044" w:name="_Toc340677063"/>
      <w:bookmarkStart w:id="1045" w:name="_Toc341348331"/>
      <w:bookmarkStart w:id="1046" w:name="_Toc339441080"/>
      <w:bookmarkStart w:id="1047" w:name="_Toc366072521"/>
      <w:r>
        <w:rPr>
          <w:color w:val="auto"/>
          <w:sz w:val="24"/>
        </w:rPr>
        <w:br w:type="page"/>
      </w:r>
      <w:bookmarkStart w:id="1048" w:name="_Toc24333"/>
      <w:r>
        <w:rPr>
          <w:rFonts w:hint="eastAsia"/>
          <w:color w:val="auto"/>
          <w:sz w:val="24"/>
        </w:rPr>
        <w:t>Ｅ开标和评标</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pPr>
        <w:pStyle w:val="6"/>
        <w:numPr>
          <w:ilvl w:val="4"/>
          <w:numId w:val="24"/>
        </w:numPr>
        <w:tabs>
          <w:tab w:val="left" w:pos="720"/>
        </w:tabs>
        <w:spacing w:before="240" w:after="120"/>
        <w:ind w:left="2432" w:hanging="2432"/>
        <w:rPr>
          <w:color w:val="auto"/>
        </w:rPr>
      </w:pPr>
      <w:bookmarkStart w:id="1049" w:name="_Toc366072522"/>
      <w:bookmarkStart w:id="1050" w:name="_Toc339020227"/>
      <w:bookmarkStart w:id="1051" w:name="_Toc339019883"/>
      <w:bookmarkStart w:id="1052" w:name="_Toc330459979"/>
      <w:bookmarkStart w:id="1053" w:name="_Toc340677064"/>
      <w:bookmarkStart w:id="1054" w:name="_Toc374454594"/>
      <w:bookmarkStart w:id="1055" w:name="_Toc339020089"/>
      <w:bookmarkStart w:id="1056" w:name="_Toc336681929"/>
      <w:bookmarkStart w:id="1057" w:name="_Toc333238627"/>
      <w:bookmarkStart w:id="1058" w:name="_Toc339441081"/>
      <w:bookmarkStart w:id="1059" w:name="_Toc350438743"/>
      <w:bookmarkStart w:id="1060" w:name="_Toc349143583"/>
      <w:bookmarkStart w:id="1061" w:name="_Toc365985173"/>
      <w:bookmarkStart w:id="1062" w:name="_Toc331512892"/>
      <w:bookmarkStart w:id="1063" w:name="_Toc336681574"/>
      <w:bookmarkStart w:id="1064" w:name="_Toc342060368"/>
      <w:bookmarkStart w:id="1065" w:name="_Toc341348332"/>
      <w:bookmarkStart w:id="1066" w:name="_Toc349127620"/>
      <w:bookmarkStart w:id="1067" w:name="_Toc333237782"/>
      <w:bookmarkStart w:id="1068" w:name="_Toc339362294"/>
      <w:bookmarkStart w:id="1069" w:name="_Toc331684032"/>
      <w:bookmarkStart w:id="1070" w:name="_Toc345513861"/>
      <w:bookmarkStart w:id="1071" w:name="_Toc503785423"/>
      <w:bookmarkStart w:id="1072" w:name="_Toc365967067"/>
      <w:bookmarkStart w:id="1073" w:name="_Toc342296754"/>
      <w:bookmarkStart w:id="1074" w:name="_Toc497224221"/>
      <w:bookmarkStart w:id="1075" w:name="_Toc339020009"/>
      <w:bookmarkStart w:id="1076" w:name="_Toc333935681"/>
      <w:bookmarkStart w:id="1077" w:name="_Toc332270340"/>
      <w:bookmarkStart w:id="1078" w:name="_Toc340507436"/>
      <w:bookmarkStart w:id="1079" w:name="_Toc333237671"/>
      <w:bookmarkStart w:id="1080" w:name="_Toc333935340"/>
      <w:bookmarkStart w:id="1081" w:name="_Toc337632352"/>
      <w:bookmarkStart w:id="1082" w:name="_Toc350756444"/>
      <w:bookmarkStart w:id="1083" w:name="_Toc332206702"/>
      <w:bookmarkStart w:id="1084" w:name="_Toc340672863"/>
      <w:bookmarkStart w:id="1085" w:name="_Toc13811"/>
      <w:r>
        <w:rPr>
          <w:rFonts w:hint="eastAsia"/>
          <w:color w:val="auto"/>
        </w:rPr>
        <w:t>开标</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p>
    <w:p>
      <w:pPr>
        <w:widowControl/>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2</w:t>
      </w:r>
      <w:r>
        <w:rPr>
          <w:rFonts w:hint="eastAsia" w:ascii="宋体" w:hAnsi="宋体"/>
          <w:bCs/>
          <w:color w:val="auto"/>
        </w:rPr>
        <w:t>1</w:t>
      </w:r>
      <w:r>
        <w:rPr>
          <w:rFonts w:ascii="宋体" w:hAnsi="宋体"/>
          <w:bCs/>
          <w:color w:val="auto"/>
        </w:rPr>
        <w:t>.1</w:t>
      </w:r>
      <w:r>
        <w:rPr>
          <w:rFonts w:hint="eastAsia" w:ascii="宋体" w:hAnsi="宋体"/>
          <w:bCs/>
          <w:color w:val="auto"/>
        </w:rPr>
        <w:tab/>
      </w:r>
      <w:r>
        <w:rPr>
          <w:rFonts w:hint="eastAsia" w:ascii="宋体" w:hAnsi="宋体"/>
          <w:bCs/>
          <w:color w:val="auto"/>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2</w:t>
      </w:r>
      <w:r>
        <w:rPr>
          <w:rFonts w:hint="eastAsia" w:ascii="宋体" w:hAnsi="宋体"/>
          <w:bCs/>
          <w:color w:val="auto"/>
        </w:rPr>
        <w:t>1</w:t>
      </w:r>
      <w:r>
        <w:rPr>
          <w:rFonts w:ascii="宋体" w:hAnsi="宋体"/>
          <w:bCs/>
          <w:color w:val="auto"/>
        </w:rPr>
        <w:t>.2</w:t>
      </w:r>
      <w:r>
        <w:rPr>
          <w:rFonts w:hint="eastAsia" w:ascii="宋体" w:hAnsi="宋体"/>
          <w:bCs/>
          <w:color w:val="auto"/>
        </w:rPr>
        <w:tab/>
      </w:r>
      <w:r>
        <w:rPr>
          <w:rFonts w:hint="eastAsia" w:ascii="宋体" w:hAnsi="宋体"/>
          <w:bCs/>
          <w:color w:val="auto"/>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21.4</w:t>
      </w:r>
      <w:r>
        <w:rPr>
          <w:rFonts w:hint="eastAsia" w:ascii="宋体" w:hAnsi="宋体"/>
          <w:bCs/>
          <w:color w:val="auto"/>
        </w:rPr>
        <w:tab/>
      </w:r>
      <w:r>
        <w:rPr>
          <w:rFonts w:hint="eastAsia" w:ascii="宋体" w:hAnsi="宋体"/>
          <w:bCs/>
          <w:color w:val="auto"/>
        </w:rPr>
        <w:t xml:space="preserve"> 唱标结束后，代理采购机构将做唱标记录，并按规定在唱标记录上签字。</w:t>
      </w:r>
    </w:p>
    <w:p>
      <w:pPr>
        <w:pStyle w:val="6"/>
        <w:numPr>
          <w:ilvl w:val="4"/>
          <w:numId w:val="24"/>
        </w:numPr>
        <w:tabs>
          <w:tab w:val="left" w:pos="720"/>
        </w:tabs>
        <w:spacing w:before="240" w:after="120"/>
        <w:ind w:left="752" w:hanging="751" w:hangingChars="358"/>
        <w:rPr>
          <w:rFonts w:ascii="宋体" w:hAnsi="宋体"/>
          <w:color w:val="auto"/>
        </w:rPr>
      </w:pPr>
      <w:bookmarkStart w:id="1086" w:name="_Toc342060369"/>
      <w:bookmarkStart w:id="1087" w:name="_Toc331512893"/>
      <w:bookmarkStart w:id="1088" w:name="_Toc340507437"/>
      <w:bookmarkStart w:id="1089" w:name="_Toc339441082"/>
      <w:bookmarkStart w:id="1090" w:name="_Toc366072523"/>
      <w:bookmarkStart w:id="1091" w:name="_Toc332206703"/>
      <w:bookmarkStart w:id="1092" w:name="_Toc336681930"/>
      <w:bookmarkStart w:id="1093" w:name="_Toc503785424"/>
      <w:bookmarkStart w:id="1094" w:name="_Toc345513862"/>
      <w:bookmarkStart w:id="1095" w:name="_Toc330459980"/>
      <w:bookmarkStart w:id="1096" w:name="_Toc333238628"/>
      <w:bookmarkStart w:id="1097" w:name="_Toc339019884"/>
      <w:bookmarkStart w:id="1098" w:name="_Toc331684033"/>
      <w:bookmarkStart w:id="1099" w:name="_Toc332270341"/>
      <w:bookmarkStart w:id="1100" w:name="_Toc342296755"/>
      <w:bookmarkStart w:id="1101" w:name="_Toc333935341"/>
      <w:bookmarkStart w:id="1102" w:name="_Toc339362295"/>
      <w:bookmarkStart w:id="1103" w:name="_Toc333237783"/>
      <w:bookmarkStart w:id="1104" w:name="_Toc349127621"/>
      <w:bookmarkStart w:id="1105" w:name="_Toc336681575"/>
      <w:bookmarkStart w:id="1106" w:name="_Toc341348333"/>
      <w:bookmarkStart w:id="1107" w:name="_Toc350438744"/>
      <w:bookmarkStart w:id="1108" w:name="_Toc339020228"/>
      <w:bookmarkStart w:id="1109" w:name="_Toc497224222"/>
      <w:bookmarkStart w:id="1110" w:name="_Toc365985174"/>
      <w:bookmarkStart w:id="1111" w:name="_Toc333935682"/>
      <w:bookmarkStart w:id="1112" w:name="_Toc349143584"/>
      <w:bookmarkStart w:id="1113" w:name="_Toc374454595"/>
      <w:bookmarkStart w:id="1114" w:name="_Toc337632353"/>
      <w:bookmarkStart w:id="1115" w:name="_Toc365967068"/>
      <w:bookmarkStart w:id="1116" w:name="_Toc340677065"/>
      <w:bookmarkStart w:id="1117" w:name="_Toc339020010"/>
      <w:bookmarkStart w:id="1118" w:name="_Toc339020090"/>
      <w:bookmarkStart w:id="1119" w:name="_Toc340672864"/>
      <w:bookmarkStart w:id="1120" w:name="_Toc350756445"/>
      <w:bookmarkStart w:id="1121" w:name="_Toc333237672"/>
      <w:bookmarkStart w:id="1122" w:name="_Toc17475"/>
      <w:r>
        <w:rPr>
          <w:rFonts w:hint="eastAsia"/>
          <w:color w:val="auto"/>
        </w:rPr>
        <w:t>评标委员会</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p>
    <w:p>
      <w:pPr>
        <w:pStyle w:val="5"/>
        <w:rPr>
          <w:color w:val="auto"/>
        </w:rPr>
      </w:pPr>
      <w:r>
        <w:rPr>
          <w:rFonts w:hint="eastAsia" w:ascii="黑体" w:eastAsia="黑体"/>
          <w:bCs/>
          <w:color w:val="auto"/>
          <w:kern w:val="2"/>
          <w:sz w:val="21"/>
          <w:szCs w:val="24"/>
        </w:rPr>
        <w:t>详见第三部份《投标人须知〈投标人须知前附表〉》。</w:t>
      </w:r>
    </w:p>
    <w:p>
      <w:pPr>
        <w:pStyle w:val="6"/>
        <w:numPr>
          <w:ilvl w:val="4"/>
          <w:numId w:val="24"/>
        </w:numPr>
        <w:tabs>
          <w:tab w:val="left" w:pos="720"/>
        </w:tabs>
        <w:spacing w:before="240" w:after="120"/>
        <w:ind w:left="2432" w:hanging="2432"/>
        <w:rPr>
          <w:color w:val="auto"/>
        </w:rPr>
      </w:pPr>
      <w:bookmarkStart w:id="1123" w:name="_Toc342296756"/>
      <w:bookmarkStart w:id="1124" w:name="_Toc365985175"/>
      <w:bookmarkStart w:id="1125" w:name="_Toc333238629"/>
      <w:bookmarkStart w:id="1126" w:name="_Toc340672865"/>
      <w:bookmarkStart w:id="1127" w:name="_Toc330459981"/>
      <w:bookmarkStart w:id="1128" w:name="_Toc503785425"/>
      <w:bookmarkStart w:id="1129" w:name="_Toc339441083"/>
      <w:bookmarkStart w:id="1130" w:name="_Toc333237784"/>
      <w:bookmarkStart w:id="1131" w:name="_Toc339020229"/>
      <w:bookmarkStart w:id="1132" w:name="_Toc345513863"/>
      <w:bookmarkStart w:id="1133" w:name="_Toc333935683"/>
      <w:bookmarkStart w:id="1134" w:name="_Toc339020011"/>
      <w:bookmarkStart w:id="1135" w:name="_Toc331512894"/>
      <w:bookmarkStart w:id="1136" w:name="_Toc336681576"/>
      <w:bookmarkStart w:id="1137" w:name="_Toc339019885"/>
      <w:bookmarkStart w:id="1138" w:name="_Toc333935342"/>
      <w:bookmarkStart w:id="1139" w:name="_Toc331684034"/>
      <w:bookmarkStart w:id="1140" w:name="_Toc374454596"/>
      <w:bookmarkStart w:id="1141" w:name="_Toc332206704"/>
      <w:bookmarkStart w:id="1142" w:name="_Toc340507438"/>
      <w:bookmarkStart w:id="1143" w:name="_Toc339020091"/>
      <w:bookmarkStart w:id="1144" w:name="_Toc349127622"/>
      <w:bookmarkStart w:id="1145" w:name="_Toc366072524"/>
      <w:bookmarkStart w:id="1146" w:name="_Toc497224223"/>
      <w:bookmarkStart w:id="1147" w:name="_Toc350756446"/>
      <w:bookmarkStart w:id="1148" w:name="_Toc349143585"/>
      <w:bookmarkStart w:id="1149" w:name="_Toc341348334"/>
      <w:bookmarkStart w:id="1150" w:name="_Toc365967069"/>
      <w:bookmarkStart w:id="1151" w:name="_Toc339362296"/>
      <w:bookmarkStart w:id="1152" w:name="_Toc350438745"/>
      <w:bookmarkStart w:id="1153" w:name="_Toc333237673"/>
      <w:bookmarkStart w:id="1154" w:name="_Toc332270342"/>
      <w:bookmarkStart w:id="1155" w:name="_Toc337632354"/>
      <w:bookmarkStart w:id="1156" w:name="_Toc342060370"/>
      <w:bookmarkStart w:id="1157" w:name="_Toc340677066"/>
      <w:bookmarkStart w:id="1158" w:name="_Toc336681931"/>
      <w:bookmarkStart w:id="1159" w:name="_Toc18684"/>
      <w:r>
        <w:rPr>
          <w:rFonts w:hint="eastAsia"/>
          <w:color w:val="auto"/>
        </w:rPr>
        <w:t>对投标文件的初审和响应性的确定</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.1</w:t>
      </w:r>
      <w:r>
        <w:rPr>
          <w:rFonts w:hint="eastAsia" w:ascii="宋体"/>
          <w:bCs/>
          <w:color w:val="auto"/>
        </w:rPr>
        <w:tab/>
      </w:r>
      <w:r>
        <w:rPr>
          <w:rFonts w:hint="eastAsia" w:ascii="宋体"/>
          <w:bCs/>
          <w:color w:val="auto"/>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rPr>
      </w:pPr>
      <w:r>
        <w:rPr>
          <w:rFonts w:hint="eastAsia" w:ascii="宋体"/>
          <w:bCs/>
          <w:color w:val="auto"/>
        </w:rPr>
        <w:t xml:space="preserve">23.2   </w:t>
      </w:r>
      <w:r>
        <w:rPr>
          <w:rFonts w:hint="eastAsia" w:ascii="宋体" w:hAnsi="宋体"/>
          <w:color w:val="auto"/>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3</w:t>
      </w:r>
      <w:r>
        <w:rPr>
          <w:rFonts w:hint="eastAsia" w:ascii="宋体"/>
          <w:bCs/>
          <w:color w:val="auto"/>
        </w:rPr>
        <w:tab/>
      </w:r>
      <w:r>
        <w:rPr>
          <w:rFonts w:hint="eastAsia" w:ascii="宋体"/>
          <w:bCs/>
          <w:color w:val="auto"/>
        </w:rPr>
        <w:tab/>
      </w:r>
      <w:r>
        <w:rPr>
          <w:rFonts w:hint="eastAsia" w:ascii="宋体"/>
          <w:bCs/>
          <w:color w:val="auto"/>
        </w:rPr>
        <w:t xml:space="preserve"> 评标委员会将确定每一投标是否对招标文件的要求做出了实质性的响应，而没有重大偏离。实质性响应的投标是指投标符合招标文件的所有条款、条件和规定且没有重大偏离或保留。重大偏离或保留是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4</w:t>
      </w:r>
      <w:r>
        <w:rPr>
          <w:rFonts w:hint="eastAsia" w:ascii="宋体"/>
          <w:bCs/>
          <w:color w:val="auto"/>
        </w:rPr>
        <w:tab/>
      </w:r>
      <w:r>
        <w:rPr>
          <w:rFonts w:hint="eastAsia" w:ascii="宋体"/>
          <w:bCs/>
          <w:color w:val="auto"/>
        </w:rPr>
        <w:tab/>
      </w:r>
      <w:r>
        <w:rPr>
          <w:rFonts w:hint="eastAsia" w:ascii="宋体"/>
          <w:bCs/>
          <w:color w:val="auto"/>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auto"/>
        </w:rPr>
      </w:pPr>
      <w:r>
        <w:rPr>
          <w:rFonts w:ascii="宋体"/>
          <w:bCs/>
          <w:color w:val="auto"/>
        </w:rPr>
        <w:t>2</w:t>
      </w:r>
      <w:r>
        <w:rPr>
          <w:rFonts w:hint="eastAsia" w:ascii="宋体"/>
          <w:bCs/>
          <w:color w:val="auto"/>
        </w:rPr>
        <w:t>3</w:t>
      </w:r>
      <w:r>
        <w:rPr>
          <w:rFonts w:ascii="宋体"/>
          <w:bCs/>
          <w:color w:val="auto"/>
        </w:rPr>
        <w:t>.</w:t>
      </w:r>
      <w:r>
        <w:rPr>
          <w:rFonts w:hint="eastAsia" w:ascii="宋体"/>
          <w:bCs/>
          <w:color w:val="auto"/>
        </w:rPr>
        <w:t xml:space="preserve">5 </w:t>
      </w:r>
      <w:r>
        <w:rPr>
          <w:rFonts w:hint="eastAsia" w:ascii="宋体"/>
          <w:bCs/>
          <w:color w:val="auto"/>
        </w:rPr>
        <w:tab/>
      </w:r>
      <w:r>
        <w:rPr>
          <w:rFonts w:hint="eastAsia" w:ascii="宋体" w:hAnsi="宋体"/>
          <w:bCs/>
          <w:color w:val="auto"/>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资格审查结果为不合格的；</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投标函</w:t>
      </w:r>
      <w:r>
        <w:rPr>
          <w:rFonts w:ascii="宋体" w:hAnsi="宋体"/>
          <w:bCs/>
          <w:color w:val="auto"/>
        </w:rPr>
        <w:t>未加盖</w:t>
      </w:r>
      <w:r>
        <w:rPr>
          <w:rFonts w:hint="eastAsia" w:ascii="宋体" w:hAnsi="宋体"/>
          <w:bCs/>
          <w:color w:val="auto"/>
        </w:rPr>
        <w:t>投标人</w:t>
      </w:r>
      <w:r>
        <w:rPr>
          <w:rFonts w:ascii="宋体" w:hAnsi="宋体"/>
          <w:bCs/>
          <w:color w:val="auto"/>
        </w:rPr>
        <w:t>公章</w:t>
      </w:r>
      <w:r>
        <w:rPr>
          <w:rFonts w:hint="eastAsia" w:ascii="宋体" w:hAnsi="宋体"/>
          <w:bCs/>
          <w:color w:val="auto"/>
        </w:rPr>
        <w:t>或</w:t>
      </w:r>
      <w:r>
        <w:rPr>
          <w:rFonts w:ascii="宋体" w:hAnsi="宋体"/>
          <w:bCs/>
          <w:color w:val="auto"/>
        </w:rPr>
        <w:t>未有</w:t>
      </w:r>
      <w:r>
        <w:rPr>
          <w:rFonts w:hint="eastAsia" w:ascii="宋体" w:hAnsi="宋体"/>
          <w:bCs/>
          <w:color w:val="auto"/>
        </w:rPr>
        <w:t>法定代表人（负责人）</w:t>
      </w:r>
      <w:r>
        <w:rPr>
          <w:rFonts w:ascii="宋体" w:hAnsi="宋体"/>
          <w:bCs/>
          <w:color w:val="auto"/>
        </w:rPr>
        <w:t>或者被授权人签名的；</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投标报价超出最高投标报价（预算价）上限的；</w:t>
      </w:r>
    </w:p>
    <w:p>
      <w:pPr>
        <w:numPr>
          <w:ilvl w:val="0"/>
          <w:numId w:val="28"/>
        </w:numPr>
        <w:adjustRightInd w:val="0"/>
        <w:snapToGrid w:val="0"/>
        <w:spacing w:line="360" w:lineRule="auto"/>
        <w:ind w:left="1077" w:hanging="357"/>
        <w:rPr>
          <w:rFonts w:ascii="宋体" w:hAnsi="宋体"/>
          <w:bCs/>
          <w:color w:val="auto"/>
        </w:rPr>
      </w:pPr>
      <w:r>
        <w:rPr>
          <w:rFonts w:hint="eastAsia" w:ascii="宋体" w:hAnsi="宋体"/>
          <w:bCs/>
          <w:color w:val="auto"/>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auto"/>
        </w:rPr>
      </w:pPr>
      <w:r>
        <w:rPr>
          <w:rFonts w:hint="eastAsia" w:ascii="宋体" w:hAnsi="宋体"/>
          <w:color w:val="auto"/>
        </w:rPr>
        <w:t>投标有效期不足的；</w:t>
      </w:r>
    </w:p>
    <w:p>
      <w:pPr>
        <w:numPr>
          <w:ilvl w:val="0"/>
          <w:numId w:val="28"/>
        </w:numPr>
        <w:adjustRightInd w:val="0"/>
        <w:snapToGrid w:val="0"/>
        <w:spacing w:line="360" w:lineRule="auto"/>
        <w:ind w:left="1077" w:hanging="357"/>
        <w:rPr>
          <w:rFonts w:ascii="宋体" w:hAnsi="宋体"/>
          <w:color w:val="auto"/>
        </w:rPr>
      </w:pPr>
      <w:r>
        <w:rPr>
          <w:rFonts w:hint="eastAsia" w:ascii="宋体" w:hAnsi="宋体"/>
          <w:color w:val="auto"/>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auto"/>
        </w:rPr>
      </w:pPr>
      <w:r>
        <w:rPr>
          <w:rFonts w:hint="eastAsia" w:ascii="宋体" w:hAnsi="宋体"/>
          <w:color w:val="auto"/>
        </w:rPr>
        <w:t>招标文件规定的其他实质性要求的；</w:t>
      </w:r>
    </w:p>
    <w:p>
      <w:pPr>
        <w:numPr>
          <w:ilvl w:val="0"/>
          <w:numId w:val="28"/>
        </w:numPr>
        <w:adjustRightInd w:val="0"/>
        <w:snapToGrid w:val="0"/>
        <w:spacing w:line="360" w:lineRule="auto"/>
        <w:ind w:left="1077" w:hanging="357"/>
        <w:rPr>
          <w:rFonts w:ascii="宋体" w:hAnsi="宋体"/>
          <w:color w:val="auto"/>
        </w:rPr>
      </w:pPr>
      <w:r>
        <w:rPr>
          <w:rFonts w:hint="eastAsia" w:ascii="宋体" w:hAnsi="宋体"/>
          <w:color w:val="auto"/>
        </w:rPr>
        <w:t>法律、法规规定的其他废标条款。</w:t>
      </w:r>
    </w:p>
    <w:p>
      <w:pPr>
        <w:pStyle w:val="6"/>
        <w:numPr>
          <w:ilvl w:val="4"/>
          <w:numId w:val="24"/>
        </w:numPr>
        <w:tabs>
          <w:tab w:val="left" w:pos="720"/>
        </w:tabs>
        <w:spacing w:before="240" w:after="120"/>
        <w:ind w:left="2432" w:hanging="2432"/>
        <w:rPr>
          <w:color w:val="auto"/>
        </w:rPr>
      </w:pPr>
      <w:bookmarkStart w:id="1160" w:name="_Toc341348335"/>
      <w:bookmarkStart w:id="1161" w:name="_Toc365985176"/>
      <w:bookmarkStart w:id="1162" w:name="_Toc339020012"/>
      <w:bookmarkStart w:id="1163" w:name="_Toc340672866"/>
      <w:bookmarkStart w:id="1164" w:name="_Toc333238630"/>
      <w:bookmarkStart w:id="1165" w:name="_Toc340507439"/>
      <w:bookmarkStart w:id="1166" w:name="_Toc342296757"/>
      <w:bookmarkStart w:id="1167" w:name="_Toc339020230"/>
      <w:bookmarkStart w:id="1168" w:name="_Toc333935684"/>
      <w:bookmarkStart w:id="1169" w:name="_Toc333237674"/>
      <w:bookmarkStart w:id="1170" w:name="_Toc350438746"/>
      <w:bookmarkStart w:id="1171" w:name="_Toc349127623"/>
      <w:bookmarkStart w:id="1172" w:name="_Toc331684035"/>
      <w:bookmarkStart w:id="1173" w:name="_Toc336681577"/>
      <w:bookmarkStart w:id="1174" w:name="_Toc365967070"/>
      <w:bookmarkStart w:id="1175" w:name="_Toc349143586"/>
      <w:bookmarkStart w:id="1176" w:name="_Toc330459982"/>
      <w:bookmarkStart w:id="1177" w:name="_Toc337632355"/>
      <w:bookmarkStart w:id="1178" w:name="_Toc333935343"/>
      <w:bookmarkStart w:id="1179" w:name="_Toc331512895"/>
      <w:bookmarkStart w:id="1180" w:name="_Toc374454597"/>
      <w:bookmarkStart w:id="1181" w:name="_Toc339020092"/>
      <w:bookmarkStart w:id="1182" w:name="_Toc345513864"/>
      <w:bookmarkStart w:id="1183" w:name="_Toc332206705"/>
      <w:bookmarkStart w:id="1184" w:name="_Toc332270343"/>
      <w:bookmarkStart w:id="1185" w:name="_Toc339441084"/>
      <w:bookmarkStart w:id="1186" w:name="_Toc339362297"/>
      <w:bookmarkStart w:id="1187" w:name="_Toc366072525"/>
      <w:bookmarkStart w:id="1188" w:name="_Toc350756447"/>
      <w:bookmarkStart w:id="1189" w:name="_Toc336681932"/>
      <w:bookmarkStart w:id="1190" w:name="_Toc342060371"/>
      <w:bookmarkStart w:id="1191" w:name="_Toc340677067"/>
      <w:bookmarkStart w:id="1192" w:name="_Toc339019886"/>
      <w:bookmarkStart w:id="1193" w:name="_Toc333237785"/>
      <w:bookmarkStart w:id="1194" w:name="_Toc12743"/>
      <w:r>
        <w:rPr>
          <w:rFonts w:hint="eastAsia"/>
          <w:color w:val="auto"/>
        </w:rPr>
        <w:t>投标报价的审核</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tabs>
          <w:tab w:val="left" w:pos="753"/>
        </w:tabs>
        <w:adjustRightInd w:val="0"/>
        <w:snapToGrid w:val="0"/>
        <w:spacing w:line="360" w:lineRule="auto"/>
        <w:ind w:left="751" w:leftChars="1" w:hanging="749" w:hangingChars="357"/>
        <w:rPr>
          <w:rFonts w:ascii="宋体" w:hAnsi="宋体"/>
          <w:bCs/>
          <w:color w:val="auto"/>
        </w:rPr>
      </w:pPr>
      <w:r>
        <w:rPr>
          <w:rFonts w:hint="eastAsia" w:ascii="宋体" w:hAnsi="宋体"/>
          <w:bCs/>
          <w:color w:val="auto"/>
        </w:rPr>
        <w:t xml:space="preserve">24.1 </w:t>
      </w:r>
      <w:r>
        <w:rPr>
          <w:rFonts w:hint="eastAsia" w:ascii="宋体" w:hAnsi="宋体"/>
          <w:bCs/>
          <w:color w:val="auto"/>
        </w:rPr>
        <w:tab/>
      </w:r>
      <w:r>
        <w:rPr>
          <w:rFonts w:hint="eastAsia" w:ascii="宋体" w:hAnsi="宋体"/>
          <w:bCs/>
          <w:color w:val="auto"/>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auto"/>
        </w:rPr>
      </w:pPr>
      <w:r>
        <w:rPr>
          <w:rFonts w:hint="eastAsia" w:ascii="宋体" w:hAnsi="宋体"/>
          <w:bCs/>
          <w:color w:val="auto"/>
        </w:rPr>
        <w:t xml:space="preserve">24.2  </w:t>
      </w:r>
      <w:r>
        <w:rPr>
          <w:rFonts w:ascii="宋体" w:hAnsi="宋体"/>
          <w:bCs/>
          <w:color w:val="auto"/>
        </w:rPr>
        <w:t>（1）</w:t>
      </w:r>
      <w:r>
        <w:rPr>
          <w:rFonts w:hint="eastAsia" w:ascii="宋体" w:hAnsi="宋体"/>
          <w:bCs/>
          <w:color w:val="auto"/>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auto"/>
        </w:rPr>
      </w:pPr>
      <w:r>
        <w:rPr>
          <w:rFonts w:ascii="宋体" w:hAnsi="宋体"/>
          <w:bCs/>
          <w:color w:val="auto"/>
        </w:rPr>
        <w:t>（2）</w:t>
      </w:r>
      <w:r>
        <w:rPr>
          <w:rFonts w:hint="eastAsia" w:ascii="宋体" w:hAnsi="宋体"/>
          <w:bCs/>
          <w:color w:val="auto"/>
        </w:rPr>
        <w:t>大写金额和小写金额不一致的，以大写金额为准;</w:t>
      </w:r>
    </w:p>
    <w:p>
      <w:pPr>
        <w:spacing w:line="360" w:lineRule="auto"/>
        <w:ind w:firstLine="735" w:firstLineChars="350"/>
        <w:jc w:val="left"/>
        <w:rPr>
          <w:rFonts w:ascii="宋体" w:hAnsi="宋体"/>
          <w:bCs/>
          <w:color w:val="auto"/>
        </w:rPr>
      </w:pPr>
      <w:r>
        <w:rPr>
          <w:rFonts w:ascii="宋体" w:hAnsi="宋体"/>
          <w:bCs/>
          <w:color w:val="auto"/>
        </w:rPr>
        <w:t>（3）</w:t>
      </w:r>
      <w:r>
        <w:rPr>
          <w:rFonts w:hint="eastAsia" w:ascii="宋体" w:hAnsi="宋体"/>
          <w:bCs/>
          <w:color w:val="auto"/>
        </w:rPr>
        <w:t>单价金额小数点或者百分比有明显错位的，以开标一览表的总价为准，并修改单价;</w:t>
      </w:r>
    </w:p>
    <w:p>
      <w:pPr>
        <w:spacing w:line="360" w:lineRule="auto"/>
        <w:ind w:firstLine="707" w:firstLineChars="337"/>
        <w:jc w:val="left"/>
        <w:rPr>
          <w:rFonts w:ascii="宋体" w:hAnsi="宋体"/>
          <w:bCs/>
          <w:color w:val="auto"/>
        </w:rPr>
      </w:pPr>
      <w:r>
        <w:rPr>
          <w:rFonts w:ascii="宋体" w:hAnsi="宋体"/>
          <w:bCs/>
          <w:color w:val="auto"/>
        </w:rPr>
        <w:t>（4）</w:t>
      </w:r>
      <w:r>
        <w:rPr>
          <w:rFonts w:hint="eastAsia" w:ascii="宋体" w:hAnsi="宋体"/>
          <w:bCs/>
          <w:color w:val="auto"/>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rPr>
      </w:pPr>
      <w:r>
        <w:rPr>
          <w:rFonts w:ascii="宋体" w:hAnsi="宋体"/>
          <w:bCs/>
          <w:color w:val="auto"/>
        </w:rPr>
        <w:t>（5）</w:t>
      </w:r>
      <w:r>
        <w:rPr>
          <w:rFonts w:hint="eastAsia" w:ascii="宋体" w:hAnsi="宋体"/>
          <w:bCs/>
          <w:color w:val="auto"/>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4"/>
        </w:numPr>
        <w:tabs>
          <w:tab w:val="left" w:pos="720"/>
        </w:tabs>
        <w:spacing w:before="240" w:after="120"/>
        <w:ind w:left="2432" w:hanging="2432"/>
        <w:rPr>
          <w:color w:val="auto"/>
        </w:rPr>
      </w:pPr>
      <w:bookmarkStart w:id="1195" w:name="_Toc332270344"/>
      <w:bookmarkStart w:id="1196" w:name="_Toc349143587"/>
      <w:bookmarkStart w:id="1197" w:name="_Toc503785426"/>
      <w:bookmarkStart w:id="1198" w:name="_Toc331684036"/>
      <w:bookmarkStart w:id="1199" w:name="_Toc342296758"/>
      <w:bookmarkStart w:id="1200" w:name="_Toc333237786"/>
      <w:bookmarkStart w:id="1201" w:name="_Toc345513865"/>
      <w:bookmarkStart w:id="1202" w:name="_Toc365985177"/>
      <w:bookmarkStart w:id="1203" w:name="_Toc340677068"/>
      <w:bookmarkStart w:id="1204" w:name="_Toc336681933"/>
      <w:bookmarkStart w:id="1205" w:name="_Toc333935344"/>
      <w:bookmarkStart w:id="1206" w:name="_Toc350756448"/>
      <w:bookmarkStart w:id="1207" w:name="_Toc333238631"/>
      <w:bookmarkStart w:id="1208" w:name="_Toc339020231"/>
      <w:bookmarkStart w:id="1209" w:name="_Toc350438747"/>
      <w:bookmarkStart w:id="1210" w:name="_Toc374454598"/>
      <w:bookmarkStart w:id="1211" w:name="_Toc339362298"/>
      <w:bookmarkStart w:id="1212" w:name="_Toc366072526"/>
      <w:bookmarkStart w:id="1213" w:name="_Toc339020093"/>
      <w:bookmarkStart w:id="1214" w:name="_Toc339441085"/>
      <w:bookmarkStart w:id="1215" w:name="_Toc365967071"/>
      <w:bookmarkStart w:id="1216" w:name="_Toc341348336"/>
      <w:bookmarkStart w:id="1217" w:name="_Toc339020013"/>
      <w:bookmarkStart w:id="1218" w:name="_Toc330459983"/>
      <w:bookmarkStart w:id="1219" w:name="_Toc349127624"/>
      <w:bookmarkStart w:id="1220" w:name="_Toc342060372"/>
      <w:bookmarkStart w:id="1221" w:name="_Toc340672867"/>
      <w:bookmarkStart w:id="1222" w:name="_Toc333237675"/>
      <w:bookmarkStart w:id="1223" w:name="_Toc331512896"/>
      <w:bookmarkStart w:id="1224" w:name="_Toc340507440"/>
      <w:bookmarkStart w:id="1225" w:name="_Toc339019887"/>
      <w:bookmarkStart w:id="1226" w:name="_Toc336681578"/>
      <w:bookmarkStart w:id="1227" w:name="_Toc337632356"/>
      <w:bookmarkStart w:id="1228" w:name="_Toc332206706"/>
      <w:bookmarkStart w:id="1229" w:name="_Toc497224224"/>
      <w:bookmarkStart w:id="1230" w:name="_Toc333935685"/>
      <w:bookmarkStart w:id="1231" w:name="_Toc16563"/>
      <w:r>
        <w:rPr>
          <w:rFonts w:hint="eastAsia"/>
          <w:color w:val="auto"/>
        </w:rPr>
        <w:t>询标及投标文件的澄清</w:t>
      </w:r>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pPr>
        <w:widowControl/>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5.</w:t>
      </w:r>
      <w:r>
        <w:rPr>
          <w:rFonts w:ascii="宋体"/>
          <w:bCs/>
          <w:color w:val="auto"/>
        </w:rPr>
        <w:t>1</w:t>
      </w:r>
      <w:r>
        <w:rPr>
          <w:rFonts w:hint="eastAsia" w:ascii="宋体"/>
          <w:bCs/>
          <w:color w:val="auto"/>
        </w:rPr>
        <w:tab/>
      </w:r>
      <w:r>
        <w:rPr>
          <w:rFonts w:hint="eastAsia" w:ascii="宋体"/>
          <w:bCs/>
          <w:color w:val="auto"/>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rPr>
      </w:pPr>
      <w:r>
        <w:rPr>
          <w:rFonts w:ascii="宋体"/>
          <w:color w:val="auto"/>
        </w:rPr>
        <w:t>2</w:t>
      </w:r>
      <w:r>
        <w:rPr>
          <w:rFonts w:hint="eastAsia" w:ascii="宋体"/>
          <w:color w:val="auto"/>
        </w:rPr>
        <w:t>5</w:t>
      </w:r>
      <w:r>
        <w:rPr>
          <w:rFonts w:ascii="宋体"/>
          <w:color w:val="auto"/>
        </w:rPr>
        <w:t>.2</w:t>
      </w:r>
      <w:r>
        <w:rPr>
          <w:rFonts w:hint="eastAsia" w:ascii="宋体"/>
          <w:color w:val="auto"/>
        </w:rPr>
        <w:tab/>
      </w:r>
      <w:r>
        <w:rPr>
          <w:rFonts w:hint="eastAsia" w:ascii="宋体"/>
          <w:color w:val="auto"/>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auto"/>
        </w:rPr>
      </w:pPr>
      <w:r>
        <w:rPr>
          <w:rFonts w:hint="eastAsia" w:ascii="宋体" w:hAnsi="宋体"/>
          <w:color w:val="auto"/>
        </w:rPr>
        <w:t>25.3</w:t>
      </w:r>
      <w:r>
        <w:rPr>
          <w:rFonts w:hint="eastAsia"/>
          <w:color w:val="auto"/>
        </w:rPr>
        <w:tab/>
      </w:r>
      <w:r>
        <w:rPr>
          <w:rFonts w:hint="eastAsia" w:cs="Arial Unicode MS"/>
          <w:color w:val="auto"/>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4"/>
        </w:numPr>
        <w:tabs>
          <w:tab w:val="left" w:pos="720"/>
        </w:tabs>
        <w:spacing w:before="240" w:after="120"/>
        <w:ind w:left="2432" w:hanging="2432"/>
        <w:rPr>
          <w:color w:val="auto"/>
        </w:rPr>
      </w:pPr>
      <w:bookmarkStart w:id="1232" w:name="_Toc374454599"/>
      <w:bookmarkStart w:id="1233" w:name="_Toc333237787"/>
      <w:bookmarkStart w:id="1234" w:name="_Toc349143588"/>
      <w:bookmarkStart w:id="1235" w:name="_Toc345513866"/>
      <w:bookmarkStart w:id="1236" w:name="_Toc333935345"/>
      <w:bookmarkStart w:id="1237" w:name="_Toc337632357"/>
      <w:bookmarkStart w:id="1238" w:name="_Toc339020014"/>
      <w:bookmarkStart w:id="1239" w:name="_Toc366072527"/>
      <w:bookmarkStart w:id="1240" w:name="_Toc332270345"/>
      <w:bookmarkStart w:id="1241" w:name="_Toc349127625"/>
      <w:bookmarkStart w:id="1242" w:name="_Toc339441086"/>
      <w:bookmarkStart w:id="1243" w:name="_Toc339019888"/>
      <w:bookmarkStart w:id="1244" w:name="_Toc333237676"/>
      <w:bookmarkStart w:id="1245" w:name="_Toc342060373"/>
      <w:bookmarkStart w:id="1246" w:name="_Toc350756449"/>
      <w:bookmarkStart w:id="1247" w:name="_Toc336681934"/>
      <w:bookmarkStart w:id="1248" w:name="_Toc339362299"/>
      <w:bookmarkStart w:id="1249" w:name="_Toc333935686"/>
      <w:bookmarkStart w:id="1250" w:name="_Toc330459984"/>
      <w:bookmarkStart w:id="1251" w:name="_Toc341348337"/>
      <w:bookmarkStart w:id="1252" w:name="_Toc339020232"/>
      <w:bookmarkStart w:id="1253" w:name="_Toc350438748"/>
      <w:bookmarkStart w:id="1254" w:name="_Toc339020094"/>
      <w:bookmarkStart w:id="1255" w:name="_Toc333238632"/>
      <w:bookmarkStart w:id="1256" w:name="_Toc340677069"/>
      <w:bookmarkStart w:id="1257" w:name="_Toc365967072"/>
      <w:bookmarkStart w:id="1258" w:name="_Toc342296759"/>
      <w:bookmarkStart w:id="1259" w:name="_Toc336681579"/>
      <w:bookmarkStart w:id="1260" w:name="_Toc340672868"/>
      <w:bookmarkStart w:id="1261" w:name="_Toc331512897"/>
      <w:bookmarkStart w:id="1262" w:name="_Toc365985178"/>
      <w:bookmarkStart w:id="1263" w:name="_Toc332206707"/>
      <w:bookmarkStart w:id="1264" w:name="_Toc331684037"/>
      <w:bookmarkStart w:id="1265" w:name="_Toc340507441"/>
      <w:bookmarkStart w:id="1266" w:name="_Toc28019"/>
      <w:r>
        <w:rPr>
          <w:rFonts w:hint="eastAsia"/>
          <w:color w:val="auto"/>
        </w:rPr>
        <w:t>评标原则</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tabs>
          <w:tab w:val="left" w:pos="753"/>
        </w:tabs>
        <w:adjustRightInd w:val="0"/>
        <w:snapToGrid w:val="0"/>
        <w:spacing w:line="360" w:lineRule="auto"/>
        <w:ind w:left="752" w:hanging="751" w:hangingChars="358"/>
        <w:rPr>
          <w:rFonts w:ascii="宋体"/>
          <w:bCs/>
          <w:color w:val="auto"/>
        </w:rPr>
      </w:pPr>
      <w:r>
        <w:rPr>
          <w:rFonts w:ascii="宋体"/>
          <w:bCs/>
          <w:color w:val="auto"/>
        </w:rPr>
        <w:t>2</w:t>
      </w:r>
      <w:r>
        <w:rPr>
          <w:rFonts w:hint="eastAsia" w:ascii="宋体"/>
          <w:bCs/>
          <w:color w:val="auto"/>
        </w:rPr>
        <w:t>6</w:t>
      </w:r>
      <w:r>
        <w:rPr>
          <w:rFonts w:ascii="宋体"/>
          <w:bCs/>
          <w:color w:val="auto"/>
        </w:rPr>
        <w:t>.1</w:t>
      </w:r>
      <w:r>
        <w:rPr>
          <w:rFonts w:hint="eastAsia" w:ascii="宋体"/>
          <w:bCs/>
          <w:color w:val="auto"/>
        </w:rPr>
        <w:tab/>
      </w:r>
      <w:r>
        <w:rPr>
          <w:rFonts w:hint="eastAsia" w:ascii="宋体"/>
          <w:bCs/>
          <w:color w:val="auto"/>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auto"/>
        </w:rPr>
      </w:pPr>
      <w:r>
        <w:rPr>
          <w:rFonts w:hint="eastAsia" w:ascii="宋体"/>
          <w:bCs/>
          <w:color w:val="auto"/>
        </w:rPr>
        <w:t>26.2</w:t>
      </w:r>
      <w:r>
        <w:rPr>
          <w:rFonts w:hint="eastAsia" w:ascii="宋体"/>
          <w:bCs/>
          <w:color w:val="auto"/>
        </w:rPr>
        <w:tab/>
      </w:r>
      <w:r>
        <w:rPr>
          <w:rFonts w:hint="eastAsia" w:ascii="宋体"/>
          <w:bCs/>
          <w:color w:val="auto"/>
        </w:rPr>
        <w:t>坚持公平、公正、科学和择优原则。</w:t>
      </w:r>
    </w:p>
    <w:p>
      <w:pPr>
        <w:tabs>
          <w:tab w:val="left" w:pos="753"/>
        </w:tabs>
        <w:adjustRightInd w:val="0"/>
        <w:snapToGrid w:val="0"/>
        <w:spacing w:line="360" w:lineRule="auto"/>
        <w:ind w:left="752" w:hanging="751" w:hangingChars="358"/>
        <w:rPr>
          <w:rFonts w:ascii="宋体"/>
          <w:bCs/>
          <w:color w:val="auto"/>
        </w:rPr>
      </w:pPr>
      <w:r>
        <w:rPr>
          <w:rFonts w:hint="eastAsia" w:ascii="宋体"/>
          <w:bCs/>
          <w:color w:val="auto"/>
        </w:rPr>
        <w:t>26.3</w:t>
      </w:r>
      <w:r>
        <w:rPr>
          <w:rFonts w:hint="eastAsia" w:ascii="宋体"/>
          <w:bCs/>
          <w:color w:val="auto"/>
        </w:rPr>
        <w:tab/>
      </w:r>
      <w:r>
        <w:rPr>
          <w:rFonts w:hint="eastAsia" w:ascii="宋体"/>
          <w:bCs/>
          <w:color w:val="auto"/>
        </w:rPr>
        <w:t>实行科学评估、集体决策。</w:t>
      </w:r>
    </w:p>
    <w:p>
      <w:pPr>
        <w:pStyle w:val="6"/>
        <w:numPr>
          <w:ilvl w:val="4"/>
          <w:numId w:val="24"/>
        </w:numPr>
        <w:tabs>
          <w:tab w:val="left" w:pos="720"/>
        </w:tabs>
        <w:spacing w:before="240" w:after="120"/>
        <w:ind w:left="2432" w:hanging="2432"/>
        <w:rPr>
          <w:color w:val="auto"/>
        </w:rPr>
      </w:pPr>
      <w:bookmarkStart w:id="1267" w:name="_Toc340507442"/>
      <w:bookmarkStart w:id="1268" w:name="_Toc339019889"/>
      <w:bookmarkStart w:id="1269" w:name="_Toc339441087"/>
      <w:bookmarkStart w:id="1270" w:name="_Toc339362300"/>
      <w:bookmarkStart w:id="1271" w:name="_Toc339020095"/>
      <w:bookmarkStart w:id="1272" w:name="_Toc336681935"/>
      <w:bookmarkStart w:id="1273" w:name="_Toc333238633"/>
      <w:bookmarkStart w:id="1274" w:name="_Toc337632358"/>
      <w:bookmarkStart w:id="1275" w:name="_Toc332206708"/>
      <w:bookmarkStart w:id="1276" w:name="_Toc340677070"/>
      <w:bookmarkStart w:id="1277" w:name="_Toc333935346"/>
      <w:bookmarkStart w:id="1278" w:name="_Toc350756450"/>
      <w:bookmarkStart w:id="1279" w:name="_Toc331684038"/>
      <w:bookmarkStart w:id="1280" w:name="_Toc349127626"/>
      <w:bookmarkStart w:id="1281" w:name="_Toc349143589"/>
      <w:bookmarkStart w:id="1282" w:name="_Toc365967073"/>
      <w:bookmarkStart w:id="1283" w:name="_Toc342296760"/>
      <w:bookmarkStart w:id="1284" w:name="_Toc339020233"/>
      <w:bookmarkStart w:id="1285" w:name="_Toc333935687"/>
      <w:bookmarkStart w:id="1286" w:name="_Toc374454600"/>
      <w:bookmarkStart w:id="1287" w:name="_Toc330459985"/>
      <w:bookmarkStart w:id="1288" w:name="_Toc333237788"/>
      <w:bookmarkStart w:id="1289" w:name="_Toc342060374"/>
      <w:bookmarkStart w:id="1290" w:name="_Toc339020015"/>
      <w:bookmarkStart w:id="1291" w:name="_Toc340672869"/>
      <w:bookmarkStart w:id="1292" w:name="_Toc345513867"/>
      <w:bookmarkStart w:id="1293" w:name="_Toc365985179"/>
      <w:bookmarkStart w:id="1294" w:name="_Toc336681580"/>
      <w:bookmarkStart w:id="1295" w:name="_Toc332270346"/>
      <w:bookmarkStart w:id="1296" w:name="_Toc331512898"/>
      <w:bookmarkStart w:id="1297" w:name="_Toc350438749"/>
      <w:bookmarkStart w:id="1298" w:name="_Toc341348338"/>
      <w:bookmarkStart w:id="1299" w:name="_Toc366072528"/>
      <w:bookmarkStart w:id="1300" w:name="_Toc333237677"/>
      <w:bookmarkStart w:id="1301" w:name="_Toc31321"/>
      <w:r>
        <w:rPr>
          <w:rFonts w:hint="eastAsia"/>
          <w:color w:val="auto"/>
        </w:rPr>
        <w:t>评标标准和办法</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p>
    <w:p>
      <w:pPr>
        <w:pStyle w:val="23"/>
        <w:tabs>
          <w:tab w:val="left" w:pos="753"/>
        </w:tabs>
        <w:adjustRightInd w:val="0"/>
        <w:snapToGrid w:val="0"/>
        <w:spacing w:line="360" w:lineRule="auto"/>
        <w:ind w:left="751" w:leftChars="1" w:hanging="749" w:hangingChars="357"/>
        <w:rPr>
          <w:rFonts w:hAnsi="宋体"/>
          <w:bCs/>
          <w:color w:val="auto"/>
        </w:rPr>
      </w:pPr>
      <w:r>
        <w:rPr>
          <w:rFonts w:hint="eastAsia" w:hAnsi="宋体"/>
          <w:bCs/>
          <w:color w:val="auto"/>
        </w:rPr>
        <w:t>27.1</w:t>
      </w:r>
      <w:r>
        <w:rPr>
          <w:rFonts w:hint="eastAsia" w:hAnsi="宋体"/>
          <w:bCs/>
          <w:color w:val="auto"/>
        </w:rPr>
        <w:tab/>
      </w:r>
      <w:r>
        <w:rPr>
          <w:rFonts w:hint="eastAsia" w:hAnsi="宋体"/>
          <w:bCs/>
          <w:color w:val="auto"/>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auto"/>
        </w:rPr>
      </w:pPr>
      <w:r>
        <w:rPr>
          <w:rFonts w:hint="eastAsia" w:hAnsi="宋体"/>
          <w:bCs/>
          <w:color w:val="auto"/>
        </w:rPr>
        <w:t>27</w:t>
      </w:r>
      <w:r>
        <w:rPr>
          <w:rFonts w:hAnsi="宋体"/>
          <w:bCs/>
          <w:color w:val="auto"/>
        </w:rPr>
        <w:t>.2</w:t>
      </w:r>
      <w:r>
        <w:rPr>
          <w:rFonts w:hint="eastAsia" w:hAnsi="宋体"/>
          <w:bCs/>
          <w:color w:val="auto"/>
        </w:rPr>
        <w:tab/>
      </w:r>
      <w:bookmarkStart w:id="1302" w:name="_Toc500953375"/>
      <w:bookmarkStart w:id="1303" w:name="_Toc497707712"/>
      <w:bookmarkStart w:id="1304" w:name="_Toc500861023"/>
      <w:r>
        <w:rPr>
          <w:rFonts w:hint="eastAsia" w:hAnsi="宋体"/>
          <w:bCs/>
          <w:color w:val="auto"/>
        </w:rPr>
        <w:t>采用计分法（综合评价法）来确定各投标人的排名。其操作程序为：</w:t>
      </w:r>
      <w:r>
        <w:rPr>
          <w:rFonts w:hint="eastAsia" w:hAnsi="宋体"/>
          <w:b/>
          <w:color w:val="auto"/>
        </w:rPr>
        <w:t>详见H评标细则。</w:t>
      </w:r>
    </w:p>
    <w:p>
      <w:pPr>
        <w:pStyle w:val="6"/>
        <w:numPr>
          <w:ilvl w:val="4"/>
          <w:numId w:val="24"/>
        </w:numPr>
        <w:tabs>
          <w:tab w:val="left" w:pos="720"/>
        </w:tabs>
        <w:spacing w:before="240" w:after="120"/>
        <w:ind w:left="2432" w:hanging="2432"/>
        <w:rPr>
          <w:color w:val="auto"/>
        </w:rPr>
      </w:pPr>
      <w:bookmarkStart w:id="1305" w:name="_Toc327367761"/>
      <w:bookmarkStart w:id="1306" w:name="_Toc366072529"/>
      <w:bookmarkStart w:id="1307" w:name="_Toc327368025"/>
      <w:bookmarkStart w:id="1308" w:name="_Toc31532"/>
      <w:bookmarkStart w:id="1309" w:name="_Toc332270347"/>
      <w:bookmarkStart w:id="1310" w:name="_Toc331684039"/>
      <w:bookmarkStart w:id="1311" w:name="_Toc339362301"/>
      <w:bookmarkStart w:id="1312" w:name="_Toc339020096"/>
      <w:bookmarkStart w:id="1313" w:name="_Toc333935347"/>
      <w:bookmarkStart w:id="1314" w:name="_Toc345513902"/>
      <w:bookmarkStart w:id="1315" w:name="_Toc339019890"/>
      <w:bookmarkStart w:id="1316" w:name="_Toc332206709"/>
      <w:bookmarkStart w:id="1317" w:name="_Toc339020234"/>
      <w:bookmarkStart w:id="1318" w:name="_Toc337632359"/>
      <w:bookmarkStart w:id="1319" w:name="_Toc342296761"/>
      <w:bookmarkStart w:id="1320" w:name="_Toc331512899"/>
      <w:bookmarkStart w:id="1321" w:name="_Toc340507443"/>
      <w:bookmarkStart w:id="1322" w:name="_Toc336681581"/>
      <w:bookmarkStart w:id="1323" w:name="_Toc339020016"/>
      <w:bookmarkStart w:id="1324" w:name="_Toc333935688"/>
      <w:bookmarkStart w:id="1325" w:name="_Toc340677071"/>
      <w:bookmarkStart w:id="1326" w:name="_Toc340672870"/>
      <w:bookmarkStart w:id="1327" w:name="_Toc330459986"/>
      <w:bookmarkStart w:id="1328" w:name="_Toc339441088"/>
      <w:bookmarkStart w:id="1329" w:name="_Toc336681936"/>
      <w:bookmarkStart w:id="1330" w:name="_Toc341348339"/>
      <w:bookmarkStart w:id="1331" w:name="_Toc333238634"/>
      <w:bookmarkStart w:id="1332" w:name="_Toc333237789"/>
      <w:bookmarkStart w:id="1333" w:name="_Toc333237678"/>
      <w:bookmarkStart w:id="1334" w:name="_Toc342060375"/>
      <w:r>
        <w:rPr>
          <w:rFonts w:hint="eastAsia"/>
          <w:color w:val="auto"/>
        </w:rPr>
        <w:t>评标注意事项</w:t>
      </w:r>
      <w:bookmarkEnd w:id="1305"/>
      <w:bookmarkEnd w:id="1306"/>
      <w:bookmarkEnd w:id="1307"/>
      <w:bookmarkEnd w:id="1308"/>
    </w:p>
    <w:bookmarkEnd w:id="35"/>
    <w:bookmarkEnd w:id="1302"/>
    <w:bookmarkEnd w:id="1303"/>
    <w:bookmarkEnd w:id="1304"/>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Pr>
        <w:widowControl/>
        <w:tabs>
          <w:tab w:val="left" w:pos="753"/>
        </w:tabs>
        <w:adjustRightInd w:val="0"/>
        <w:snapToGrid w:val="0"/>
        <w:spacing w:line="360" w:lineRule="auto"/>
        <w:ind w:left="752" w:hanging="751" w:hangingChars="358"/>
        <w:rPr>
          <w:rFonts w:ascii="宋体" w:hAnsi="宋体"/>
          <w:bCs/>
          <w:color w:val="auto"/>
        </w:rPr>
      </w:pPr>
      <w:bookmarkStart w:id="1335" w:name="_Toc500861027"/>
      <w:bookmarkStart w:id="1336" w:name="_Toc26066260"/>
      <w:bookmarkStart w:id="1337" w:name="_Toc6397151"/>
      <w:bookmarkStart w:id="1338" w:name="_Toc491658680"/>
      <w:bookmarkStart w:id="1339" w:name="_Toc6727972"/>
      <w:r>
        <w:rPr>
          <w:rFonts w:hint="eastAsia" w:ascii="宋体" w:hAnsi="宋体"/>
          <w:bCs/>
          <w:color w:val="auto"/>
        </w:rPr>
        <w:t>28.1</w:t>
      </w:r>
      <w:r>
        <w:rPr>
          <w:rFonts w:hint="eastAsia" w:ascii="宋体" w:hAnsi="宋体"/>
          <w:bCs/>
          <w:color w:val="auto"/>
        </w:rPr>
        <w:tab/>
      </w:r>
      <w:r>
        <w:rPr>
          <w:rFonts w:hint="eastAsia" w:ascii="宋体" w:hAnsi="宋体"/>
          <w:bCs/>
          <w:color w:val="auto"/>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 xml:space="preserve">28.2 </w:t>
      </w:r>
      <w:r>
        <w:rPr>
          <w:rFonts w:hint="eastAsia" w:ascii="宋体" w:hAnsi="宋体"/>
          <w:bCs/>
          <w:color w:val="auto"/>
        </w:rPr>
        <w:tab/>
      </w:r>
      <w:r>
        <w:rPr>
          <w:rFonts w:hint="eastAsia" w:ascii="宋体" w:hAnsi="宋体"/>
          <w:bCs/>
          <w:color w:val="auto"/>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28.3</w:t>
      </w:r>
      <w:r>
        <w:rPr>
          <w:rFonts w:hint="eastAsia" w:ascii="宋体" w:hAnsi="宋体"/>
          <w:bCs/>
          <w:color w:val="auto"/>
        </w:rPr>
        <w:tab/>
      </w:r>
      <w:r>
        <w:rPr>
          <w:rFonts w:hint="eastAsia" w:ascii="宋体" w:hAnsi="宋体"/>
          <w:bCs/>
          <w:color w:val="auto"/>
        </w:rPr>
        <w:t>在招标工作结束后，评标委员会成员和参与评标的有关工作人员不得透露与评标有关的情况。</w:t>
      </w:r>
    </w:p>
    <w:p>
      <w:pPr>
        <w:pStyle w:val="6"/>
        <w:numPr>
          <w:ilvl w:val="4"/>
          <w:numId w:val="24"/>
        </w:numPr>
        <w:tabs>
          <w:tab w:val="left" w:pos="720"/>
        </w:tabs>
        <w:spacing w:before="240" w:after="120"/>
        <w:ind w:left="2432" w:hanging="2432"/>
        <w:rPr>
          <w:color w:val="auto"/>
        </w:rPr>
      </w:pPr>
      <w:bookmarkStart w:id="1340" w:name="_Toc336681582"/>
      <w:bookmarkStart w:id="1341" w:name="_Toc365985180"/>
      <w:bookmarkStart w:id="1342" w:name="_Toc337632360"/>
      <w:bookmarkStart w:id="1343" w:name="_Toc365967074"/>
      <w:bookmarkStart w:id="1344" w:name="_Toc366072530"/>
      <w:bookmarkStart w:id="1345" w:name="_Toc333935348"/>
      <w:bookmarkStart w:id="1346" w:name="_Toc339020235"/>
      <w:bookmarkStart w:id="1347" w:name="_Toc330459987"/>
      <w:bookmarkStart w:id="1348" w:name="_Toc332206710"/>
      <w:bookmarkStart w:id="1349" w:name="_Toc336681937"/>
      <w:bookmarkStart w:id="1350" w:name="_Toc350438751"/>
      <w:bookmarkStart w:id="1351" w:name="_Toc342296762"/>
      <w:bookmarkStart w:id="1352" w:name="_Toc331512900"/>
      <w:bookmarkStart w:id="1353" w:name="_Toc331684040"/>
      <w:bookmarkStart w:id="1354" w:name="_Toc349127628"/>
      <w:bookmarkStart w:id="1355" w:name="_Toc332270348"/>
      <w:bookmarkStart w:id="1356" w:name="_Toc339362302"/>
      <w:bookmarkStart w:id="1357" w:name="_Toc339020097"/>
      <w:bookmarkStart w:id="1358" w:name="_Toc340507444"/>
      <w:bookmarkStart w:id="1359" w:name="_Toc350756452"/>
      <w:bookmarkStart w:id="1360" w:name="_Toc333237790"/>
      <w:bookmarkStart w:id="1361" w:name="_Toc341348340"/>
      <w:bookmarkStart w:id="1362" w:name="_Toc333238635"/>
      <w:bookmarkStart w:id="1363" w:name="_Toc345513903"/>
      <w:bookmarkStart w:id="1364" w:name="_Toc333237679"/>
      <w:bookmarkStart w:id="1365" w:name="_Toc339441089"/>
      <w:bookmarkStart w:id="1366" w:name="_Toc342060376"/>
      <w:bookmarkStart w:id="1367" w:name="_Toc333935689"/>
      <w:bookmarkStart w:id="1368" w:name="_Toc339019891"/>
      <w:bookmarkStart w:id="1369" w:name="_Toc339020017"/>
      <w:bookmarkStart w:id="1370" w:name="_Toc349143591"/>
      <w:bookmarkStart w:id="1371" w:name="_Toc340672871"/>
      <w:bookmarkStart w:id="1372" w:name="_Toc340677072"/>
      <w:bookmarkStart w:id="1373" w:name="_Toc374454602"/>
      <w:bookmarkStart w:id="1374" w:name="_Toc8018"/>
      <w:r>
        <w:rPr>
          <w:rFonts w:hint="eastAsia"/>
          <w:color w:val="auto"/>
        </w:rPr>
        <w:t>接受和拒绝投标的权利</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29</w:t>
      </w:r>
      <w:r>
        <w:rPr>
          <w:rFonts w:ascii="宋体" w:hAnsi="宋体"/>
          <w:bCs/>
          <w:color w:val="auto"/>
        </w:rPr>
        <w:t>.1</w:t>
      </w:r>
      <w:r>
        <w:rPr>
          <w:rFonts w:hint="eastAsia" w:ascii="宋体" w:hAnsi="宋体"/>
          <w:bCs/>
          <w:color w:val="auto"/>
        </w:rPr>
        <w:tab/>
      </w:r>
      <w:r>
        <w:rPr>
          <w:rFonts w:hint="eastAsia" w:ascii="宋体" w:hAnsi="宋体"/>
          <w:bCs/>
          <w:color w:val="auto"/>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auto"/>
        </w:rPr>
      </w:pPr>
      <w:r>
        <w:rPr>
          <w:rFonts w:hint="eastAsia" w:ascii="宋体" w:hAnsi="宋体"/>
          <w:bCs/>
          <w:color w:val="auto"/>
        </w:rPr>
        <w:t>29.2</w:t>
      </w:r>
      <w:r>
        <w:rPr>
          <w:rFonts w:hint="eastAsia" w:ascii="宋体" w:hAnsi="宋体"/>
          <w:bCs/>
          <w:color w:val="auto"/>
        </w:rPr>
        <w:tab/>
      </w:r>
      <w:r>
        <w:rPr>
          <w:rFonts w:hint="eastAsia" w:ascii="宋体" w:hAnsi="宋体"/>
          <w:bCs/>
          <w:color w:val="auto"/>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4"/>
        </w:numPr>
        <w:tabs>
          <w:tab w:val="left" w:pos="720"/>
        </w:tabs>
        <w:spacing w:before="240" w:after="120"/>
        <w:ind w:left="2432" w:hanging="2432"/>
        <w:rPr>
          <w:color w:val="auto"/>
        </w:rPr>
      </w:pPr>
      <w:bookmarkStart w:id="1375" w:name="_Toc366072531"/>
      <w:bookmarkStart w:id="1376" w:name="_Toc374454603"/>
      <w:bookmarkStart w:id="1377" w:name="_Toc10097"/>
      <w:r>
        <w:rPr>
          <w:rFonts w:hint="eastAsia"/>
          <w:color w:val="auto"/>
        </w:rPr>
        <w:t>发布中标结果公告和发放中标通知书</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auto"/>
          <w:szCs w:val="21"/>
        </w:rPr>
      </w:pPr>
      <w:bookmarkStart w:id="1378" w:name="_Toc366072532"/>
      <w:r>
        <w:rPr>
          <w:rFonts w:hint="eastAsia" w:ascii="宋体" w:hAnsi="宋体"/>
          <w:color w:val="auto"/>
          <w:szCs w:val="21"/>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30.2   中标投标人确认后，中标结果将于指定媒体上公告(</w:t>
      </w:r>
      <w:r>
        <w:rPr>
          <w:rFonts w:hint="eastAsia" w:ascii="黑体" w:eastAsia="黑体"/>
          <w:bCs/>
          <w:color w:val="auto"/>
        </w:rPr>
        <w:t>详见第三部份《投标人须知〈投标人须知前附表〉》</w:t>
      </w:r>
      <w:r>
        <w:rPr>
          <w:rFonts w:hint="eastAsia" w:ascii="宋体" w:hAnsi="宋体"/>
          <w:color w:val="auto"/>
        </w:rPr>
        <w:t>)</w:t>
      </w:r>
      <w:r>
        <w:rPr>
          <w:rFonts w:hint="eastAsia" w:ascii="宋体" w:hAnsi="宋体"/>
          <w:color w:val="auto"/>
          <w:szCs w:val="21"/>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30.4   中标通知书发出后，采购人改变中标结果，或者中标投标人放弃中标，应当承担相应的法律责任。</w:t>
      </w:r>
    </w:p>
    <w:p>
      <w:pPr>
        <w:pStyle w:val="6"/>
        <w:numPr>
          <w:ilvl w:val="4"/>
          <w:numId w:val="24"/>
        </w:numPr>
        <w:tabs>
          <w:tab w:val="left" w:pos="720"/>
        </w:tabs>
        <w:spacing w:before="240" w:after="120"/>
        <w:ind w:left="2432" w:hanging="2432"/>
        <w:rPr>
          <w:color w:val="auto"/>
        </w:rPr>
      </w:pPr>
      <w:bookmarkStart w:id="1379" w:name="_Toc374454604"/>
      <w:bookmarkStart w:id="1380" w:name="_Toc14350"/>
      <w:r>
        <w:rPr>
          <w:rFonts w:hint="eastAsia"/>
          <w:color w:val="auto"/>
        </w:rPr>
        <w:t>投标人对中标结果的质疑、投诉</w:t>
      </w:r>
      <w:bookmarkEnd w:id="1378"/>
      <w:bookmarkEnd w:id="1379"/>
      <w:bookmarkEnd w:id="1380"/>
    </w:p>
    <w:p>
      <w:pPr>
        <w:widowControl/>
        <w:tabs>
          <w:tab w:val="left" w:pos="753"/>
        </w:tabs>
        <w:adjustRightInd w:val="0"/>
        <w:snapToGrid w:val="0"/>
        <w:spacing w:line="360" w:lineRule="auto"/>
        <w:ind w:left="751" w:leftChars="1" w:hanging="749" w:hangingChars="357"/>
        <w:rPr>
          <w:rFonts w:ascii="宋体" w:hAnsi="宋体"/>
          <w:color w:val="auto"/>
          <w:szCs w:val="21"/>
        </w:rPr>
      </w:pPr>
      <w:bookmarkStart w:id="1381" w:name="_Toc333237682"/>
      <w:bookmarkStart w:id="1382" w:name="_Toc333238638"/>
      <w:bookmarkStart w:id="1383" w:name="_Toc336681585"/>
      <w:bookmarkStart w:id="1384" w:name="_Toc333237793"/>
      <w:bookmarkStart w:id="1385" w:name="_Toc340672874"/>
      <w:bookmarkStart w:id="1386" w:name="_Toc349127631"/>
      <w:bookmarkStart w:id="1387" w:name="_Toc339020100"/>
      <w:bookmarkStart w:id="1388" w:name="_Toc345513906"/>
      <w:bookmarkStart w:id="1389" w:name="_Toc332206713"/>
      <w:bookmarkStart w:id="1390" w:name="_Toc339020238"/>
      <w:bookmarkStart w:id="1391" w:name="_Toc336681940"/>
      <w:bookmarkStart w:id="1392" w:name="_Toc331684043"/>
      <w:bookmarkStart w:id="1393" w:name="_Toc337632363"/>
      <w:bookmarkStart w:id="1394" w:name="_Toc342060379"/>
      <w:bookmarkStart w:id="1395" w:name="_Toc333935692"/>
      <w:bookmarkStart w:id="1396" w:name="_Toc340677075"/>
      <w:bookmarkStart w:id="1397" w:name="_Toc365967077"/>
      <w:bookmarkStart w:id="1398" w:name="_Toc350438754"/>
      <w:bookmarkStart w:id="1399" w:name="_Toc342296765"/>
      <w:bookmarkStart w:id="1400" w:name="_Toc339362305"/>
      <w:bookmarkStart w:id="1401" w:name="_Toc331512903"/>
      <w:bookmarkStart w:id="1402" w:name="_Toc339441092"/>
      <w:bookmarkStart w:id="1403" w:name="_Toc333935351"/>
      <w:bookmarkStart w:id="1404" w:name="_Toc332270351"/>
      <w:bookmarkStart w:id="1405" w:name="_Toc340507447"/>
      <w:bookmarkStart w:id="1406" w:name="_Toc365985183"/>
      <w:bookmarkStart w:id="1407" w:name="_Toc339020020"/>
      <w:bookmarkStart w:id="1408" w:name="_Toc341348343"/>
      <w:bookmarkStart w:id="1409" w:name="_Toc330459990"/>
      <w:bookmarkStart w:id="1410" w:name="_Toc350756455"/>
      <w:bookmarkStart w:id="1411" w:name="_Toc349143594"/>
      <w:bookmarkStart w:id="1412" w:name="_Toc339019894"/>
      <w:r>
        <w:rPr>
          <w:rFonts w:hint="eastAsia" w:ascii="宋体" w:hAnsi="宋体"/>
          <w:color w:val="auto"/>
          <w:szCs w:val="21"/>
        </w:rPr>
        <w:t>31.1</w:t>
      </w:r>
      <w:r>
        <w:rPr>
          <w:rFonts w:hint="eastAsia" w:ascii="宋体" w:hAnsi="宋体"/>
          <w:color w:val="auto"/>
          <w:szCs w:val="21"/>
        </w:rPr>
        <w:tab/>
      </w:r>
      <w:r>
        <w:rPr>
          <w:rFonts w:hint="eastAsia" w:ascii="宋体" w:hAnsi="宋体"/>
          <w:color w:val="auto"/>
          <w:szCs w:val="21"/>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rPr>
      </w:pPr>
      <w:r>
        <w:rPr>
          <w:rFonts w:hint="eastAsia" w:ascii="宋体" w:hAnsi="宋体"/>
          <w:color w:val="auto"/>
          <w:szCs w:val="21"/>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auto"/>
          <w:sz w:val="24"/>
        </w:rPr>
      </w:pPr>
      <w:bookmarkStart w:id="1413" w:name="_Toc374454605"/>
      <w:bookmarkStart w:id="1414" w:name="_Toc366072533"/>
      <w:r>
        <w:rPr>
          <w:color w:val="auto"/>
          <w:sz w:val="24"/>
        </w:rPr>
        <w:br w:type="page"/>
      </w:r>
      <w:bookmarkStart w:id="1415" w:name="_Toc14137"/>
      <w:r>
        <w:rPr>
          <w:rFonts w:hint="eastAsia"/>
          <w:color w:val="auto"/>
          <w:sz w:val="24"/>
        </w:rPr>
        <w:t>Ｆ  授予合同</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pPr>
        <w:pStyle w:val="6"/>
        <w:numPr>
          <w:ilvl w:val="4"/>
          <w:numId w:val="24"/>
        </w:numPr>
        <w:tabs>
          <w:tab w:val="left" w:pos="720"/>
        </w:tabs>
        <w:spacing w:before="240" w:after="120"/>
        <w:ind w:left="2432" w:hanging="2432"/>
        <w:rPr>
          <w:color w:val="auto"/>
        </w:rPr>
      </w:pPr>
      <w:bookmarkStart w:id="1416" w:name="_Toc332206714"/>
      <w:bookmarkStart w:id="1417" w:name="_Toc341348344"/>
      <w:bookmarkStart w:id="1418" w:name="_Toc333238639"/>
      <w:bookmarkStart w:id="1419" w:name="_Toc339362306"/>
      <w:bookmarkStart w:id="1420" w:name="_Toc342296766"/>
      <w:bookmarkStart w:id="1421" w:name="_Toc336681941"/>
      <w:bookmarkStart w:id="1422" w:name="_Toc333935693"/>
      <w:bookmarkStart w:id="1423" w:name="_Toc333935352"/>
      <w:bookmarkStart w:id="1424" w:name="_Toc491658670"/>
      <w:bookmarkStart w:id="1425" w:name="_Toc480010727"/>
      <w:bookmarkStart w:id="1426" w:name="_Toc337632364"/>
      <w:bookmarkStart w:id="1427" w:name="_Toc480020276"/>
      <w:bookmarkStart w:id="1428" w:name="_Toc340677076"/>
      <w:bookmarkStart w:id="1429" w:name="_Toc468606048"/>
      <w:bookmarkStart w:id="1430" w:name="_Toc339020021"/>
      <w:bookmarkStart w:id="1431" w:name="_Toc331684044"/>
      <w:bookmarkStart w:id="1432" w:name="_Toc349143595"/>
      <w:bookmarkStart w:id="1433" w:name="_Toc336681586"/>
      <w:bookmarkStart w:id="1434" w:name="_Toc350438755"/>
      <w:bookmarkStart w:id="1435" w:name="_Toc333237683"/>
      <w:bookmarkStart w:id="1436" w:name="_Toc340507448"/>
      <w:bookmarkStart w:id="1437" w:name="_Toc350756456"/>
      <w:bookmarkStart w:id="1438" w:name="_Toc345513907"/>
      <w:bookmarkStart w:id="1439" w:name="_Toc467987842"/>
      <w:bookmarkStart w:id="1440" w:name="_Toc366072534"/>
      <w:bookmarkStart w:id="1441" w:name="_Toc333237794"/>
      <w:bookmarkStart w:id="1442" w:name="_Toc365967078"/>
      <w:bookmarkStart w:id="1443" w:name="_Toc480021072"/>
      <w:bookmarkStart w:id="1444" w:name="_Toc342060380"/>
      <w:bookmarkStart w:id="1445" w:name="_Toc468157555"/>
      <w:bookmarkStart w:id="1446" w:name="_Toc374454606"/>
      <w:bookmarkStart w:id="1447" w:name="_Toc339020101"/>
      <w:bookmarkStart w:id="1448" w:name="_Toc330459991"/>
      <w:bookmarkStart w:id="1449" w:name="_Toc500861016"/>
      <w:bookmarkStart w:id="1450" w:name="_Toc467236759"/>
      <w:bookmarkStart w:id="1451" w:name="_Toc365985184"/>
      <w:bookmarkStart w:id="1452" w:name="_Toc349127632"/>
      <w:bookmarkStart w:id="1453" w:name="_Toc339019895"/>
      <w:bookmarkStart w:id="1454" w:name="_Toc339441093"/>
      <w:bookmarkStart w:id="1455" w:name="_Toc340672875"/>
      <w:bookmarkStart w:id="1456" w:name="_Toc339020239"/>
      <w:bookmarkStart w:id="1457" w:name="_Toc331512904"/>
      <w:bookmarkStart w:id="1458" w:name="_Toc332270352"/>
      <w:bookmarkStart w:id="1459" w:name="_Toc479991601"/>
      <w:bookmarkStart w:id="1460" w:name="_Toc25317"/>
      <w:bookmarkStart w:id="1461" w:name="_Toc454701400"/>
      <w:bookmarkStart w:id="1462" w:name="_Toc458262633"/>
      <w:r>
        <w:rPr>
          <w:rFonts w:hint="eastAsia"/>
          <w:color w:val="auto"/>
        </w:rPr>
        <w:t>合同授予标准</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pPr>
        <w:tabs>
          <w:tab w:val="left" w:pos="753"/>
        </w:tabs>
        <w:adjustRightInd w:val="0"/>
        <w:snapToGrid w:val="0"/>
        <w:spacing w:line="360" w:lineRule="auto"/>
        <w:ind w:left="752" w:hanging="751" w:hangingChars="358"/>
        <w:rPr>
          <w:rFonts w:ascii="宋体" w:hAnsi="宋体"/>
          <w:bCs/>
          <w:color w:val="auto"/>
        </w:rPr>
      </w:pPr>
      <w:r>
        <w:rPr>
          <w:rFonts w:ascii="宋体" w:hAnsi="宋体"/>
          <w:bCs/>
          <w:color w:val="auto"/>
        </w:rPr>
        <w:t>3</w:t>
      </w:r>
      <w:r>
        <w:rPr>
          <w:rFonts w:hint="eastAsia" w:ascii="宋体" w:hAnsi="宋体"/>
          <w:bCs/>
          <w:color w:val="auto"/>
        </w:rPr>
        <w:t>2</w:t>
      </w:r>
      <w:r>
        <w:rPr>
          <w:rFonts w:ascii="宋体" w:hAnsi="宋体"/>
          <w:bCs/>
          <w:color w:val="auto"/>
        </w:rPr>
        <w:t>.1</w:t>
      </w:r>
      <w:r>
        <w:rPr>
          <w:rFonts w:hint="eastAsia" w:ascii="宋体" w:hAnsi="宋体"/>
          <w:bCs/>
          <w:color w:val="auto"/>
        </w:rPr>
        <w:tab/>
      </w:r>
      <w:r>
        <w:rPr>
          <w:rFonts w:hint="eastAsia" w:ascii="宋体" w:hAnsi="宋体"/>
          <w:bCs/>
          <w:color w:val="auto"/>
        </w:rPr>
        <w:t xml:space="preserve"> 按第30条规定，采购人将把合同授予此次招标的中标投标人。</w:t>
      </w:r>
    </w:p>
    <w:bookmarkEnd w:id="1461"/>
    <w:bookmarkEnd w:id="1462"/>
    <w:p>
      <w:pPr>
        <w:pStyle w:val="6"/>
        <w:numPr>
          <w:ilvl w:val="4"/>
          <w:numId w:val="24"/>
        </w:numPr>
        <w:tabs>
          <w:tab w:val="left" w:pos="720"/>
        </w:tabs>
        <w:spacing w:before="240" w:after="120"/>
        <w:ind w:left="2432" w:hanging="2432"/>
        <w:rPr>
          <w:color w:val="auto"/>
        </w:rPr>
      </w:pPr>
      <w:bookmarkStart w:id="1463" w:name="_Toc491658674"/>
      <w:bookmarkStart w:id="1464" w:name="_Toc333237795"/>
      <w:bookmarkStart w:id="1465" w:name="_Toc330459992"/>
      <w:bookmarkStart w:id="1466" w:name="_Toc331512905"/>
      <w:bookmarkStart w:id="1467" w:name="_Toc480021076"/>
      <w:bookmarkStart w:id="1468" w:name="_Toc333238640"/>
      <w:bookmarkStart w:id="1469" w:name="_Toc467236763"/>
      <w:bookmarkStart w:id="1470" w:name="_Toc336681587"/>
      <w:bookmarkStart w:id="1471" w:name="_Toc339019896"/>
      <w:bookmarkStart w:id="1472" w:name="_Toc365985185"/>
      <w:bookmarkStart w:id="1473" w:name="_Toc340677077"/>
      <w:bookmarkStart w:id="1474" w:name="_Toc336681942"/>
      <w:bookmarkStart w:id="1475" w:name="_Toc349143596"/>
      <w:bookmarkStart w:id="1476" w:name="_Toc332206715"/>
      <w:bookmarkStart w:id="1477" w:name="_Toc366072535"/>
      <w:bookmarkStart w:id="1478" w:name="_Toc454701402"/>
      <w:bookmarkStart w:id="1479" w:name="_Toc341348345"/>
      <w:bookmarkStart w:id="1480" w:name="_Toc332270353"/>
      <w:bookmarkStart w:id="1481" w:name="_Toc365967079"/>
      <w:bookmarkStart w:id="1482" w:name="_Toc339362307"/>
      <w:bookmarkStart w:id="1483" w:name="_Toc480010731"/>
      <w:bookmarkStart w:id="1484" w:name="_Toc350438756"/>
      <w:bookmarkStart w:id="1485" w:name="_Toc350756457"/>
      <w:bookmarkStart w:id="1486" w:name="_Toc342060381"/>
      <w:bookmarkStart w:id="1487" w:name="_Toc468157559"/>
      <w:bookmarkStart w:id="1488" w:name="_Toc467987846"/>
      <w:bookmarkStart w:id="1489" w:name="_Toc374454607"/>
      <w:bookmarkStart w:id="1490" w:name="_Toc333935353"/>
      <w:bookmarkStart w:id="1491" w:name="_Toc333237684"/>
      <w:bookmarkStart w:id="1492" w:name="_Toc500861020"/>
      <w:bookmarkStart w:id="1493" w:name="_Toc468606052"/>
      <w:bookmarkStart w:id="1494" w:name="_Toc340672876"/>
      <w:bookmarkStart w:id="1495" w:name="_Toc479991605"/>
      <w:bookmarkStart w:id="1496" w:name="_Toc331684045"/>
      <w:bookmarkStart w:id="1497" w:name="_Toc340507449"/>
      <w:bookmarkStart w:id="1498" w:name="_Toc480020280"/>
      <w:bookmarkStart w:id="1499" w:name="_Toc339020022"/>
      <w:bookmarkStart w:id="1500" w:name="_Toc333935694"/>
      <w:bookmarkStart w:id="1501" w:name="_Toc458262635"/>
      <w:bookmarkStart w:id="1502" w:name="_Toc337632365"/>
      <w:bookmarkStart w:id="1503" w:name="_Toc342296767"/>
      <w:bookmarkStart w:id="1504" w:name="_Toc345513908"/>
      <w:bookmarkStart w:id="1505" w:name="_Toc339020102"/>
      <w:bookmarkStart w:id="1506" w:name="_Toc339441094"/>
      <w:bookmarkStart w:id="1507" w:name="_Toc349127633"/>
      <w:bookmarkStart w:id="1508" w:name="_Toc339020240"/>
      <w:bookmarkStart w:id="1509" w:name="_Toc28621"/>
      <w:r>
        <w:rPr>
          <w:rFonts w:hint="eastAsia"/>
          <w:color w:val="auto"/>
        </w:rPr>
        <w:t>签订合同</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p>
    <w:p>
      <w:pPr>
        <w:widowControl/>
        <w:tabs>
          <w:tab w:val="left" w:pos="753"/>
        </w:tabs>
        <w:adjustRightInd w:val="0"/>
        <w:snapToGrid w:val="0"/>
        <w:spacing w:line="360" w:lineRule="auto"/>
        <w:ind w:left="753" w:hanging="753"/>
        <w:rPr>
          <w:rFonts w:ascii="宋体" w:hAnsi="宋体"/>
          <w:bCs/>
          <w:color w:val="auto"/>
        </w:rPr>
      </w:pPr>
      <w:bookmarkStart w:id="1510" w:name="_Toc374454608"/>
      <w:bookmarkStart w:id="1511" w:name="_Toc373401413"/>
      <w:bookmarkStart w:id="1512" w:name="_Toc372209289"/>
      <w:bookmarkStart w:id="1513" w:name="_Toc366681897"/>
      <w:bookmarkStart w:id="1514" w:name="_Toc379896705"/>
      <w:bookmarkStart w:id="1515" w:name="_Toc378261823"/>
      <w:bookmarkStart w:id="1516" w:name="_Toc374093632"/>
      <w:bookmarkStart w:id="1517" w:name="_Toc369700990"/>
      <w:bookmarkStart w:id="1518" w:name="_Toc383069738"/>
      <w:bookmarkStart w:id="1519" w:name="_Toc370309169"/>
      <w:bookmarkStart w:id="1520" w:name="_Toc370983962"/>
      <w:bookmarkStart w:id="1521" w:name="_Toc377129068"/>
      <w:bookmarkStart w:id="1522" w:name="_Toc367095382"/>
      <w:bookmarkStart w:id="1523" w:name="_Toc366072536"/>
      <w:bookmarkStart w:id="1524" w:name="_Toc342296768"/>
      <w:bookmarkStart w:id="1525" w:name="_Toc340677078"/>
      <w:bookmarkStart w:id="1526" w:name="_Toc333237796"/>
      <w:bookmarkStart w:id="1527" w:name="_Toc339020241"/>
      <w:bookmarkStart w:id="1528" w:name="_Toc339362308"/>
      <w:bookmarkStart w:id="1529" w:name="_Toc340507450"/>
      <w:bookmarkStart w:id="1530" w:name="_Toc331512906"/>
      <w:bookmarkStart w:id="1531" w:name="_Toc345513909"/>
      <w:bookmarkStart w:id="1532" w:name="_Toc339020103"/>
      <w:bookmarkStart w:id="1533" w:name="_Toc333935695"/>
      <w:bookmarkStart w:id="1534" w:name="_Toc342060382"/>
      <w:bookmarkStart w:id="1535" w:name="_Toc331684046"/>
      <w:bookmarkStart w:id="1536" w:name="_Toc337632366"/>
      <w:bookmarkStart w:id="1537" w:name="_Toc350438757"/>
      <w:bookmarkStart w:id="1538" w:name="_Toc336681943"/>
      <w:bookmarkStart w:id="1539" w:name="_Toc349143597"/>
      <w:bookmarkStart w:id="1540" w:name="_Toc341348346"/>
      <w:bookmarkStart w:id="1541" w:name="_Toc349127634"/>
      <w:bookmarkStart w:id="1542" w:name="_Toc330459993"/>
      <w:bookmarkStart w:id="1543" w:name="_Toc365985186"/>
      <w:bookmarkStart w:id="1544" w:name="_Toc339019897"/>
      <w:bookmarkStart w:id="1545" w:name="_Toc336681588"/>
      <w:bookmarkStart w:id="1546" w:name="_Toc333935354"/>
      <w:bookmarkStart w:id="1547" w:name="_Toc350756458"/>
      <w:bookmarkStart w:id="1548" w:name="_Toc332206716"/>
      <w:bookmarkStart w:id="1549" w:name="_Toc333238641"/>
      <w:bookmarkStart w:id="1550" w:name="_Toc339441095"/>
      <w:bookmarkStart w:id="1551" w:name="_Toc340672877"/>
      <w:bookmarkStart w:id="1552" w:name="_Toc332270354"/>
      <w:bookmarkStart w:id="1553" w:name="_Toc339020023"/>
      <w:bookmarkStart w:id="1554" w:name="_Toc365967080"/>
      <w:bookmarkStart w:id="1555" w:name="_Toc333237685"/>
      <w:r>
        <w:rPr>
          <w:rFonts w:ascii="宋体" w:hAnsi="宋体"/>
          <w:bCs/>
          <w:color w:val="auto"/>
        </w:rPr>
        <w:t>3</w:t>
      </w:r>
      <w:r>
        <w:rPr>
          <w:rFonts w:hint="eastAsia" w:ascii="宋体" w:hAnsi="宋体"/>
          <w:bCs/>
          <w:color w:val="auto"/>
        </w:rPr>
        <w:t>3</w:t>
      </w:r>
      <w:r>
        <w:rPr>
          <w:rFonts w:ascii="宋体" w:hAnsi="宋体"/>
          <w:bCs/>
          <w:color w:val="auto"/>
        </w:rPr>
        <w:t>.1</w:t>
      </w:r>
      <w:r>
        <w:rPr>
          <w:rFonts w:hint="eastAsia" w:ascii="宋体" w:hAnsi="宋体"/>
          <w:bCs/>
          <w:color w:val="auto"/>
        </w:rPr>
        <w:tab/>
      </w:r>
      <w:r>
        <w:rPr>
          <w:rFonts w:hint="eastAsia" w:ascii="宋体" w:hAnsi="宋体"/>
          <w:bCs/>
          <w:color w:val="auto"/>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pPr>
        <w:widowControl/>
        <w:tabs>
          <w:tab w:val="left" w:pos="753"/>
        </w:tabs>
        <w:adjustRightInd w:val="0"/>
        <w:snapToGrid w:val="0"/>
        <w:spacing w:line="360" w:lineRule="auto"/>
        <w:ind w:left="753" w:hanging="753"/>
        <w:rPr>
          <w:rFonts w:ascii="宋体" w:hAnsi="宋体"/>
          <w:bCs/>
          <w:color w:val="auto"/>
        </w:rPr>
      </w:pPr>
      <w:r>
        <w:rPr>
          <w:rFonts w:ascii="宋体" w:hAnsi="宋体"/>
          <w:bCs/>
          <w:color w:val="auto"/>
        </w:rPr>
        <w:t>3</w:t>
      </w:r>
      <w:r>
        <w:rPr>
          <w:rFonts w:hint="eastAsia" w:ascii="宋体" w:hAnsi="宋体"/>
          <w:bCs/>
          <w:color w:val="auto"/>
        </w:rPr>
        <w:t>3</w:t>
      </w:r>
      <w:r>
        <w:rPr>
          <w:rFonts w:ascii="宋体" w:hAnsi="宋体"/>
          <w:bCs/>
          <w:color w:val="auto"/>
        </w:rPr>
        <w:t>.2</w:t>
      </w:r>
      <w:r>
        <w:rPr>
          <w:rFonts w:hint="eastAsia" w:ascii="宋体" w:hAnsi="宋体"/>
          <w:bCs/>
          <w:color w:val="auto"/>
        </w:rPr>
        <w:tab/>
      </w:r>
      <w:r>
        <w:rPr>
          <w:rFonts w:hint="eastAsia" w:ascii="宋体" w:hAnsi="宋体"/>
          <w:bCs/>
          <w:color w:val="auto"/>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rPr>
      </w:pPr>
      <w:r>
        <w:rPr>
          <w:rFonts w:hint="eastAsia" w:ascii="宋体" w:hAnsi="宋体" w:cs="Arial"/>
          <w:color w:val="auto"/>
          <w:szCs w:val="21"/>
        </w:rPr>
        <w:t xml:space="preserve">33.3   </w:t>
      </w:r>
      <w:r>
        <w:rPr>
          <w:rFonts w:ascii="宋体" w:hAnsi="宋体"/>
          <w:bCs/>
          <w:color w:val="auto"/>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auto"/>
        </w:rPr>
        <w:t>。</w:t>
      </w: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p>
      <w:pPr>
        <w:widowControl/>
        <w:tabs>
          <w:tab w:val="left" w:pos="753"/>
        </w:tabs>
        <w:adjustRightInd w:val="0"/>
        <w:snapToGrid w:val="0"/>
        <w:spacing w:line="360" w:lineRule="auto"/>
        <w:ind w:left="753" w:hanging="753"/>
        <w:rPr>
          <w:rFonts w:ascii="宋体" w:hAnsi="宋体"/>
          <w:bCs/>
          <w:color w:val="auto"/>
        </w:rPr>
      </w:pPr>
    </w:p>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p>
      <w:pPr>
        <w:pStyle w:val="4"/>
        <w:numPr>
          <w:ilvl w:val="0"/>
          <w:numId w:val="0"/>
        </w:numPr>
        <w:rPr>
          <w:color w:val="auto"/>
          <w:sz w:val="24"/>
        </w:rPr>
      </w:pPr>
      <w:bookmarkStart w:id="1556" w:name="_Toc430771059"/>
      <w:bookmarkStart w:id="1557" w:name="_Toc432682726"/>
      <w:bookmarkStart w:id="1558" w:name="_Toc14081"/>
      <w:bookmarkStart w:id="1559" w:name="_Toc480021079"/>
      <w:bookmarkStart w:id="1560" w:name="_Toc500861024"/>
      <w:bookmarkStart w:id="1561" w:name="_Toc480020283"/>
      <w:bookmarkStart w:id="1562" w:name="_Toc480010734"/>
      <w:bookmarkStart w:id="1563" w:name="_Toc479991608"/>
      <w:bookmarkStart w:id="1564" w:name="_Toc491658677"/>
      <w:bookmarkStart w:id="1565" w:name="_Toc467987849"/>
      <w:bookmarkStart w:id="1566" w:name="_Toc467236766"/>
      <w:bookmarkStart w:id="1567" w:name="_Toc468157562"/>
      <w:bookmarkStart w:id="1568" w:name="_Toc468606055"/>
      <w:r>
        <w:rPr>
          <w:color w:val="auto"/>
          <w:sz w:val="24"/>
        </w:rPr>
        <w:t>G</w:t>
      </w:r>
      <w:r>
        <w:rPr>
          <w:rFonts w:hint="eastAsia"/>
          <w:color w:val="auto"/>
          <w:sz w:val="24"/>
        </w:rPr>
        <w:t>、政府采购政策</w:t>
      </w:r>
      <w:bookmarkEnd w:id="1556"/>
      <w:bookmarkEnd w:id="1557"/>
      <w:bookmarkEnd w:id="1558"/>
    </w:p>
    <w:p>
      <w:pPr>
        <w:spacing w:line="360" w:lineRule="auto"/>
        <w:ind w:left="735" w:hanging="735" w:hangingChars="350"/>
        <w:rPr>
          <w:rFonts w:ascii="宋体" w:hAnsi="宋体" w:cs="宋体"/>
          <w:color w:val="auto"/>
        </w:rPr>
      </w:pPr>
      <w:bookmarkStart w:id="1569" w:name="_Toc430185803"/>
      <w:bookmarkStart w:id="1570" w:name="_Toc430771060"/>
      <w:r>
        <w:rPr>
          <w:rFonts w:hint="eastAsia" w:ascii="宋体" w:hAnsi="宋体" w:cs="宋体"/>
          <w:color w:val="auto"/>
        </w:rPr>
        <w:t>34</w:t>
      </w:r>
      <w:bookmarkStart w:id="1571" w:name="_Hlk499217741"/>
      <w:r>
        <w:rPr>
          <w:rFonts w:hint="eastAsia" w:ascii="宋体" w:hAnsi="宋体" w:cs="宋体"/>
          <w:color w:val="auto"/>
        </w:rPr>
        <w:t>若没有明示采购进口产品的，则视为采购产品为非进口产品（进口产品指中国海关验放进入中国境内且产自关境外的产品）。</w:t>
      </w:r>
      <w:bookmarkEnd w:id="1569"/>
      <w:bookmarkEnd w:id="1570"/>
      <w:bookmarkEnd w:id="1571"/>
    </w:p>
    <w:p>
      <w:pPr>
        <w:spacing w:line="360" w:lineRule="auto"/>
        <w:ind w:left="735" w:hanging="735" w:hangingChars="350"/>
        <w:rPr>
          <w:rFonts w:ascii="宋体" w:hAnsi="宋体" w:cs="宋体"/>
          <w:color w:val="auto"/>
        </w:rPr>
      </w:pPr>
      <w:bookmarkStart w:id="1572" w:name="_Toc430771061"/>
      <w:bookmarkStart w:id="1573" w:name="_Toc430185804"/>
      <w:r>
        <w:rPr>
          <w:rFonts w:hint="eastAsia" w:ascii="宋体" w:hAnsi="宋体" w:cs="宋体"/>
          <w:color w:val="auto"/>
        </w:rPr>
        <w:t>35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2"/>
      <w:bookmarkEnd w:id="1573"/>
    </w:p>
    <w:p>
      <w:pPr>
        <w:spacing w:line="360" w:lineRule="auto"/>
        <w:ind w:left="735" w:hanging="735" w:hangingChars="350"/>
        <w:rPr>
          <w:rFonts w:ascii="宋体" w:hAnsi="宋体" w:cs="宋体"/>
          <w:color w:val="auto"/>
        </w:rPr>
      </w:pPr>
      <w:bookmarkStart w:id="1574" w:name="_Toc430771062"/>
      <w:bookmarkStart w:id="1575" w:name="_Toc430185805"/>
      <w:r>
        <w:rPr>
          <w:rFonts w:hint="eastAsia" w:ascii="宋体" w:hAnsi="宋体" w:cs="宋体"/>
          <w:color w:val="auto"/>
        </w:rPr>
        <w:t>36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auto"/>
        </w:rPr>
        <w:fldChar w:fldCharType="begin"/>
      </w:r>
      <w:r>
        <w:rPr>
          <w:color w:val="auto"/>
        </w:rPr>
        <w:instrText xml:space="preserve"> HYPERLINK "http://www.ccgp.gov.cn" </w:instrText>
      </w:r>
      <w:r>
        <w:rPr>
          <w:color w:val="auto"/>
        </w:rPr>
        <w:fldChar w:fldCharType="separate"/>
      </w:r>
      <w:r>
        <w:rPr>
          <w:rFonts w:hint="eastAsia" w:ascii="宋体" w:hAnsi="宋体" w:cs="宋体"/>
          <w:color w:val="auto"/>
        </w:rPr>
        <w:t>http://www.ccgp.gov.cn</w:t>
      </w:r>
      <w:r>
        <w:rPr>
          <w:rFonts w:hint="eastAsia" w:ascii="宋体" w:hAnsi="宋体" w:cs="宋体"/>
          <w:color w:val="auto"/>
        </w:rPr>
        <w:fldChar w:fldCharType="end"/>
      </w:r>
      <w:r>
        <w:rPr>
          <w:rFonts w:hint="eastAsia" w:ascii="宋体" w:hAnsi="宋体" w:cs="宋体"/>
          <w:color w:val="auto"/>
        </w:rPr>
        <w:t>/）、国家环境保护总局网（</w:t>
      </w:r>
      <w:r>
        <w:rPr>
          <w:color w:val="auto"/>
        </w:rPr>
        <w:fldChar w:fldCharType="begin"/>
      </w:r>
      <w:r>
        <w:rPr>
          <w:color w:val="auto"/>
        </w:rPr>
        <w:instrText xml:space="preserve"> HYPERLINK "http://www.ccgp.gov.cn" </w:instrText>
      </w:r>
      <w:r>
        <w:rPr>
          <w:color w:val="auto"/>
        </w:rPr>
        <w:fldChar w:fldCharType="separate"/>
      </w:r>
      <w:r>
        <w:rPr>
          <w:rFonts w:hint="eastAsia" w:ascii="宋体" w:hAnsi="宋体" w:cs="宋体"/>
          <w:color w:val="auto"/>
        </w:rPr>
        <w:t>http://www.sepa.gov.cn</w:t>
      </w:r>
      <w:r>
        <w:rPr>
          <w:rFonts w:hint="eastAsia" w:ascii="宋体" w:hAnsi="宋体" w:cs="宋体"/>
          <w:color w:val="auto"/>
        </w:rPr>
        <w:fldChar w:fldCharType="end"/>
      </w:r>
      <w:r>
        <w:rPr>
          <w:rFonts w:hint="eastAsia" w:ascii="宋体" w:hAnsi="宋体" w:cs="宋体"/>
          <w:color w:val="auto"/>
        </w:rPr>
        <w:t>/）、中国绿色采购网（</w:t>
      </w:r>
      <w:r>
        <w:rPr>
          <w:color w:val="auto"/>
        </w:rPr>
        <w:fldChar w:fldCharType="begin"/>
      </w:r>
      <w:r>
        <w:rPr>
          <w:color w:val="auto"/>
        </w:rPr>
        <w:instrText xml:space="preserve"> HYPERLINK "http://www.cgpn.cn" </w:instrText>
      </w:r>
      <w:r>
        <w:rPr>
          <w:color w:val="auto"/>
        </w:rPr>
        <w:fldChar w:fldCharType="separate"/>
      </w:r>
      <w:r>
        <w:rPr>
          <w:rFonts w:hint="eastAsia" w:ascii="宋体" w:hAnsi="宋体" w:cs="宋体"/>
          <w:color w:val="auto"/>
        </w:rPr>
        <w:t>http://www.cgpn.cn</w:t>
      </w:r>
      <w:r>
        <w:rPr>
          <w:rFonts w:hint="eastAsia" w:ascii="宋体" w:hAnsi="宋体" w:cs="宋体"/>
          <w:color w:val="auto"/>
        </w:rPr>
        <w:fldChar w:fldCharType="end"/>
      </w:r>
      <w:r>
        <w:rPr>
          <w:rFonts w:hint="eastAsia" w:ascii="宋体" w:hAnsi="宋体" w:cs="宋体"/>
          <w:color w:val="auto"/>
        </w:rPr>
        <w:t>/）上发布。</w:t>
      </w:r>
      <w:bookmarkEnd w:id="1574"/>
      <w:bookmarkEnd w:id="1575"/>
    </w:p>
    <w:p>
      <w:pPr>
        <w:spacing w:line="360" w:lineRule="auto"/>
        <w:ind w:left="735" w:hanging="735" w:hangingChars="350"/>
        <w:rPr>
          <w:rFonts w:ascii="宋体" w:hAnsi="宋体" w:cs="宋体"/>
          <w:color w:val="auto"/>
        </w:rPr>
      </w:pPr>
      <w:bookmarkStart w:id="1576" w:name="_Toc430771063"/>
      <w:bookmarkStart w:id="1577" w:name="_Toc430185806"/>
      <w:r>
        <w:rPr>
          <w:rFonts w:hint="eastAsia" w:ascii="宋体" w:hAnsi="宋体" w:cs="宋体"/>
          <w:color w:val="auto"/>
        </w:rPr>
        <w:t>37     根据《关于印发《政府采购促进中小企业发展管理方法》的通知》（财库[2020]46号）的规定，投标人投标时需注意：</w:t>
      </w:r>
      <w:bookmarkEnd w:id="1576"/>
      <w:bookmarkEnd w:id="1577"/>
    </w:p>
    <w:p>
      <w:pPr>
        <w:spacing w:line="360" w:lineRule="auto"/>
        <w:ind w:left="735" w:hanging="735" w:hangingChars="350"/>
        <w:rPr>
          <w:rFonts w:ascii="宋体" w:hAnsi="宋体" w:cs="宋体"/>
          <w:bCs/>
          <w:color w:val="auto"/>
        </w:rPr>
      </w:pPr>
      <w:r>
        <w:rPr>
          <w:rFonts w:hint="eastAsia" w:ascii="宋体" w:hAnsi="宋体" w:cs="宋体"/>
          <w:bCs/>
          <w:color w:val="auto"/>
        </w:rPr>
        <w:t>37.1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ascii="宋体" w:hAnsi="宋体" w:cs="宋体"/>
          <w:bCs/>
          <w:color w:val="auto"/>
        </w:rPr>
      </w:pPr>
      <w:r>
        <w:rPr>
          <w:rFonts w:hint="eastAsia" w:ascii="宋体" w:hAnsi="宋体" w:cs="宋体"/>
          <w:bCs/>
          <w:color w:val="auto"/>
        </w:rPr>
        <w:t>37.2   参加政府采购活动的中小企业投标时需提供《中小企业声明函》。否则不予认可。</w:t>
      </w:r>
    </w:p>
    <w:p>
      <w:pPr>
        <w:spacing w:line="360" w:lineRule="auto"/>
        <w:ind w:left="735" w:hanging="735" w:hangingChars="350"/>
        <w:rPr>
          <w:rFonts w:ascii="宋体" w:hAnsi="宋体" w:cs="宋体"/>
          <w:bCs/>
          <w:color w:val="auto"/>
        </w:rPr>
      </w:pPr>
      <w:r>
        <w:rPr>
          <w:rFonts w:hint="eastAsia" w:ascii="宋体" w:hAnsi="宋体" w:cs="宋体"/>
          <w:bCs/>
          <w:color w:val="auto"/>
        </w:rPr>
        <w:t>37.3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ascii="宋体" w:hAnsi="宋体" w:cs="宋体"/>
          <w:bCs/>
          <w:color w:val="auto"/>
        </w:rPr>
      </w:pPr>
      <w:r>
        <w:rPr>
          <w:rFonts w:hint="eastAsia" w:ascii="宋体" w:hAnsi="宋体" w:cs="宋体"/>
          <w:bCs/>
          <w:color w:val="auto"/>
        </w:rPr>
        <w:t>37.4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ascii="宋体" w:hAnsi="宋体" w:cs="宋体"/>
          <w:bCs/>
          <w:color w:val="auto"/>
        </w:rPr>
      </w:pPr>
      <w:r>
        <w:rPr>
          <w:rFonts w:hint="eastAsia" w:ascii="宋体" w:hAnsi="宋体" w:cs="宋体"/>
          <w:bCs/>
          <w:color w:val="auto"/>
        </w:rPr>
        <w:t>37.5   对于非专门面向中小微型企业采购的项目，依照《政府采购促进中小企业发展暂行办法》的规定，凡符合要求的有效投标人，按照以下比例给予相应的价格扣除：</w:t>
      </w:r>
    </w:p>
    <w:p>
      <w:pPr>
        <w:spacing w:line="360" w:lineRule="auto"/>
        <w:ind w:left="735" w:hanging="735" w:hangingChars="350"/>
        <w:rPr>
          <w:rFonts w:ascii="宋体" w:hAnsi="宋体" w:cs="宋体"/>
          <w:bCs/>
          <w:color w:val="auto"/>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rPr>
            </w:pPr>
            <w:r>
              <w:rPr>
                <w:rFonts w:hint="eastAsia" w:ascii="宋体" w:hAnsi="宋体" w:cs="宋体"/>
                <w:b/>
                <w:color w:val="auto"/>
                <w:szCs w:val="21"/>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rPr>
            </w:pPr>
            <w:r>
              <w:rPr>
                <w:rFonts w:hint="eastAsia" w:ascii="宋体" w:hAnsi="宋体" w:cs="宋体"/>
                <w:b/>
                <w:color w:val="auto"/>
                <w:szCs w:val="21"/>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rPr>
            </w:pPr>
            <w:r>
              <w:rPr>
                <w:rFonts w:hint="eastAsia" w:ascii="宋体" w:hAnsi="宋体" w:cs="宋体"/>
                <w:b/>
                <w:color w:val="auto"/>
                <w:szCs w:val="21"/>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rPr>
            </w:pPr>
            <w:r>
              <w:rPr>
                <w:rFonts w:hint="eastAsia" w:ascii="宋体" w:hAnsi="宋体" w:cs="宋体"/>
                <w:b/>
                <w:color w:val="auto"/>
                <w:szCs w:val="21"/>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对小型和微型企业产品的价格扣除</w:t>
            </w:r>
            <w:r>
              <w:rPr>
                <w:rFonts w:hint="eastAsia" w:ascii="宋体" w:hAnsi="宋体" w:cs="宋体"/>
                <w:color w:val="auto"/>
                <w:szCs w:val="21"/>
                <w:u w:val="single"/>
              </w:rPr>
              <w:t>10%</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评标价=总投标报价-小型和微型企业产品的价格×</w:t>
            </w:r>
            <w:r>
              <w:rPr>
                <w:rFonts w:hint="eastAsia" w:ascii="宋体" w:hAnsi="宋体" w:cs="宋体"/>
                <w:color w:val="auto"/>
                <w:szCs w:val="21"/>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对小型和微型企业产品的价格扣除</w:t>
            </w:r>
            <w:r>
              <w:rPr>
                <w:rFonts w:hint="eastAsia" w:ascii="宋体" w:hAnsi="宋体" w:cs="宋体"/>
                <w:color w:val="auto"/>
                <w:szCs w:val="21"/>
                <w:u w:val="single"/>
              </w:rPr>
              <w:t>10%</w:t>
            </w:r>
            <w:r>
              <w:rPr>
                <w:rFonts w:hint="eastAsia" w:ascii="宋体" w:hAnsi="宋体" w:cs="宋体"/>
                <w:color w:val="auto"/>
                <w:szCs w:val="21"/>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对联合体总金额扣除</w:t>
            </w:r>
            <w:r>
              <w:rPr>
                <w:rFonts w:hint="eastAsia" w:ascii="宋体" w:hAnsi="宋体" w:cs="宋体"/>
                <w:color w:val="auto"/>
                <w:szCs w:val="21"/>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rPr>
            </w:pPr>
            <w:r>
              <w:rPr>
                <w:rFonts w:hint="eastAsia" w:ascii="宋体" w:hAnsi="宋体" w:cs="宋体"/>
                <w:color w:val="auto"/>
                <w:szCs w:val="21"/>
              </w:rPr>
              <w:t>评标价=总投标报价×（</w:t>
            </w:r>
            <w:r>
              <w:rPr>
                <w:rFonts w:hint="eastAsia" w:ascii="宋体" w:hAnsi="宋体" w:cs="宋体"/>
                <w:color w:val="auto"/>
                <w:szCs w:val="21"/>
                <w:u w:val="single"/>
              </w:rPr>
              <w:t>1-2%</w:t>
            </w:r>
            <w:r>
              <w:rPr>
                <w:rFonts w:hint="eastAsia" w:ascii="宋体" w:hAnsi="宋体" w:cs="宋体"/>
                <w:color w:val="auto"/>
                <w:szCs w:val="21"/>
              </w:rPr>
              <w:t>）</w:t>
            </w:r>
          </w:p>
        </w:tc>
      </w:tr>
    </w:tbl>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rPr>
          <w:rFonts w:ascii="宋体"/>
          <w:color w:val="auto"/>
          <w:szCs w:val="21"/>
        </w:rPr>
      </w:pPr>
    </w:p>
    <w:p>
      <w:pPr>
        <w:pStyle w:val="4"/>
        <w:numPr>
          <w:ilvl w:val="0"/>
          <w:numId w:val="0"/>
        </w:numPr>
        <w:rPr>
          <w:color w:val="auto"/>
          <w:sz w:val="24"/>
        </w:rPr>
      </w:pPr>
      <w:bookmarkStart w:id="1578" w:name="_Toc32397"/>
      <w:r>
        <w:rPr>
          <w:rFonts w:hint="eastAsia"/>
          <w:color w:val="auto"/>
          <w:sz w:val="24"/>
        </w:rPr>
        <w:t>H、评标细则</w:t>
      </w:r>
      <w:bookmarkEnd w:id="1578"/>
    </w:p>
    <w:p>
      <w:pPr>
        <w:pStyle w:val="23"/>
        <w:widowControl/>
        <w:tabs>
          <w:tab w:val="left" w:pos="753"/>
        </w:tabs>
        <w:adjustRightInd w:val="0"/>
        <w:snapToGrid w:val="0"/>
        <w:spacing w:line="360" w:lineRule="auto"/>
        <w:ind w:left="752" w:hanging="751" w:hangingChars="358"/>
        <w:rPr>
          <w:rFonts w:hAnsi="宋体"/>
          <w:bCs/>
          <w:color w:val="auto"/>
        </w:rPr>
      </w:pPr>
      <w:r>
        <w:rPr>
          <w:rFonts w:hint="eastAsia" w:hAnsi="宋体"/>
          <w:bCs/>
          <w:color w:val="auto"/>
        </w:rPr>
        <w:t>采用计分法（综合评价法）来确定各投标人的排名。其操作程序为：</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根据招标文件和评标原则，按下表（评价指标和权重表）所列评价指标和各评价指标的权重进行评标。</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color w:val="auto"/>
          <w:sz w:val="21"/>
        </w:rPr>
        <w:t>经济价格得分评审办法：以满足招标文件要求且投标报价最低的投标报价为评标基准价，其价格分为满分。</w:t>
      </w:r>
      <w:r>
        <w:rPr>
          <w:rFonts w:hint="eastAsia" w:ascii="宋体" w:hAnsi="宋体" w:eastAsia="宋体"/>
          <w:bCs/>
          <w:color w:val="auto"/>
          <w:sz w:val="21"/>
        </w:rPr>
        <w:t>经济价格标得分＝(评标基准价/投标报价)×价格指标权重×100。</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由评委独立地根据各项指标的评价标准，结合每个投标人的实际情况，分别就投标报价以外的各项指标对每个投标人独立打分。</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技术部分和商务部分得分结果为全部评委评价指标评分的算术平均值。</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将所有评价指标所得实际评价分数相加，即为该投标人的综合得分。</w:t>
      </w:r>
    </w:p>
    <w:p>
      <w:pPr>
        <w:pStyle w:val="26"/>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rPr>
      </w:pPr>
      <w:r>
        <w:rPr>
          <w:rFonts w:hint="eastAsia" w:ascii="宋体" w:hAnsi="宋体" w:eastAsia="宋体"/>
          <w:bCs/>
          <w:color w:val="auto"/>
          <w:sz w:val="21"/>
        </w:rPr>
        <w:t>评标委员会将推荐综合得分最高的投标人为该项目的中标候选人。</w:t>
      </w:r>
    </w:p>
    <w:p>
      <w:pPr>
        <w:rPr>
          <w:color w:val="auto"/>
        </w:rPr>
      </w:pPr>
      <w:r>
        <w:rPr>
          <w:rFonts w:hint="eastAsia"/>
          <w:color w:val="auto"/>
        </w:rPr>
        <w:t>评价指标及权重：</w:t>
      </w:r>
    </w:p>
    <w:p>
      <w:pPr>
        <w:rPr>
          <w:color w:val="auto"/>
        </w:rPr>
      </w:pPr>
    </w:p>
    <w:tbl>
      <w:tblPr>
        <w:tblStyle w:val="46"/>
        <w:tblW w:w="8874" w:type="dxa"/>
        <w:jc w:val="center"/>
        <w:tblLayout w:type="fixed"/>
        <w:tblCellMar>
          <w:top w:w="0" w:type="dxa"/>
          <w:left w:w="0" w:type="dxa"/>
          <w:bottom w:w="0" w:type="dxa"/>
          <w:right w:w="0" w:type="dxa"/>
        </w:tblCellMar>
      </w:tblPr>
      <w:tblGrid>
        <w:gridCol w:w="2570"/>
        <w:gridCol w:w="2340"/>
        <w:gridCol w:w="2059"/>
        <w:gridCol w:w="1905"/>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评分项目</w:t>
            </w:r>
          </w:p>
        </w:tc>
        <w:tc>
          <w:tcPr>
            <w:tcW w:w="23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技术评分</w:t>
            </w:r>
          </w:p>
        </w:tc>
        <w:tc>
          <w:tcPr>
            <w:tcW w:w="20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商务评分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分值</w:t>
            </w:r>
          </w:p>
        </w:tc>
        <w:tc>
          <w:tcPr>
            <w:tcW w:w="23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color w:val="auto"/>
                <w:kern w:val="0"/>
                <w:szCs w:val="21"/>
              </w:rPr>
              <w:t>4</w:t>
            </w:r>
            <w:r>
              <w:rPr>
                <w:rFonts w:hint="eastAsia"/>
                <w:color w:val="auto"/>
                <w:kern w:val="0"/>
                <w:szCs w:val="21"/>
              </w:rPr>
              <w:t>5</w:t>
            </w:r>
            <w:r>
              <w:rPr>
                <w:color w:val="auto"/>
                <w:kern w:val="0"/>
                <w:szCs w:val="21"/>
              </w:rPr>
              <w:t>分</w:t>
            </w:r>
          </w:p>
        </w:tc>
        <w:tc>
          <w:tcPr>
            <w:tcW w:w="205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rFonts w:hint="eastAsia"/>
                <w:color w:val="auto"/>
                <w:kern w:val="0"/>
                <w:szCs w:val="21"/>
              </w:rPr>
              <w:t>45</w:t>
            </w:r>
            <w:r>
              <w:rPr>
                <w:color w:val="auto"/>
                <w:kern w:val="0"/>
                <w:szCs w:val="21"/>
              </w:rPr>
              <w:t>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Cs w:val="21"/>
              </w:rPr>
            </w:pPr>
            <w:r>
              <w:rPr>
                <w:rFonts w:hint="eastAsia"/>
                <w:color w:val="auto"/>
                <w:kern w:val="0"/>
                <w:szCs w:val="21"/>
              </w:rPr>
              <w:t>10</w:t>
            </w:r>
            <w:r>
              <w:rPr>
                <w:color w:val="auto"/>
                <w:kern w:val="0"/>
                <w:szCs w:val="21"/>
              </w:rPr>
              <w:t>分</w:t>
            </w:r>
          </w:p>
        </w:tc>
      </w:tr>
    </w:tbl>
    <w:p>
      <w:pPr>
        <w:rPr>
          <w:color w:val="auto"/>
        </w:rPr>
      </w:pPr>
    </w:p>
    <w:p>
      <w:pPr>
        <w:rPr>
          <w:color w:val="auto"/>
        </w:rPr>
      </w:pPr>
      <w:r>
        <w:rPr>
          <w:rFonts w:hint="eastAsia"/>
          <w:color w:val="auto"/>
        </w:rPr>
        <w:t>技术评分细则：</w:t>
      </w:r>
    </w:p>
    <w:tbl>
      <w:tblPr>
        <w:tblStyle w:val="46"/>
        <w:tblW w:w="5113" w:type="pct"/>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5"/>
        <w:gridCol w:w="1303"/>
        <w:gridCol w:w="7126"/>
        <w:gridCol w:w="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361" w:type="pct"/>
            <w:noWrap/>
            <w:vAlign w:val="center"/>
          </w:tcPr>
          <w:p>
            <w:pPr>
              <w:jc w:val="center"/>
              <w:rPr>
                <w:color w:val="auto"/>
              </w:rPr>
            </w:pPr>
            <w:r>
              <w:rPr>
                <w:rFonts w:hint="eastAsia"/>
                <w:color w:val="auto"/>
              </w:rPr>
              <w:t>序号</w:t>
            </w:r>
          </w:p>
        </w:tc>
        <w:tc>
          <w:tcPr>
            <w:tcW w:w="661" w:type="pct"/>
            <w:gridSpan w:val="2"/>
            <w:noWrap/>
            <w:vAlign w:val="center"/>
          </w:tcPr>
          <w:p>
            <w:pPr>
              <w:jc w:val="center"/>
              <w:rPr>
                <w:color w:val="auto"/>
              </w:rPr>
            </w:pPr>
            <w:r>
              <w:rPr>
                <w:rFonts w:hint="eastAsia"/>
                <w:color w:val="auto"/>
              </w:rPr>
              <w:t>评审细则</w:t>
            </w:r>
          </w:p>
        </w:tc>
        <w:tc>
          <w:tcPr>
            <w:tcW w:w="3606" w:type="pct"/>
            <w:noWrap/>
            <w:vAlign w:val="center"/>
          </w:tcPr>
          <w:p>
            <w:pPr>
              <w:jc w:val="center"/>
              <w:rPr>
                <w:color w:val="auto"/>
              </w:rPr>
            </w:pPr>
            <w:r>
              <w:rPr>
                <w:rFonts w:hint="eastAsia"/>
                <w:color w:val="auto"/>
              </w:rPr>
              <w:t>评分标准</w:t>
            </w:r>
          </w:p>
        </w:tc>
        <w:tc>
          <w:tcPr>
            <w:tcW w:w="369" w:type="pct"/>
            <w:noWrap/>
            <w:vAlign w:val="center"/>
          </w:tcPr>
          <w:p>
            <w:pPr>
              <w:jc w:val="center"/>
              <w:rPr>
                <w:color w:val="auto"/>
              </w:rPr>
            </w:pPr>
            <w:r>
              <w:rPr>
                <w:rFonts w:hint="eastAsia"/>
                <w:color w:val="auto"/>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61" w:type="pct"/>
            <w:noWrap/>
            <w:vAlign w:val="center"/>
          </w:tcPr>
          <w:p>
            <w:pPr>
              <w:jc w:val="center"/>
              <w:rPr>
                <w:color w:val="auto"/>
              </w:rPr>
            </w:pPr>
            <w:bookmarkStart w:id="1579" w:name="_Hlk15130234"/>
            <w:r>
              <w:rPr>
                <w:rFonts w:hint="eastAsia"/>
                <w:color w:val="auto"/>
              </w:rPr>
              <w:t>1</w:t>
            </w:r>
          </w:p>
        </w:tc>
        <w:tc>
          <w:tcPr>
            <w:tcW w:w="661" w:type="pct"/>
            <w:gridSpan w:val="2"/>
            <w:noWrap/>
            <w:vAlign w:val="center"/>
          </w:tcPr>
          <w:p>
            <w:pPr>
              <w:rPr>
                <w:color w:val="auto"/>
              </w:rPr>
            </w:pPr>
            <w:r>
              <w:rPr>
                <w:rFonts w:hint="eastAsia"/>
                <w:color w:val="auto"/>
              </w:rPr>
              <w:t>项目技术方案及体现</w:t>
            </w:r>
          </w:p>
        </w:tc>
        <w:tc>
          <w:tcPr>
            <w:tcW w:w="3606" w:type="pct"/>
            <w:noWrap/>
            <w:vAlign w:val="center"/>
          </w:tcPr>
          <w:p>
            <w:pPr>
              <w:rPr>
                <w:color w:val="auto"/>
              </w:rPr>
            </w:pPr>
            <w:r>
              <w:rPr>
                <w:rFonts w:hint="eastAsia"/>
                <w:color w:val="auto"/>
              </w:rPr>
              <w:t>根据投标人提供的整体技术方案是否完全包括等级保护定级备案、差距测评、验收测评、整改咨询、源代码安全审计、APP安全检测、“重保时期”网络安全保障服务等内容，进行评审。</w:t>
            </w:r>
          </w:p>
          <w:p>
            <w:pPr>
              <w:rPr>
                <w:color w:val="auto"/>
              </w:rPr>
            </w:pPr>
            <w:r>
              <w:rPr>
                <w:rFonts w:hint="eastAsia"/>
                <w:color w:val="auto"/>
              </w:rPr>
              <w:t>1</w:t>
            </w:r>
            <w:r>
              <w:rPr>
                <w:rFonts w:hint="eastAsia"/>
                <w:color w:val="auto"/>
                <w:lang w:eastAsia="zh-CN"/>
              </w:rPr>
              <w:t>.</w:t>
            </w:r>
            <w:r>
              <w:rPr>
                <w:rFonts w:hint="eastAsia"/>
                <w:color w:val="auto"/>
              </w:rPr>
              <w:t>总体技术方案全面、完整、科学合理，详细和具体，可行性强，功能及性能完善，满足或优于招标文件要求，得10分；</w:t>
            </w:r>
          </w:p>
          <w:p>
            <w:pPr>
              <w:rPr>
                <w:color w:val="auto"/>
              </w:rPr>
            </w:pPr>
            <w:r>
              <w:rPr>
                <w:rFonts w:hint="eastAsia"/>
                <w:color w:val="auto"/>
              </w:rPr>
              <w:t>2</w:t>
            </w:r>
            <w:r>
              <w:rPr>
                <w:rFonts w:hint="eastAsia"/>
                <w:color w:val="auto"/>
                <w:lang w:eastAsia="zh-CN"/>
              </w:rPr>
              <w:t>.</w:t>
            </w:r>
            <w:r>
              <w:rPr>
                <w:rFonts w:hint="eastAsia"/>
                <w:color w:val="auto"/>
              </w:rPr>
              <w:t>总体技术方案完整、较为合理，可行性较强，总体功能及性能完整，满足招标文件要求，得7分；</w:t>
            </w:r>
          </w:p>
          <w:p>
            <w:pPr>
              <w:rPr>
                <w:color w:val="auto"/>
              </w:rPr>
            </w:pPr>
            <w:r>
              <w:rPr>
                <w:rFonts w:hint="eastAsia"/>
                <w:color w:val="auto"/>
              </w:rPr>
              <w:t>3</w:t>
            </w:r>
            <w:r>
              <w:rPr>
                <w:rFonts w:hint="eastAsia"/>
                <w:color w:val="auto"/>
                <w:lang w:eastAsia="zh-CN"/>
              </w:rPr>
              <w:t>.</w:t>
            </w:r>
            <w:r>
              <w:rPr>
                <w:rFonts w:hint="eastAsia"/>
                <w:color w:val="auto"/>
              </w:rPr>
              <w:t>总体技术方案基本完整，可行性一般，总体功能及性能一般，基本满足招标文件要求，得4分；</w:t>
            </w:r>
          </w:p>
          <w:p>
            <w:pPr>
              <w:rPr>
                <w:color w:val="auto"/>
              </w:rPr>
            </w:pPr>
            <w:r>
              <w:rPr>
                <w:rFonts w:hint="eastAsia"/>
                <w:color w:val="auto"/>
              </w:rPr>
              <w:t>4</w:t>
            </w:r>
            <w:r>
              <w:rPr>
                <w:rFonts w:hint="eastAsia"/>
                <w:color w:val="auto"/>
                <w:lang w:eastAsia="zh-CN"/>
              </w:rPr>
              <w:t>.</w:t>
            </w:r>
            <w:r>
              <w:rPr>
                <w:rFonts w:hint="eastAsia"/>
                <w:color w:val="auto"/>
              </w:rPr>
              <w:t>总体技术方案不完整，可行性差，总体功能及性能较差，或无相应方案，得1分。</w:t>
            </w:r>
          </w:p>
          <w:p>
            <w:pPr>
              <w:rPr>
                <w:color w:val="auto"/>
              </w:rPr>
            </w:pPr>
            <w:r>
              <w:rPr>
                <w:rFonts w:hint="eastAsia"/>
                <w:color w:val="auto"/>
              </w:rPr>
              <w:t>不提供不得分。</w:t>
            </w:r>
          </w:p>
        </w:tc>
        <w:tc>
          <w:tcPr>
            <w:tcW w:w="369" w:type="pct"/>
            <w:noWrap/>
            <w:vAlign w:val="center"/>
          </w:tcPr>
          <w:p>
            <w:pPr>
              <w:rPr>
                <w:color w:val="auto"/>
              </w:rPr>
            </w:pPr>
            <w:r>
              <w:rPr>
                <w:rFonts w:hint="eastAsia"/>
                <w:color w:val="auto"/>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61" w:type="pct"/>
            <w:noWrap/>
            <w:vAlign w:val="center"/>
          </w:tcPr>
          <w:p>
            <w:pPr>
              <w:jc w:val="center"/>
              <w:rPr>
                <w:color w:val="auto"/>
              </w:rPr>
            </w:pPr>
            <w:r>
              <w:rPr>
                <w:rFonts w:hint="eastAsia"/>
                <w:color w:val="auto"/>
              </w:rPr>
              <w:t>2</w:t>
            </w:r>
          </w:p>
        </w:tc>
        <w:tc>
          <w:tcPr>
            <w:tcW w:w="661" w:type="pct"/>
            <w:gridSpan w:val="2"/>
            <w:noWrap/>
            <w:vAlign w:val="center"/>
          </w:tcPr>
          <w:p>
            <w:pPr>
              <w:rPr>
                <w:color w:val="auto"/>
              </w:rPr>
            </w:pPr>
            <w:r>
              <w:rPr>
                <w:rFonts w:hint="eastAsia"/>
                <w:color w:val="auto"/>
              </w:rPr>
              <w:t>“测评软件系统工具”要求的响应程度</w:t>
            </w:r>
          </w:p>
        </w:tc>
        <w:tc>
          <w:tcPr>
            <w:tcW w:w="3606" w:type="pct"/>
            <w:noWrap/>
            <w:vAlign w:val="center"/>
          </w:tcPr>
          <w:p>
            <w:pPr>
              <w:rPr>
                <w:rFonts w:ascii="宋体" w:hAnsi="宋体" w:cs="宋体"/>
                <w:color w:val="auto"/>
                <w:kern w:val="0"/>
                <w:sz w:val="24"/>
              </w:rPr>
            </w:pPr>
            <w:r>
              <w:rPr>
                <w:rFonts w:hint="eastAsia"/>
                <w:color w:val="auto"/>
              </w:rPr>
              <w:t>根据服务工具使用的科学性、针对性等因素进行评审，服务工具技术要求中带“▲”的条款为重要技术参数，</w:t>
            </w:r>
            <w:r>
              <w:rPr>
                <w:rFonts w:hint="eastAsia" w:ascii="宋体" w:hAnsi="宋体" w:cs="宋体"/>
                <w:color w:val="auto"/>
                <w:kern w:val="0"/>
                <w:sz w:val="19"/>
                <w:szCs w:val="19"/>
              </w:rPr>
              <w:t xml:space="preserve">带非 </w:t>
            </w:r>
            <w:r>
              <w:rPr>
                <w:rFonts w:ascii="DejaVuSans" w:hAnsi="DejaVuSans" w:cs="宋体"/>
                <w:color w:val="auto"/>
                <w:kern w:val="0"/>
                <w:sz w:val="19"/>
                <w:szCs w:val="19"/>
              </w:rPr>
              <w:t>“▲”</w:t>
            </w:r>
            <w:r>
              <w:rPr>
                <w:rFonts w:hint="eastAsia" w:ascii="宋体" w:hAnsi="宋体" w:cs="宋体"/>
                <w:color w:val="auto"/>
                <w:kern w:val="0"/>
                <w:sz w:val="19"/>
                <w:szCs w:val="19"/>
              </w:rPr>
              <w:t xml:space="preserve">的为一般技术参数 </w:t>
            </w:r>
            <w:r>
              <w:rPr>
                <w:rFonts w:hint="eastAsia"/>
                <w:color w:val="auto"/>
              </w:rPr>
              <w:t>：每一项重要技术参数条款不满足扣1分，每一项</w:t>
            </w:r>
            <w:r>
              <w:rPr>
                <w:rFonts w:hint="eastAsia" w:ascii="宋体" w:hAnsi="宋体" w:cs="宋体"/>
                <w:color w:val="auto"/>
                <w:kern w:val="0"/>
                <w:sz w:val="19"/>
                <w:szCs w:val="19"/>
              </w:rPr>
              <w:t>一般技术参数</w:t>
            </w:r>
            <w:r>
              <w:rPr>
                <w:rFonts w:hint="eastAsia"/>
                <w:color w:val="auto"/>
              </w:rPr>
              <w:t>条款不满足扣0.5分，共6分，扣完为止 。</w:t>
            </w:r>
          </w:p>
        </w:tc>
        <w:tc>
          <w:tcPr>
            <w:tcW w:w="369" w:type="pct"/>
            <w:noWrap/>
            <w:vAlign w:val="center"/>
          </w:tcPr>
          <w:p>
            <w:pPr>
              <w:jc w:val="center"/>
              <w:rPr>
                <w:color w:val="auto"/>
              </w:rPr>
            </w:pPr>
            <w:r>
              <w:rPr>
                <w:rFonts w:hint="eastAsia"/>
                <w:color w:val="auto"/>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1" w:type="pct"/>
            <w:noWrap/>
            <w:vAlign w:val="center"/>
          </w:tcPr>
          <w:p>
            <w:pPr>
              <w:jc w:val="center"/>
              <w:rPr>
                <w:color w:val="auto"/>
              </w:rPr>
            </w:pPr>
            <w:r>
              <w:rPr>
                <w:rFonts w:hint="eastAsia"/>
                <w:color w:val="auto"/>
              </w:rPr>
              <w:t>3</w:t>
            </w:r>
          </w:p>
        </w:tc>
        <w:tc>
          <w:tcPr>
            <w:tcW w:w="661" w:type="pct"/>
            <w:gridSpan w:val="2"/>
            <w:noWrap/>
            <w:vAlign w:val="center"/>
          </w:tcPr>
          <w:p>
            <w:pPr>
              <w:rPr>
                <w:color w:val="auto"/>
              </w:rPr>
            </w:pPr>
            <w:r>
              <w:rPr>
                <w:rFonts w:hint="eastAsia"/>
                <w:color w:val="auto"/>
              </w:rPr>
              <w:t>“源代码安全审计工具”要求的响应程度</w:t>
            </w:r>
          </w:p>
        </w:tc>
        <w:tc>
          <w:tcPr>
            <w:tcW w:w="3606" w:type="pct"/>
            <w:noWrap/>
            <w:vAlign w:val="center"/>
          </w:tcPr>
          <w:p>
            <w:pPr>
              <w:rPr>
                <w:color w:val="auto"/>
              </w:rPr>
            </w:pPr>
            <w:r>
              <w:rPr>
                <w:rFonts w:hint="eastAsia"/>
                <w:color w:val="auto"/>
              </w:rPr>
              <w:t>根据服务工具使用的科学性、针对性等因素进行评审，服务工具技术要求中带“▲”的条款为重要技术参数，</w:t>
            </w:r>
            <w:r>
              <w:rPr>
                <w:rFonts w:hint="eastAsia" w:ascii="宋体" w:hAnsi="宋体" w:cs="宋体"/>
                <w:color w:val="auto"/>
                <w:kern w:val="0"/>
                <w:sz w:val="19"/>
                <w:szCs w:val="19"/>
              </w:rPr>
              <w:t xml:space="preserve">带非 </w:t>
            </w:r>
            <w:r>
              <w:rPr>
                <w:rFonts w:ascii="DejaVuSans" w:hAnsi="DejaVuSans" w:cs="宋体"/>
                <w:color w:val="auto"/>
                <w:kern w:val="0"/>
                <w:sz w:val="19"/>
                <w:szCs w:val="19"/>
              </w:rPr>
              <w:t>“▲”</w:t>
            </w:r>
            <w:r>
              <w:rPr>
                <w:rFonts w:hint="eastAsia" w:ascii="宋体" w:hAnsi="宋体" w:cs="宋体"/>
                <w:color w:val="auto"/>
                <w:kern w:val="0"/>
                <w:sz w:val="19"/>
                <w:szCs w:val="19"/>
              </w:rPr>
              <w:t>的为一般技术参数</w:t>
            </w:r>
            <w:r>
              <w:rPr>
                <w:rFonts w:hint="eastAsia"/>
                <w:color w:val="auto"/>
              </w:rPr>
              <w:t>：每一项重要技术参数条款不满足扣1分，每一项</w:t>
            </w:r>
            <w:r>
              <w:rPr>
                <w:rFonts w:hint="eastAsia" w:ascii="宋体" w:hAnsi="宋体" w:cs="宋体"/>
                <w:color w:val="auto"/>
                <w:kern w:val="0"/>
                <w:sz w:val="19"/>
                <w:szCs w:val="19"/>
              </w:rPr>
              <w:t>一般技术参数</w:t>
            </w:r>
            <w:r>
              <w:rPr>
                <w:rFonts w:hint="eastAsia"/>
                <w:color w:val="auto"/>
              </w:rPr>
              <w:t>条款不满足扣0.5分，共12分，扣完为止。</w:t>
            </w:r>
          </w:p>
        </w:tc>
        <w:tc>
          <w:tcPr>
            <w:tcW w:w="369" w:type="pct"/>
            <w:noWrap/>
            <w:vAlign w:val="center"/>
          </w:tcPr>
          <w:p>
            <w:pPr>
              <w:rPr>
                <w:color w:val="auto"/>
              </w:rPr>
            </w:pPr>
            <w:r>
              <w:rPr>
                <w:rFonts w:hint="eastAsia"/>
                <w:color w:val="auto"/>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361" w:type="pct"/>
            <w:noWrap/>
            <w:vAlign w:val="center"/>
          </w:tcPr>
          <w:p>
            <w:pPr>
              <w:jc w:val="center"/>
              <w:rPr>
                <w:color w:val="auto"/>
              </w:rPr>
            </w:pPr>
            <w:r>
              <w:rPr>
                <w:rFonts w:hint="eastAsia"/>
                <w:color w:val="auto"/>
              </w:rPr>
              <w:t>4</w:t>
            </w:r>
          </w:p>
        </w:tc>
        <w:tc>
          <w:tcPr>
            <w:tcW w:w="661" w:type="pct"/>
            <w:gridSpan w:val="2"/>
            <w:noWrap/>
            <w:vAlign w:val="center"/>
          </w:tcPr>
          <w:p>
            <w:pPr>
              <w:rPr>
                <w:color w:val="auto"/>
              </w:rPr>
            </w:pPr>
            <w:r>
              <w:rPr>
                <w:rFonts w:hint="eastAsia"/>
                <w:color w:val="auto"/>
              </w:rPr>
              <w:t>“漏洞扫描工具”要求的响应程度</w:t>
            </w:r>
          </w:p>
        </w:tc>
        <w:tc>
          <w:tcPr>
            <w:tcW w:w="3606" w:type="pct"/>
            <w:noWrap/>
            <w:vAlign w:val="center"/>
          </w:tcPr>
          <w:p>
            <w:pPr>
              <w:rPr>
                <w:color w:val="auto"/>
              </w:rPr>
            </w:pPr>
            <w:r>
              <w:rPr>
                <w:rFonts w:hint="eastAsia"/>
                <w:color w:val="auto"/>
              </w:rPr>
              <w:t>根据服务工具使用的科学性、针对性等因素进行评审，服务工具技术要求中带“▲”的条款为重要技术参数，</w:t>
            </w:r>
            <w:r>
              <w:rPr>
                <w:rFonts w:hint="eastAsia" w:ascii="宋体" w:hAnsi="宋体" w:cs="宋体"/>
                <w:color w:val="auto"/>
                <w:kern w:val="0"/>
                <w:sz w:val="19"/>
                <w:szCs w:val="19"/>
              </w:rPr>
              <w:t xml:space="preserve">带非 </w:t>
            </w:r>
            <w:r>
              <w:rPr>
                <w:rFonts w:ascii="DejaVuSans" w:hAnsi="DejaVuSans" w:cs="宋体"/>
                <w:color w:val="auto"/>
                <w:kern w:val="0"/>
                <w:sz w:val="19"/>
                <w:szCs w:val="19"/>
              </w:rPr>
              <w:t>“▲”</w:t>
            </w:r>
            <w:r>
              <w:rPr>
                <w:rFonts w:hint="eastAsia" w:ascii="宋体" w:hAnsi="宋体" w:cs="宋体"/>
                <w:color w:val="auto"/>
                <w:kern w:val="0"/>
                <w:sz w:val="19"/>
                <w:szCs w:val="19"/>
              </w:rPr>
              <w:t>的为一般技术参数</w:t>
            </w:r>
            <w:r>
              <w:rPr>
                <w:rFonts w:hint="eastAsia"/>
                <w:color w:val="auto"/>
              </w:rPr>
              <w:t>：每一项重要技术参数条款不满足扣1分，每一项</w:t>
            </w:r>
            <w:r>
              <w:rPr>
                <w:rFonts w:hint="eastAsia" w:ascii="宋体" w:hAnsi="宋体" w:cs="宋体"/>
                <w:color w:val="auto"/>
                <w:kern w:val="0"/>
                <w:sz w:val="19"/>
                <w:szCs w:val="19"/>
              </w:rPr>
              <w:t>一般技术参数</w:t>
            </w:r>
            <w:r>
              <w:rPr>
                <w:rFonts w:hint="eastAsia"/>
                <w:color w:val="auto"/>
              </w:rPr>
              <w:t>条款不满足扣0.5分，共10分，扣完为止。</w:t>
            </w:r>
          </w:p>
        </w:tc>
        <w:tc>
          <w:tcPr>
            <w:tcW w:w="369" w:type="pct"/>
            <w:noWrap/>
            <w:vAlign w:val="center"/>
          </w:tcPr>
          <w:p>
            <w:pPr>
              <w:rPr>
                <w:color w:val="auto"/>
              </w:rPr>
            </w:pPr>
            <w:r>
              <w:rPr>
                <w:rFonts w:hint="eastAsia"/>
                <w:color w:val="auto"/>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1" w:type="pct"/>
            <w:noWrap/>
            <w:vAlign w:val="center"/>
          </w:tcPr>
          <w:p>
            <w:pPr>
              <w:jc w:val="center"/>
              <w:rPr>
                <w:color w:val="auto"/>
              </w:rPr>
            </w:pPr>
            <w:r>
              <w:rPr>
                <w:rFonts w:hint="eastAsia"/>
                <w:color w:val="auto"/>
              </w:rPr>
              <w:t>5</w:t>
            </w:r>
          </w:p>
        </w:tc>
        <w:tc>
          <w:tcPr>
            <w:tcW w:w="661" w:type="pct"/>
            <w:gridSpan w:val="2"/>
            <w:noWrap/>
            <w:vAlign w:val="center"/>
          </w:tcPr>
          <w:p>
            <w:pPr>
              <w:rPr>
                <w:color w:val="auto"/>
              </w:rPr>
            </w:pPr>
            <w:r>
              <w:rPr>
                <w:rFonts w:hint="eastAsia"/>
                <w:color w:val="auto"/>
              </w:rPr>
              <w:t>质量保证措施及售后服务</w:t>
            </w:r>
          </w:p>
        </w:tc>
        <w:tc>
          <w:tcPr>
            <w:tcW w:w="3606" w:type="pct"/>
            <w:noWrap/>
            <w:vAlign w:val="center"/>
          </w:tcPr>
          <w:p>
            <w:pPr>
              <w:rPr>
                <w:color w:val="auto"/>
              </w:rPr>
            </w:pPr>
            <w:r>
              <w:rPr>
                <w:rFonts w:hint="eastAsia"/>
                <w:color w:val="auto"/>
              </w:rPr>
              <w:t>根据投标人提供的质量保证措施及售后服务承诺内容是否全面，售后服务实力，是否满足招标文件需求，可操作性、服务保障情况，进行评审。</w:t>
            </w:r>
          </w:p>
          <w:p>
            <w:pPr>
              <w:rPr>
                <w:color w:val="auto"/>
              </w:rPr>
            </w:pPr>
            <w:r>
              <w:rPr>
                <w:rFonts w:hint="eastAsia"/>
                <w:color w:val="auto"/>
              </w:rPr>
              <w:t>1</w:t>
            </w:r>
            <w:r>
              <w:rPr>
                <w:rFonts w:hint="eastAsia"/>
                <w:color w:val="auto"/>
                <w:lang w:eastAsia="zh-CN"/>
              </w:rPr>
              <w:t>.</w:t>
            </w:r>
            <w:r>
              <w:rPr>
                <w:rFonts w:hint="eastAsia"/>
                <w:color w:val="auto"/>
              </w:rPr>
              <w:t>投标人质量保证措施及售后服务保障方案详细清晰，科学全面，售后服务能力强、完全满足招标文件需求，可操作行性高，服务保障情况完善的，得7分。</w:t>
            </w:r>
          </w:p>
          <w:p>
            <w:pPr>
              <w:rPr>
                <w:color w:val="auto"/>
              </w:rPr>
            </w:pPr>
            <w:r>
              <w:rPr>
                <w:rFonts w:hint="eastAsia"/>
                <w:color w:val="auto"/>
              </w:rPr>
              <w:t>2</w:t>
            </w:r>
            <w:r>
              <w:rPr>
                <w:rFonts w:hint="eastAsia"/>
                <w:color w:val="auto"/>
                <w:lang w:eastAsia="zh-CN"/>
              </w:rPr>
              <w:t>.</w:t>
            </w:r>
            <w:r>
              <w:rPr>
                <w:rFonts w:hint="eastAsia"/>
                <w:color w:val="auto"/>
              </w:rPr>
              <w:t>投标人质量保证措施及售后服务保障方案较详细清晰，较科学全面，售后服务能力尚可，基本满足招标招标文件需求，可操作性较高的，服务保障较完善，得4分。</w:t>
            </w:r>
          </w:p>
          <w:p>
            <w:pPr>
              <w:rPr>
                <w:color w:val="auto"/>
              </w:rPr>
            </w:pPr>
            <w:r>
              <w:rPr>
                <w:rFonts w:hint="eastAsia"/>
                <w:color w:val="auto"/>
              </w:rPr>
              <w:t>3</w:t>
            </w:r>
            <w:r>
              <w:rPr>
                <w:rFonts w:hint="eastAsia"/>
                <w:color w:val="auto"/>
                <w:lang w:eastAsia="zh-CN"/>
              </w:rPr>
              <w:t>.</w:t>
            </w:r>
            <w:r>
              <w:rPr>
                <w:rFonts w:hint="eastAsia"/>
                <w:color w:val="auto"/>
              </w:rPr>
              <w:t>投标人质量保证措施及售后服务保障方案基本完整，主要内容未遗漏，售后服务内容一般，基本满足招标文件要求的，得2 分。</w:t>
            </w:r>
          </w:p>
          <w:p>
            <w:pPr>
              <w:rPr>
                <w:color w:val="auto"/>
              </w:rPr>
            </w:pPr>
            <w:r>
              <w:rPr>
                <w:rFonts w:hint="eastAsia"/>
                <w:color w:val="auto"/>
              </w:rPr>
              <w:t>4</w:t>
            </w:r>
            <w:r>
              <w:rPr>
                <w:rFonts w:hint="eastAsia"/>
                <w:color w:val="auto"/>
                <w:lang w:eastAsia="zh-CN"/>
              </w:rPr>
              <w:t>.</w:t>
            </w:r>
            <w:r>
              <w:rPr>
                <w:rFonts w:hint="eastAsia"/>
                <w:color w:val="auto"/>
              </w:rPr>
              <w:t>投标人质量保证措施及服务保障方案不完整或不合理的，得1 分。</w:t>
            </w:r>
          </w:p>
          <w:p>
            <w:pPr>
              <w:rPr>
                <w:color w:val="auto"/>
              </w:rPr>
            </w:pPr>
            <w:r>
              <w:rPr>
                <w:rFonts w:hint="eastAsia"/>
                <w:color w:val="auto"/>
              </w:rPr>
              <w:t>不提供不得分。</w:t>
            </w:r>
          </w:p>
        </w:tc>
        <w:tc>
          <w:tcPr>
            <w:tcW w:w="369" w:type="pct"/>
            <w:noWrap/>
            <w:vAlign w:val="center"/>
          </w:tcPr>
          <w:p>
            <w:pPr>
              <w:jc w:val="center"/>
              <w:rPr>
                <w:color w:val="auto"/>
              </w:rPr>
            </w:pPr>
            <w:r>
              <w:rPr>
                <w:rFonts w:hint="eastAsia"/>
                <w:color w:val="auto"/>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364" w:type="pct"/>
            <w:gridSpan w:val="2"/>
            <w:noWrap/>
            <w:vAlign w:val="center"/>
          </w:tcPr>
          <w:p>
            <w:pPr>
              <w:rPr>
                <w:rFonts w:hint="eastAsia" w:eastAsia="宋体"/>
                <w:color w:val="auto"/>
                <w:sz w:val="21"/>
                <w:szCs w:val="21"/>
                <w:lang w:val="en-US" w:eastAsia="zh-CN"/>
              </w:rPr>
            </w:pPr>
            <w:r>
              <w:rPr>
                <w:rFonts w:hint="eastAsia"/>
                <w:color w:val="auto"/>
                <w:sz w:val="21"/>
                <w:szCs w:val="21"/>
                <w:lang w:val="en-US" w:eastAsia="zh-CN"/>
              </w:rPr>
              <w:t>合计</w:t>
            </w:r>
          </w:p>
        </w:tc>
        <w:tc>
          <w:tcPr>
            <w:tcW w:w="4635" w:type="pct"/>
            <w:gridSpan w:val="3"/>
            <w:noWrap/>
            <w:vAlign w:val="center"/>
          </w:tcPr>
          <w:p>
            <w:pPr>
              <w:ind w:firstLine="210" w:firstLineChars="100"/>
              <w:rPr>
                <w:rFonts w:hint="default" w:eastAsia="宋体"/>
                <w:color w:val="auto"/>
                <w:sz w:val="21"/>
                <w:szCs w:val="21"/>
                <w:lang w:val="en-US" w:eastAsia="zh-CN"/>
              </w:rPr>
            </w:pPr>
            <w:r>
              <w:rPr>
                <w:rFonts w:hint="eastAsia" w:ascii="宋体" w:hAnsi="宋体" w:eastAsia="宋体" w:cs="宋体"/>
                <w:color w:val="auto"/>
                <w:sz w:val="21"/>
                <w:szCs w:val="21"/>
                <w:lang w:val="en-US" w:eastAsia="zh-CN"/>
              </w:rPr>
              <w:t>45分</w:t>
            </w:r>
          </w:p>
        </w:tc>
      </w:tr>
      <w:bookmarkEnd w:id="1579"/>
    </w:tbl>
    <w:p>
      <w:pPr>
        <w:rPr>
          <w:color w:val="auto"/>
        </w:rPr>
      </w:pPr>
    </w:p>
    <w:p>
      <w:pPr>
        <w:rPr>
          <w:color w:val="auto"/>
        </w:rPr>
      </w:pPr>
    </w:p>
    <w:p>
      <w:pPr>
        <w:rPr>
          <w:color w:val="auto"/>
        </w:rPr>
      </w:pPr>
      <w:r>
        <w:rPr>
          <w:color w:val="auto"/>
        </w:rPr>
        <w:t>商务</w:t>
      </w:r>
      <w:r>
        <w:rPr>
          <w:rFonts w:hint="eastAsia"/>
          <w:color w:val="auto"/>
        </w:rPr>
        <w:t>评</w:t>
      </w:r>
      <w:r>
        <w:rPr>
          <w:color w:val="auto"/>
        </w:rPr>
        <w:t>分</w:t>
      </w:r>
      <w:r>
        <w:rPr>
          <w:rFonts w:hint="eastAsia"/>
          <w:color w:val="auto"/>
        </w:rPr>
        <w:t>细则</w:t>
      </w:r>
    </w:p>
    <w:tbl>
      <w:tblPr>
        <w:tblStyle w:val="47"/>
        <w:tblW w:w="0" w:type="auto"/>
        <w:tblInd w:w="-287"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7"/>
        <w:gridCol w:w="1238"/>
        <w:gridCol w:w="7127"/>
        <w:gridCol w:w="72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0" w:hRule="atLeast"/>
        </w:trPr>
        <w:tc>
          <w:tcPr>
            <w:tcW w:w="857" w:type="dxa"/>
            <w:vAlign w:val="center"/>
          </w:tcPr>
          <w:p>
            <w:pPr>
              <w:jc w:val="center"/>
              <w:rPr>
                <w:color w:val="auto"/>
              </w:rPr>
            </w:pPr>
            <w:r>
              <w:rPr>
                <w:rFonts w:hint="eastAsia"/>
                <w:color w:val="auto"/>
              </w:rPr>
              <w:t>序号</w:t>
            </w:r>
          </w:p>
        </w:tc>
        <w:tc>
          <w:tcPr>
            <w:tcW w:w="1238" w:type="dxa"/>
            <w:vAlign w:val="center"/>
          </w:tcPr>
          <w:p>
            <w:pPr>
              <w:jc w:val="center"/>
              <w:rPr>
                <w:color w:val="auto"/>
              </w:rPr>
            </w:pPr>
            <w:r>
              <w:rPr>
                <w:rFonts w:hint="eastAsia"/>
                <w:color w:val="auto"/>
              </w:rPr>
              <w:t>评审细则</w:t>
            </w:r>
          </w:p>
        </w:tc>
        <w:tc>
          <w:tcPr>
            <w:tcW w:w="7127" w:type="dxa"/>
            <w:vAlign w:val="center"/>
          </w:tcPr>
          <w:p>
            <w:pPr>
              <w:jc w:val="center"/>
              <w:rPr>
                <w:color w:val="auto"/>
              </w:rPr>
            </w:pPr>
            <w:r>
              <w:rPr>
                <w:rFonts w:hint="eastAsia"/>
                <w:color w:val="auto"/>
              </w:rPr>
              <w:t>评分标准</w:t>
            </w:r>
          </w:p>
        </w:tc>
        <w:tc>
          <w:tcPr>
            <w:tcW w:w="727" w:type="dxa"/>
            <w:vAlign w:val="center"/>
          </w:tcPr>
          <w:p>
            <w:pPr>
              <w:jc w:val="center"/>
              <w:rPr>
                <w:color w:val="auto"/>
              </w:rPr>
            </w:pPr>
            <w:r>
              <w:rPr>
                <w:rFonts w:hint="eastAsia"/>
                <w:color w:val="auto"/>
              </w:rPr>
              <w:t>分值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7" w:type="dxa"/>
            <w:vAlign w:val="center"/>
          </w:tcPr>
          <w:p>
            <w:pPr>
              <w:pStyle w:val="2"/>
              <w:jc w:val="center"/>
              <w:rPr>
                <w:color w:val="auto"/>
              </w:rPr>
            </w:pPr>
            <w:r>
              <w:rPr>
                <w:rFonts w:hint="eastAsia"/>
                <w:color w:val="auto"/>
              </w:rPr>
              <w:t>1</w:t>
            </w:r>
          </w:p>
        </w:tc>
        <w:tc>
          <w:tcPr>
            <w:tcW w:w="1238" w:type="dxa"/>
            <w:vAlign w:val="center"/>
          </w:tcPr>
          <w:p>
            <w:pPr>
              <w:pStyle w:val="2"/>
              <w:jc w:val="center"/>
              <w:rPr>
                <w:color w:val="auto"/>
              </w:rPr>
            </w:pPr>
            <w:r>
              <w:rPr>
                <w:rFonts w:hint="eastAsia"/>
                <w:color w:val="auto"/>
              </w:rPr>
              <w:t>投标人资质能力</w:t>
            </w:r>
          </w:p>
        </w:tc>
        <w:tc>
          <w:tcPr>
            <w:tcW w:w="7127" w:type="dxa"/>
          </w:tcPr>
          <w:p>
            <w:pPr>
              <w:pStyle w:val="2"/>
              <w:rPr>
                <w:color w:val="auto"/>
              </w:rPr>
            </w:pPr>
            <w:r>
              <w:rPr>
                <w:rFonts w:hint="eastAsia"/>
                <w:color w:val="auto"/>
              </w:rPr>
              <w:t>1.投标人具有信息安全服务资质证书（风险评估）；</w:t>
            </w:r>
          </w:p>
          <w:p>
            <w:pPr>
              <w:pStyle w:val="2"/>
              <w:rPr>
                <w:color w:val="auto"/>
              </w:rPr>
            </w:pPr>
            <w:r>
              <w:rPr>
                <w:rFonts w:hint="eastAsia"/>
                <w:color w:val="auto"/>
              </w:rPr>
              <w:t>2.投标人具有信息安全管理体系认证证书；</w:t>
            </w:r>
          </w:p>
          <w:p>
            <w:pPr>
              <w:pStyle w:val="2"/>
              <w:rPr>
                <w:color w:val="auto"/>
              </w:rPr>
            </w:pPr>
            <w:r>
              <w:rPr>
                <w:rFonts w:hint="eastAsia"/>
                <w:color w:val="auto"/>
              </w:rPr>
              <w:t>3.投标人具有中国合格评定国家认可委员会颁发的CNAS检验机构认可证书；</w:t>
            </w:r>
          </w:p>
          <w:p>
            <w:pPr>
              <w:pStyle w:val="2"/>
              <w:rPr>
                <w:color w:val="auto"/>
              </w:rPr>
            </w:pPr>
            <w:r>
              <w:rPr>
                <w:rFonts w:hint="eastAsia"/>
                <w:color w:val="auto"/>
              </w:rPr>
              <w:t>4.投标人具有工业互联网安全评估评测机构证书；</w:t>
            </w:r>
          </w:p>
          <w:p>
            <w:pPr>
              <w:pStyle w:val="2"/>
              <w:rPr>
                <w:color w:val="auto"/>
              </w:rPr>
            </w:pPr>
            <w:r>
              <w:rPr>
                <w:rFonts w:hint="eastAsia"/>
                <w:color w:val="auto"/>
              </w:rPr>
              <w:t>5.投标人具有环境管理体系认证证书；</w:t>
            </w:r>
          </w:p>
          <w:p>
            <w:pPr>
              <w:pStyle w:val="2"/>
              <w:rPr>
                <w:color w:val="auto"/>
              </w:rPr>
            </w:pPr>
            <w:r>
              <w:rPr>
                <w:rFonts w:hint="eastAsia"/>
                <w:color w:val="auto"/>
              </w:rPr>
              <w:t>6.投标人具有职业健康安全管理体系认证证书。</w:t>
            </w:r>
          </w:p>
          <w:p>
            <w:pPr>
              <w:pStyle w:val="2"/>
              <w:rPr>
                <w:color w:val="auto"/>
              </w:rPr>
            </w:pPr>
            <w:r>
              <w:rPr>
                <w:rFonts w:hint="eastAsia"/>
                <w:color w:val="auto"/>
              </w:rPr>
              <w:t>注：</w:t>
            </w:r>
          </w:p>
          <w:p>
            <w:pPr>
              <w:pStyle w:val="2"/>
              <w:rPr>
                <w:color w:val="auto"/>
              </w:rPr>
            </w:pPr>
            <w:r>
              <w:rPr>
                <w:rFonts w:hint="eastAsia"/>
                <w:color w:val="auto"/>
              </w:rPr>
              <w:t>1.以上每项具备得2分，最高得12分；</w:t>
            </w:r>
          </w:p>
          <w:p>
            <w:pPr>
              <w:pStyle w:val="2"/>
              <w:rPr>
                <w:color w:val="auto"/>
              </w:rPr>
            </w:pPr>
            <w:r>
              <w:rPr>
                <w:rFonts w:hint="eastAsia"/>
                <w:color w:val="auto"/>
              </w:rPr>
              <w:t>2.以上证书均须在有效期范围内，如证书设有有效期要求的，则有效期须不少于投标当日或已办理延期手续；如证书没有设置有效期要求的，则视为长期有效；</w:t>
            </w:r>
          </w:p>
          <w:p>
            <w:pPr>
              <w:pStyle w:val="2"/>
              <w:rPr>
                <w:color w:val="auto"/>
              </w:rPr>
            </w:pPr>
            <w:r>
              <w:rPr>
                <w:rFonts w:hint="eastAsia"/>
                <w:color w:val="auto"/>
              </w:rPr>
              <w:t>3.提供证书复印件并加盖公章，不提供视为不具备。</w:t>
            </w:r>
          </w:p>
        </w:tc>
        <w:tc>
          <w:tcPr>
            <w:tcW w:w="727" w:type="dxa"/>
            <w:vAlign w:val="center"/>
          </w:tcPr>
          <w:p>
            <w:pPr>
              <w:jc w:val="center"/>
              <w:rPr>
                <w:color w:val="auto"/>
              </w:rPr>
            </w:pPr>
            <w:r>
              <w:rPr>
                <w:rFonts w:hint="eastAsia"/>
                <w:color w:val="auto"/>
              </w:rPr>
              <w:t>12分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7" w:type="dxa"/>
            <w:vAlign w:val="center"/>
          </w:tcPr>
          <w:p>
            <w:pPr>
              <w:pStyle w:val="2"/>
              <w:jc w:val="center"/>
              <w:rPr>
                <w:color w:val="auto"/>
              </w:rPr>
            </w:pPr>
            <w:r>
              <w:rPr>
                <w:rFonts w:hint="eastAsia"/>
                <w:color w:val="auto"/>
              </w:rPr>
              <w:t>2</w:t>
            </w:r>
          </w:p>
        </w:tc>
        <w:tc>
          <w:tcPr>
            <w:tcW w:w="1238" w:type="dxa"/>
            <w:vAlign w:val="center"/>
          </w:tcPr>
          <w:p>
            <w:pPr>
              <w:spacing w:line="300" w:lineRule="exact"/>
              <w:jc w:val="center"/>
              <w:rPr>
                <w:color w:val="auto"/>
              </w:rPr>
            </w:pPr>
            <w:r>
              <w:rPr>
                <w:rFonts w:hint="eastAsia"/>
                <w:color w:val="auto"/>
              </w:rPr>
              <w:t>项目经理的资质</w:t>
            </w:r>
          </w:p>
        </w:tc>
        <w:tc>
          <w:tcPr>
            <w:tcW w:w="7127" w:type="dxa"/>
          </w:tcPr>
          <w:p>
            <w:pPr>
              <w:spacing w:before="34" w:line="300" w:lineRule="exact"/>
              <w:ind w:right="281"/>
              <w:rPr>
                <w:color w:val="auto"/>
              </w:rPr>
            </w:pPr>
            <w:r>
              <w:rPr>
                <w:rFonts w:hint="eastAsia"/>
                <w:color w:val="auto"/>
              </w:rPr>
              <w:t>1.具有信息安全管理体系ISMS审核员证书；</w:t>
            </w:r>
          </w:p>
          <w:p>
            <w:pPr>
              <w:spacing w:before="34" w:line="300" w:lineRule="exact"/>
              <w:ind w:right="281"/>
              <w:rPr>
                <w:color w:val="auto"/>
              </w:rPr>
            </w:pPr>
            <w:r>
              <w:rPr>
                <w:rFonts w:hint="eastAsia"/>
                <w:color w:val="auto"/>
              </w:rPr>
              <w:t xml:space="preserve">2.具有ITIL认证工程师证书； </w:t>
            </w:r>
          </w:p>
          <w:p>
            <w:pPr>
              <w:spacing w:before="34" w:line="300" w:lineRule="exact"/>
              <w:ind w:right="281"/>
              <w:rPr>
                <w:color w:val="auto"/>
              </w:rPr>
            </w:pPr>
            <w:r>
              <w:rPr>
                <w:rFonts w:hint="eastAsia"/>
                <w:color w:val="auto"/>
              </w:rPr>
              <w:t>3.具有计算机高级工程师证书；</w:t>
            </w:r>
          </w:p>
          <w:p>
            <w:pPr>
              <w:spacing w:before="34" w:line="300" w:lineRule="exact"/>
              <w:ind w:right="281"/>
              <w:rPr>
                <w:color w:val="auto"/>
              </w:rPr>
            </w:pPr>
            <w:r>
              <w:rPr>
                <w:rFonts w:hint="eastAsia"/>
                <w:color w:val="auto"/>
              </w:rPr>
              <w:t xml:space="preserve">4.具有标准化专家证书。 </w:t>
            </w:r>
          </w:p>
          <w:p>
            <w:pPr>
              <w:widowControl/>
              <w:spacing w:line="300" w:lineRule="exact"/>
              <w:rPr>
                <w:color w:val="auto"/>
              </w:rPr>
            </w:pPr>
            <w:r>
              <w:rPr>
                <w:rFonts w:hint="eastAsia"/>
                <w:color w:val="auto"/>
              </w:rPr>
              <w:t>注：</w:t>
            </w:r>
          </w:p>
          <w:p>
            <w:pPr>
              <w:widowControl/>
              <w:spacing w:line="300" w:lineRule="exact"/>
              <w:rPr>
                <w:color w:val="auto"/>
              </w:rPr>
            </w:pPr>
            <w:r>
              <w:rPr>
                <w:rFonts w:hint="eastAsia"/>
                <w:color w:val="auto"/>
              </w:rPr>
              <w:t>1</w:t>
            </w:r>
            <w:r>
              <w:rPr>
                <w:rFonts w:hint="eastAsia"/>
                <w:color w:val="auto"/>
                <w:lang w:eastAsia="zh-CN"/>
              </w:rPr>
              <w:t>.</w:t>
            </w:r>
            <w:r>
              <w:rPr>
                <w:rFonts w:hint="eastAsia"/>
                <w:color w:val="auto"/>
              </w:rPr>
              <w:t>以上每项具备得2分，最高得8分；</w:t>
            </w:r>
          </w:p>
          <w:p>
            <w:pPr>
              <w:widowControl/>
              <w:spacing w:line="300" w:lineRule="exact"/>
              <w:rPr>
                <w:color w:val="auto"/>
              </w:rPr>
            </w:pPr>
            <w:r>
              <w:rPr>
                <w:rFonts w:hint="eastAsia"/>
                <w:color w:val="auto"/>
              </w:rPr>
              <w:t>2</w:t>
            </w:r>
            <w:r>
              <w:rPr>
                <w:rFonts w:hint="eastAsia"/>
                <w:color w:val="auto"/>
                <w:lang w:eastAsia="zh-CN"/>
              </w:rPr>
              <w:t>.</w:t>
            </w:r>
            <w:r>
              <w:rPr>
                <w:rFonts w:hint="eastAsia"/>
                <w:color w:val="auto"/>
              </w:rPr>
              <w:t>提供上述证书复印件及在投标单位缴纳社保的证明材料（本项目投标截止日之前六个月以内任意3个月）复印件，并加盖投标人公章，否则不得分。</w:t>
            </w:r>
          </w:p>
        </w:tc>
        <w:tc>
          <w:tcPr>
            <w:tcW w:w="727" w:type="dxa"/>
            <w:vAlign w:val="center"/>
          </w:tcPr>
          <w:p>
            <w:pPr>
              <w:widowControl/>
              <w:spacing w:line="300" w:lineRule="exact"/>
              <w:jc w:val="center"/>
              <w:rPr>
                <w:color w:val="auto"/>
              </w:rPr>
            </w:pPr>
            <w:r>
              <w:rPr>
                <w:rFonts w:hint="eastAsia"/>
                <w:color w:val="auto"/>
              </w:rPr>
              <w:t>8分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7" w:type="dxa"/>
            <w:vAlign w:val="center"/>
          </w:tcPr>
          <w:p>
            <w:pPr>
              <w:pStyle w:val="2"/>
              <w:jc w:val="center"/>
              <w:rPr>
                <w:color w:val="auto"/>
              </w:rPr>
            </w:pPr>
            <w:r>
              <w:rPr>
                <w:rFonts w:hint="eastAsia"/>
                <w:color w:val="auto"/>
              </w:rPr>
              <w:t>3</w:t>
            </w:r>
          </w:p>
        </w:tc>
        <w:tc>
          <w:tcPr>
            <w:tcW w:w="1238" w:type="dxa"/>
            <w:vAlign w:val="center"/>
          </w:tcPr>
          <w:p>
            <w:pPr>
              <w:pStyle w:val="2"/>
              <w:rPr>
                <w:color w:val="auto"/>
              </w:rPr>
            </w:pPr>
            <w:r>
              <w:rPr>
                <w:rFonts w:hint="eastAsia"/>
                <w:color w:val="auto"/>
              </w:rPr>
              <w:t>项目现场实施负责人的资质（与项目经理不为同一人）</w:t>
            </w:r>
          </w:p>
        </w:tc>
        <w:tc>
          <w:tcPr>
            <w:tcW w:w="7127" w:type="dxa"/>
            <w:vAlign w:val="center"/>
          </w:tcPr>
          <w:p>
            <w:pPr>
              <w:pStyle w:val="2"/>
              <w:rPr>
                <w:color w:val="auto"/>
              </w:rPr>
            </w:pPr>
            <w:r>
              <w:rPr>
                <w:rFonts w:hint="eastAsia"/>
                <w:color w:val="auto"/>
              </w:rPr>
              <w:t>1</w:t>
            </w:r>
            <w:r>
              <w:rPr>
                <w:rFonts w:hint="eastAsia"/>
                <w:color w:val="auto"/>
                <w:lang w:eastAsia="zh-CN"/>
              </w:rPr>
              <w:t>.</w:t>
            </w:r>
            <w:r>
              <w:rPr>
                <w:rFonts w:hint="eastAsia"/>
                <w:color w:val="auto"/>
              </w:rPr>
              <w:t>具有CISP证书；</w:t>
            </w:r>
          </w:p>
          <w:p>
            <w:pPr>
              <w:pStyle w:val="2"/>
              <w:rPr>
                <w:color w:val="auto"/>
              </w:rPr>
            </w:pPr>
            <w:r>
              <w:rPr>
                <w:rFonts w:hint="eastAsia"/>
                <w:color w:val="auto"/>
              </w:rPr>
              <w:t>2</w:t>
            </w:r>
            <w:r>
              <w:rPr>
                <w:rFonts w:hint="eastAsia"/>
                <w:color w:val="auto"/>
                <w:lang w:eastAsia="zh-CN"/>
              </w:rPr>
              <w:t>.</w:t>
            </w:r>
            <w:r>
              <w:rPr>
                <w:rFonts w:hint="eastAsia"/>
                <w:color w:val="auto"/>
              </w:rPr>
              <w:t>具有高级网络安全等级测评师证书；</w:t>
            </w:r>
          </w:p>
          <w:p>
            <w:pPr>
              <w:pStyle w:val="2"/>
              <w:rPr>
                <w:color w:val="auto"/>
              </w:rPr>
            </w:pPr>
            <w:r>
              <w:rPr>
                <w:rFonts w:hint="eastAsia"/>
                <w:color w:val="auto"/>
              </w:rPr>
              <w:t>3</w:t>
            </w:r>
            <w:r>
              <w:rPr>
                <w:rFonts w:hint="eastAsia"/>
                <w:color w:val="auto"/>
                <w:lang w:eastAsia="zh-CN"/>
              </w:rPr>
              <w:t>.</w:t>
            </w:r>
            <w:r>
              <w:rPr>
                <w:rFonts w:hint="eastAsia"/>
                <w:color w:val="auto"/>
              </w:rPr>
              <w:t>具有CIISA证书；</w:t>
            </w:r>
          </w:p>
          <w:p>
            <w:pPr>
              <w:pStyle w:val="2"/>
              <w:rPr>
                <w:color w:val="auto"/>
              </w:rPr>
            </w:pPr>
            <w:r>
              <w:rPr>
                <w:rFonts w:hint="eastAsia"/>
                <w:color w:val="auto"/>
              </w:rPr>
              <w:t>4</w:t>
            </w:r>
            <w:r>
              <w:rPr>
                <w:rFonts w:hint="eastAsia"/>
                <w:color w:val="auto"/>
                <w:lang w:eastAsia="zh-CN"/>
              </w:rPr>
              <w:t>.</w:t>
            </w:r>
            <w:r>
              <w:rPr>
                <w:rFonts w:hint="eastAsia"/>
                <w:color w:val="auto"/>
              </w:rPr>
              <w:t>具有ITIL认证工程师证书；</w:t>
            </w:r>
          </w:p>
          <w:p>
            <w:pPr>
              <w:pStyle w:val="2"/>
              <w:rPr>
                <w:color w:val="auto"/>
              </w:rPr>
            </w:pPr>
            <w:r>
              <w:rPr>
                <w:rFonts w:hint="eastAsia"/>
                <w:color w:val="auto"/>
              </w:rPr>
              <w:t>5</w:t>
            </w:r>
            <w:r>
              <w:rPr>
                <w:rFonts w:hint="eastAsia"/>
                <w:color w:val="auto"/>
                <w:lang w:eastAsia="zh-CN"/>
              </w:rPr>
              <w:t>.</w:t>
            </w:r>
            <w:r>
              <w:rPr>
                <w:rFonts w:hint="eastAsia"/>
                <w:color w:val="auto"/>
              </w:rPr>
              <w:t>具有MCSE证书。</w:t>
            </w:r>
          </w:p>
          <w:p>
            <w:pPr>
              <w:pStyle w:val="2"/>
              <w:rPr>
                <w:color w:val="auto"/>
              </w:rPr>
            </w:pPr>
            <w:r>
              <w:rPr>
                <w:rFonts w:hint="eastAsia"/>
                <w:color w:val="auto"/>
              </w:rPr>
              <w:t>注：</w:t>
            </w:r>
          </w:p>
          <w:p>
            <w:pPr>
              <w:pStyle w:val="2"/>
              <w:rPr>
                <w:color w:val="auto"/>
              </w:rPr>
            </w:pPr>
            <w:r>
              <w:rPr>
                <w:rFonts w:hint="eastAsia"/>
                <w:color w:val="auto"/>
              </w:rPr>
              <w:t>1</w:t>
            </w:r>
            <w:r>
              <w:rPr>
                <w:rFonts w:hint="eastAsia"/>
                <w:color w:val="auto"/>
                <w:lang w:eastAsia="zh-CN"/>
              </w:rPr>
              <w:t>.</w:t>
            </w:r>
            <w:r>
              <w:rPr>
                <w:rFonts w:hint="eastAsia"/>
                <w:color w:val="auto"/>
              </w:rPr>
              <w:t>以上每项具备得2分，最高得10分；</w:t>
            </w:r>
          </w:p>
          <w:p>
            <w:pPr>
              <w:pStyle w:val="2"/>
              <w:rPr>
                <w:color w:val="auto"/>
              </w:rPr>
            </w:pPr>
            <w:r>
              <w:rPr>
                <w:rFonts w:hint="eastAsia"/>
                <w:color w:val="auto"/>
              </w:rPr>
              <w:t>2</w:t>
            </w:r>
            <w:r>
              <w:rPr>
                <w:rFonts w:hint="eastAsia"/>
                <w:color w:val="auto"/>
                <w:lang w:eastAsia="zh-CN"/>
              </w:rPr>
              <w:t>.</w:t>
            </w:r>
            <w:r>
              <w:rPr>
                <w:rFonts w:hint="eastAsia"/>
                <w:color w:val="auto"/>
              </w:rPr>
              <w:t>提供上述证书复印件及在投标单位缴纳社保的证明材料（本项目投标截止日之前六个月以内任意3个月）复印件，并加盖投标人公章，否则不得分。</w:t>
            </w:r>
          </w:p>
        </w:tc>
        <w:tc>
          <w:tcPr>
            <w:tcW w:w="727" w:type="dxa"/>
            <w:vAlign w:val="center"/>
          </w:tcPr>
          <w:p>
            <w:pPr>
              <w:pStyle w:val="2"/>
              <w:rPr>
                <w:color w:val="auto"/>
              </w:rPr>
            </w:pPr>
            <w:r>
              <w:rPr>
                <w:rFonts w:hint="eastAsia"/>
                <w:color w:val="auto"/>
              </w:rPr>
              <w:t>10分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7" w:type="dxa"/>
            <w:vAlign w:val="center"/>
          </w:tcPr>
          <w:p>
            <w:pPr>
              <w:pStyle w:val="2"/>
              <w:jc w:val="center"/>
              <w:rPr>
                <w:color w:val="auto"/>
              </w:rPr>
            </w:pPr>
            <w:r>
              <w:rPr>
                <w:rFonts w:hint="eastAsia"/>
                <w:color w:val="auto"/>
              </w:rPr>
              <w:t>4</w:t>
            </w:r>
          </w:p>
        </w:tc>
        <w:tc>
          <w:tcPr>
            <w:tcW w:w="1238" w:type="dxa"/>
            <w:vAlign w:val="center"/>
          </w:tcPr>
          <w:p>
            <w:pPr>
              <w:pStyle w:val="2"/>
              <w:rPr>
                <w:color w:val="auto"/>
              </w:rPr>
            </w:pPr>
            <w:r>
              <w:rPr>
                <w:rFonts w:hint="eastAsia"/>
                <w:color w:val="auto"/>
              </w:rPr>
              <w:t>实施技术人员的资质</w:t>
            </w:r>
          </w:p>
        </w:tc>
        <w:tc>
          <w:tcPr>
            <w:tcW w:w="7127" w:type="dxa"/>
            <w:vAlign w:val="center"/>
          </w:tcPr>
          <w:p>
            <w:pPr>
              <w:pStyle w:val="2"/>
              <w:rPr>
                <w:color w:val="auto"/>
              </w:rPr>
            </w:pPr>
            <w:r>
              <w:rPr>
                <w:rFonts w:hint="eastAsia"/>
                <w:color w:val="auto"/>
              </w:rPr>
              <w:t>根据各投标人本项目现场实施技术人员的资质进行评比打分</w:t>
            </w:r>
            <w:r>
              <w:rPr>
                <w:rFonts w:hint="eastAsia"/>
                <w:color w:val="auto"/>
                <w:lang w:eastAsia="zh-CN"/>
              </w:rPr>
              <w:t>：</w:t>
            </w:r>
            <w:r>
              <w:rPr>
                <w:rFonts w:hint="eastAsia"/>
                <w:color w:val="auto"/>
              </w:rPr>
              <w:t xml:space="preserve"> </w:t>
            </w:r>
          </w:p>
          <w:p>
            <w:pPr>
              <w:pStyle w:val="2"/>
              <w:rPr>
                <w:color w:val="auto"/>
              </w:rPr>
            </w:pPr>
            <w:r>
              <w:rPr>
                <w:rFonts w:hint="eastAsia"/>
                <w:color w:val="auto"/>
              </w:rPr>
              <w:t>1</w:t>
            </w:r>
            <w:r>
              <w:rPr>
                <w:rFonts w:hint="eastAsia"/>
                <w:color w:val="auto"/>
                <w:lang w:eastAsia="zh-CN"/>
              </w:rPr>
              <w:t>.</w:t>
            </w:r>
            <w:r>
              <w:rPr>
                <w:rFonts w:hint="eastAsia"/>
                <w:color w:val="auto"/>
              </w:rPr>
              <w:t>信息安全等级保护初级测评师资质，每个</w:t>
            </w:r>
            <w:r>
              <w:rPr>
                <w:rFonts w:hint="eastAsia"/>
                <w:color w:val="auto"/>
                <w:lang w:val="en-US" w:eastAsia="zh-CN"/>
              </w:rPr>
              <w:t>1</w:t>
            </w:r>
            <w:r>
              <w:rPr>
                <w:rFonts w:hint="eastAsia"/>
                <w:color w:val="auto"/>
              </w:rPr>
              <w:t xml:space="preserve">分，最高得4分。 </w:t>
            </w:r>
          </w:p>
          <w:p>
            <w:pPr>
              <w:pStyle w:val="2"/>
              <w:rPr>
                <w:color w:val="auto"/>
              </w:rPr>
            </w:pPr>
            <w:r>
              <w:rPr>
                <w:rFonts w:hint="eastAsia"/>
                <w:color w:val="auto"/>
              </w:rPr>
              <w:t>2</w:t>
            </w:r>
            <w:r>
              <w:rPr>
                <w:rFonts w:hint="eastAsia"/>
                <w:color w:val="auto"/>
                <w:lang w:eastAsia="zh-CN"/>
              </w:rPr>
              <w:t>.</w:t>
            </w:r>
            <w:r>
              <w:rPr>
                <w:rFonts w:hint="eastAsia"/>
                <w:color w:val="auto"/>
              </w:rPr>
              <w:t>信息安全等级保护中级测评师资质，每个</w:t>
            </w:r>
            <w:r>
              <w:rPr>
                <w:rFonts w:hint="eastAsia"/>
                <w:color w:val="auto"/>
                <w:lang w:val="en-US" w:eastAsia="zh-CN"/>
              </w:rPr>
              <w:t>2</w:t>
            </w:r>
            <w:r>
              <w:rPr>
                <w:rFonts w:hint="eastAsia"/>
                <w:color w:val="auto"/>
              </w:rPr>
              <w:t>分，最高得4分。</w:t>
            </w:r>
          </w:p>
          <w:p>
            <w:pPr>
              <w:pStyle w:val="2"/>
              <w:rPr>
                <w:color w:val="auto"/>
              </w:rPr>
            </w:pPr>
            <w:r>
              <w:rPr>
                <w:rFonts w:hint="eastAsia"/>
                <w:color w:val="auto"/>
              </w:rPr>
              <w:t>注：提供上述证书复印件及在投标单位缴纳社保的证明材料（本项目投标截止日之前六个月以内任意3个月）复印件，并加盖投标人公章，否则不得分。</w:t>
            </w:r>
          </w:p>
        </w:tc>
        <w:tc>
          <w:tcPr>
            <w:tcW w:w="727" w:type="dxa"/>
            <w:vAlign w:val="center"/>
          </w:tcPr>
          <w:p>
            <w:pPr>
              <w:pStyle w:val="2"/>
              <w:rPr>
                <w:color w:val="auto"/>
              </w:rPr>
            </w:pPr>
            <w:r>
              <w:rPr>
                <w:rFonts w:hint="eastAsia"/>
                <w:color w:val="auto"/>
              </w:rPr>
              <w:t>8分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7" w:type="dxa"/>
            <w:tcBorders>
              <w:right w:val="single" w:color="auto" w:sz="4" w:space="0"/>
            </w:tcBorders>
            <w:vAlign w:val="center"/>
          </w:tcPr>
          <w:p>
            <w:pPr>
              <w:pStyle w:val="2"/>
              <w:jc w:val="center"/>
              <w:rPr>
                <w:color w:val="auto"/>
              </w:rPr>
            </w:pPr>
            <w:r>
              <w:rPr>
                <w:rFonts w:hint="eastAsia"/>
                <w:color w:val="auto"/>
              </w:rPr>
              <w:t>5</w:t>
            </w:r>
          </w:p>
        </w:tc>
        <w:tc>
          <w:tcPr>
            <w:tcW w:w="1238" w:type="dxa"/>
            <w:tcBorders>
              <w:left w:val="single" w:color="auto" w:sz="4" w:space="0"/>
            </w:tcBorders>
            <w:vAlign w:val="center"/>
          </w:tcPr>
          <w:p>
            <w:pPr>
              <w:pStyle w:val="2"/>
              <w:rPr>
                <w:color w:val="auto"/>
              </w:rPr>
            </w:pPr>
            <w:r>
              <w:rPr>
                <w:rFonts w:hint="eastAsia"/>
                <w:color w:val="auto"/>
              </w:rPr>
              <w:t>业绩情况评价</w:t>
            </w:r>
          </w:p>
        </w:tc>
        <w:tc>
          <w:tcPr>
            <w:tcW w:w="7127" w:type="dxa"/>
            <w:vAlign w:val="center"/>
          </w:tcPr>
          <w:p>
            <w:pPr>
              <w:pStyle w:val="2"/>
              <w:rPr>
                <w:color w:val="auto"/>
              </w:rPr>
            </w:pPr>
            <w:r>
              <w:rPr>
                <w:rFonts w:hint="eastAsia"/>
                <w:color w:val="auto"/>
              </w:rPr>
              <w:t>投标人2018年至今完成同类项目经验，每个1分，最高得7分。</w:t>
            </w:r>
          </w:p>
          <w:p>
            <w:pPr>
              <w:pStyle w:val="2"/>
              <w:rPr>
                <w:color w:val="auto"/>
              </w:rPr>
            </w:pPr>
            <w:r>
              <w:rPr>
                <w:rFonts w:hint="eastAsia"/>
                <w:color w:val="auto"/>
              </w:rPr>
              <w:t>注：【以合同关键页（包括双方盖章、合同金额、签约时间、采购内容）复印件为准，不重复计分】</w:t>
            </w:r>
          </w:p>
        </w:tc>
        <w:tc>
          <w:tcPr>
            <w:tcW w:w="727" w:type="dxa"/>
            <w:vAlign w:val="center"/>
          </w:tcPr>
          <w:p>
            <w:pPr>
              <w:pStyle w:val="2"/>
              <w:rPr>
                <w:color w:val="auto"/>
              </w:rPr>
            </w:pPr>
            <w:r>
              <w:rPr>
                <w:rFonts w:hint="eastAsia"/>
                <w:color w:val="auto"/>
              </w:rPr>
              <w:t>7分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3" w:hRule="atLeast"/>
        </w:trPr>
        <w:tc>
          <w:tcPr>
            <w:tcW w:w="857" w:type="dxa"/>
            <w:tcBorders>
              <w:right w:val="single" w:color="auto" w:sz="4" w:space="0"/>
            </w:tcBorders>
            <w:vAlign w:val="center"/>
          </w:tcPr>
          <w:p>
            <w:pPr>
              <w:widowControl/>
              <w:spacing w:line="300" w:lineRule="exact"/>
              <w:jc w:val="center"/>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合计</w:t>
            </w:r>
          </w:p>
        </w:tc>
        <w:tc>
          <w:tcPr>
            <w:tcW w:w="9092" w:type="dxa"/>
            <w:gridSpan w:val="3"/>
            <w:tcBorders>
              <w:left w:val="single" w:color="auto" w:sz="4" w:space="0"/>
            </w:tcBorders>
            <w:vAlign w:val="center"/>
          </w:tcPr>
          <w:p>
            <w:pPr>
              <w:widowControl/>
              <w:spacing w:line="300" w:lineRule="exact"/>
              <w:ind w:firstLine="210" w:firstLineChars="100"/>
              <w:jc w:val="left"/>
              <w:rPr>
                <w:rFonts w:hint="eastAsia" w:ascii="宋体" w:hAnsi="宋体" w:cs="宋体"/>
                <w:color w:val="auto"/>
                <w:kern w:val="0"/>
                <w:sz w:val="21"/>
                <w:szCs w:val="21"/>
              </w:rPr>
            </w:pPr>
            <w:r>
              <w:rPr>
                <w:rFonts w:hint="eastAsia" w:ascii="宋体" w:hAnsi="宋体" w:cs="宋体"/>
                <w:color w:val="auto"/>
                <w:kern w:val="0"/>
                <w:sz w:val="21"/>
                <w:szCs w:val="21"/>
              </w:rPr>
              <w:t>45分</w:t>
            </w:r>
            <w:r>
              <w:rPr>
                <w:rFonts w:hint="eastAsia" w:ascii="宋体" w:hAnsi="宋体" w:cs="宋体"/>
                <w:color w:val="auto"/>
                <w:kern w:val="0"/>
                <w:sz w:val="21"/>
                <w:szCs w:val="21"/>
                <w:lang w:val="en-US" w:eastAsia="zh-CN"/>
              </w:rPr>
              <w:t xml:space="preserve">  </w:t>
            </w:r>
          </w:p>
        </w:tc>
      </w:tr>
    </w:tbl>
    <w:p>
      <w:pPr>
        <w:rPr>
          <w:rFonts w:ascii="宋体"/>
          <w:color w:val="auto"/>
          <w:szCs w:val="21"/>
        </w:rPr>
      </w:pPr>
      <w:r>
        <w:rPr>
          <w:rFonts w:hint="eastAsia"/>
          <w:color w:val="auto"/>
        </w:rPr>
        <w:t>注：对照每项评价指标要求，投标文件完全不满足要求的，不得分。</w:t>
      </w:r>
    </w:p>
    <w:p>
      <w:pPr>
        <w:rPr>
          <w:rFonts w:ascii="宋体"/>
          <w:color w:val="auto"/>
          <w:szCs w:val="21"/>
        </w:rPr>
      </w:pPr>
    </w:p>
    <w:p>
      <w:pPr>
        <w:rPr>
          <w:rFonts w:ascii="宋体"/>
          <w:color w:val="auto"/>
          <w:szCs w:val="21"/>
        </w:rPr>
      </w:pPr>
    </w:p>
    <w:p>
      <w:pPr>
        <w:widowControl/>
        <w:tabs>
          <w:tab w:val="left" w:pos="753"/>
        </w:tabs>
        <w:adjustRightInd w:val="0"/>
        <w:snapToGrid w:val="0"/>
        <w:spacing w:line="360" w:lineRule="auto"/>
        <w:rPr>
          <w:rFonts w:ascii="宋体" w:hAnsi="宋体" w:cs="Arial"/>
          <w:color w:val="auto"/>
          <w:szCs w:val="21"/>
        </w:rPr>
        <w:sectPr>
          <w:footerReference r:id="rId10" w:type="first"/>
          <w:footerReference r:id="rId9" w:type="default"/>
          <w:pgSz w:w="11906" w:h="16838"/>
          <w:pgMar w:top="1418" w:right="1230" w:bottom="1418" w:left="1230" w:header="851" w:footer="851" w:gutter="0"/>
          <w:cols w:space="720" w:num="1"/>
          <w:docGrid w:linePitch="312" w:charSpace="0"/>
        </w:sectPr>
      </w:pPr>
    </w:p>
    <w:bookmarkEnd w:id="1559"/>
    <w:bookmarkEnd w:id="1560"/>
    <w:bookmarkEnd w:id="1561"/>
    <w:bookmarkEnd w:id="1562"/>
    <w:bookmarkEnd w:id="1563"/>
    <w:bookmarkEnd w:id="1564"/>
    <w:bookmarkEnd w:id="1565"/>
    <w:bookmarkEnd w:id="1566"/>
    <w:bookmarkEnd w:id="1567"/>
    <w:bookmarkEnd w:id="1568"/>
    <w:p>
      <w:pPr>
        <w:pStyle w:val="3"/>
        <w:numPr>
          <w:ilvl w:val="0"/>
          <w:numId w:val="0"/>
        </w:numPr>
        <w:spacing w:beforeLines="0"/>
        <w:rPr>
          <w:color w:val="auto"/>
        </w:rPr>
      </w:pPr>
      <w:bookmarkStart w:id="1580" w:name="_Hlt21939000"/>
      <w:bookmarkEnd w:id="1580"/>
      <w:bookmarkStart w:id="1581" w:name="_Toc333237686"/>
      <w:bookmarkStart w:id="1582" w:name="_Toc336681589"/>
      <w:bookmarkStart w:id="1583" w:name="_Toc332270355"/>
      <w:bookmarkStart w:id="1584" w:name="_Toc333237797"/>
      <w:bookmarkStart w:id="1585" w:name="_Toc331684047"/>
      <w:bookmarkStart w:id="1586" w:name="_Toc365985187"/>
      <w:bookmarkStart w:id="1587" w:name="_Toc333935355"/>
      <w:bookmarkStart w:id="1588" w:name="_Toc339362309"/>
      <w:bookmarkStart w:id="1589" w:name="_Toc374454610"/>
      <w:bookmarkStart w:id="1590" w:name="_Toc332206717"/>
      <w:bookmarkStart w:id="1591" w:name="_Toc345513910"/>
      <w:bookmarkStart w:id="1592" w:name="_Toc339020242"/>
      <w:bookmarkStart w:id="1593" w:name="_Toc339019898"/>
      <w:bookmarkStart w:id="1594" w:name="_Toc333935696"/>
      <w:bookmarkStart w:id="1595" w:name="_Toc341348347"/>
      <w:bookmarkStart w:id="1596" w:name="_Toc336681944"/>
      <w:bookmarkStart w:id="1597" w:name="_Toc342296769"/>
      <w:bookmarkStart w:id="1598" w:name="_Toc339441096"/>
      <w:bookmarkStart w:id="1599" w:name="_Toc339020104"/>
      <w:bookmarkStart w:id="1600" w:name="_Toc342060383"/>
      <w:bookmarkStart w:id="1601" w:name="_Toc340672878"/>
      <w:bookmarkStart w:id="1602" w:name="_Toc337632367"/>
      <w:bookmarkStart w:id="1603" w:name="_Toc350756459"/>
      <w:bookmarkStart w:id="1604" w:name="_Toc350438758"/>
      <w:bookmarkStart w:id="1605" w:name="_Toc365967081"/>
      <w:bookmarkStart w:id="1606" w:name="_Toc366072538"/>
      <w:bookmarkStart w:id="1607" w:name="_Toc340507451"/>
      <w:bookmarkStart w:id="1608" w:name="_Toc349143598"/>
      <w:bookmarkStart w:id="1609" w:name="_Toc340677079"/>
      <w:bookmarkStart w:id="1610" w:name="_Toc339020024"/>
      <w:bookmarkStart w:id="1611" w:name="_Toc349127635"/>
      <w:bookmarkStart w:id="1612" w:name="_Toc330459994"/>
      <w:bookmarkStart w:id="1613" w:name="_Toc333238642"/>
      <w:bookmarkStart w:id="1614" w:name="_Toc331512907"/>
      <w:bookmarkStart w:id="1615" w:name="_Toc23453"/>
      <w:r>
        <w:rPr>
          <w:rFonts w:hint="eastAsia"/>
          <w:color w:val="auto"/>
        </w:rPr>
        <w:t>第四部分  采购项目合同</w:t>
      </w:r>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Start w:id="1616" w:name="_Hlt97188170"/>
      <w:bookmarkEnd w:id="1616"/>
      <w:r>
        <w:rPr>
          <w:rFonts w:hint="eastAsia"/>
          <w:color w:val="auto"/>
        </w:rPr>
        <w:t>（参考范本）</w:t>
      </w:r>
      <w:bookmarkEnd w:id="1615"/>
    </w:p>
    <w:p>
      <w:pPr>
        <w:rPr>
          <w:bCs/>
          <w:color w:val="auto"/>
        </w:rPr>
      </w:pPr>
    </w:p>
    <w:p>
      <w:pPr>
        <w:rPr>
          <w:color w:val="auto"/>
        </w:rPr>
      </w:pPr>
    </w:p>
    <w:p>
      <w:pPr>
        <w:jc w:val="center"/>
        <w:rPr>
          <w:rFonts w:ascii="宋体" w:hAnsi="宋体"/>
          <w:b/>
          <w:color w:val="auto"/>
          <w:sz w:val="30"/>
          <w:szCs w:val="30"/>
        </w:rPr>
      </w:pPr>
    </w:p>
    <w:p>
      <w:pPr>
        <w:jc w:val="center"/>
        <w:rPr>
          <w:rFonts w:ascii="宋体" w:hAnsi="宋体"/>
          <w:b/>
          <w:color w:val="auto"/>
          <w:sz w:val="36"/>
          <w:szCs w:val="36"/>
        </w:rPr>
      </w:pPr>
    </w:p>
    <w:p>
      <w:pPr>
        <w:pStyle w:val="54"/>
        <w:rPr>
          <w:rFonts w:ascii="宋体" w:hAnsi="宋体"/>
          <w:b/>
          <w:color w:val="auto"/>
          <w:sz w:val="36"/>
          <w:szCs w:val="36"/>
        </w:rPr>
      </w:pPr>
    </w:p>
    <w:p>
      <w:pPr>
        <w:pStyle w:val="54"/>
        <w:rPr>
          <w:rFonts w:ascii="宋体" w:hAnsi="宋体"/>
          <w:b/>
          <w:color w:val="auto"/>
          <w:sz w:val="36"/>
          <w:szCs w:val="36"/>
        </w:rPr>
      </w:pPr>
    </w:p>
    <w:p>
      <w:pPr>
        <w:pStyle w:val="54"/>
        <w:rPr>
          <w:rFonts w:ascii="宋体" w:hAnsi="宋体"/>
          <w:b/>
          <w:color w:val="auto"/>
          <w:sz w:val="36"/>
          <w:szCs w:val="36"/>
        </w:rPr>
      </w:pPr>
    </w:p>
    <w:p>
      <w:pPr>
        <w:pStyle w:val="54"/>
        <w:rPr>
          <w:rFonts w:ascii="宋体" w:hAnsi="宋体"/>
          <w:b/>
          <w:color w:val="auto"/>
          <w:sz w:val="36"/>
          <w:szCs w:val="36"/>
        </w:rPr>
      </w:pPr>
    </w:p>
    <w:p>
      <w:pPr>
        <w:jc w:val="center"/>
        <w:rPr>
          <w:rFonts w:ascii="宋体" w:hAnsi="宋体"/>
          <w:b/>
          <w:color w:val="auto"/>
          <w:sz w:val="72"/>
          <w:szCs w:val="72"/>
        </w:rPr>
      </w:pPr>
      <w:r>
        <w:rPr>
          <w:rFonts w:hint="eastAsia" w:ascii="宋体" w:hAnsi="宋体"/>
          <w:b/>
          <w:color w:val="auto"/>
          <w:sz w:val="72"/>
          <w:szCs w:val="72"/>
        </w:rPr>
        <w:t>合 同 书</w:t>
      </w:r>
    </w:p>
    <w:p>
      <w:pPr>
        <w:jc w:val="center"/>
        <w:rPr>
          <w:rFonts w:ascii="宋体" w:hAnsi="宋体"/>
          <w:b/>
          <w:color w:val="auto"/>
          <w:sz w:val="28"/>
          <w:szCs w:val="28"/>
        </w:rPr>
      </w:pPr>
    </w:p>
    <w:p>
      <w:pPr>
        <w:jc w:val="center"/>
        <w:rPr>
          <w:rFonts w:ascii="宋体" w:hAnsi="宋体"/>
          <w:b/>
          <w:color w:val="auto"/>
          <w:sz w:val="28"/>
          <w:szCs w:val="28"/>
        </w:rPr>
      </w:pPr>
    </w:p>
    <w:p>
      <w:pPr>
        <w:jc w:val="center"/>
        <w:rPr>
          <w:rFonts w:ascii="宋体" w:hAnsi="宋体"/>
          <w:b/>
          <w:color w:val="auto"/>
          <w:sz w:val="28"/>
          <w:szCs w:val="28"/>
        </w:rPr>
      </w:pPr>
    </w:p>
    <w:p>
      <w:pPr>
        <w:ind w:firstLine="1968" w:firstLineChars="700"/>
        <w:rPr>
          <w:rFonts w:ascii="宋体" w:hAnsi="宋体"/>
          <w:b/>
          <w:color w:val="auto"/>
          <w:sz w:val="28"/>
          <w:szCs w:val="28"/>
        </w:rPr>
      </w:pPr>
      <w:r>
        <w:rPr>
          <w:rFonts w:hint="eastAsia" w:ascii="宋体" w:hAnsi="宋体"/>
          <w:b/>
          <w:color w:val="auto"/>
          <w:sz w:val="28"/>
          <w:szCs w:val="28"/>
        </w:rPr>
        <w:t>采购编号：</w:t>
      </w:r>
    </w:p>
    <w:p>
      <w:pPr>
        <w:rPr>
          <w:rFonts w:ascii="宋体" w:hAnsi="宋体"/>
          <w:b/>
          <w:color w:val="auto"/>
          <w:sz w:val="28"/>
          <w:szCs w:val="28"/>
        </w:rPr>
      </w:pPr>
    </w:p>
    <w:p>
      <w:pPr>
        <w:ind w:firstLine="1968" w:firstLineChars="700"/>
        <w:rPr>
          <w:rFonts w:ascii="宋体" w:hAnsi="宋体"/>
          <w:b/>
          <w:color w:val="auto"/>
          <w:sz w:val="28"/>
          <w:szCs w:val="28"/>
        </w:rPr>
      </w:pPr>
      <w:r>
        <w:rPr>
          <w:rFonts w:hint="eastAsia" w:ascii="宋体" w:hAnsi="宋体"/>
          <w:b/>
          <w:color w:val="auto"/>
          <w:sz w:val="28"/>
          <w:szCs w:val="28"/>
        </w:rPr>
        <w:t>项目名称：</w:t>
      </w:r>
    </w:p>
    <w:p>
      <w:pPr>
        <w:rPr>
          <w:rFonts w:ascii="宋体" w:hAnsi="宋体"/>
          <w:b/>
          <w:color w:val="auto"/>
          <w:sz w:val="28"/>
          <w:szCs w:val="28"/>
        </w:rPr>
      </w:pPr>
    </w:p>
    <w:p>
      <w:pPr>
        <w:rPr>
          <w:rFonts w:ascii="宋体" w:hAnsi="宋体"/>
          <w:b/>
          <w:color w:val="auto"/>
          <w:sz w:val="28"/>
          <w:szCs w:val="28"/>
        </w:rPr>
      </w:pPr>
    </w:p>
    <w:p>
      <w:pPr>
        <w:rPr>
          <w:rFonts w:ascii="宋体" w:hAnsi="宋体"/>
          <w:b/>
          <w:color w:val="auto"/>
          <w:sz w:val="28"/>
          <w:szCs w:val="28"/>
        </w:rPr>
      </w:pPr>
    </w:p>
    <w:p>
      <w:pPr>
        <w:rPr>
          <w:rFonts w:ascii="宋体" w:hAnsi="宋体"/>
          <w:b/>
          <w:color w:val="auto"/>
          <w:sz w:val="28"/>
          <w:szCs w:val="28"/>
        </w:rPr>
      </w:pPr>
    </w:p>
    <w:p>
      <w:pPr>
        <w:rPr>
          <w:rFonts w:ascii="宋体" w:hAnsi="宋体"/>
          <w:b/>
          <w:color w:val="auto"/>
          <w:sz w:val="28"/>
          <w:szCs w:val="28"/>
        </w:rPr>
      </w:pPr>
    </w:p>
    <w:p>
      <w:pPr>
        <w:rPr>
          <w:rFonts w:ascii="宋体" w:hAnsi="宋体"/>
          <w:b/>
          <w:color w:val="auto"/>
          <w:sz w:val="28"/>
          <w:szCs w:val="28"/>
        </w:rPr>
      </w:pPr>
    </w:p>
    <w:p>
      <w:pPr>
        <w:rPr>
          <w:rFonts w:ascii="宋体" w:hAnsi="宋体"/>
          <w:b/>
          <w:color w:val="auto"/>
          <w:szCs w:val="21"/>
        </w:rPr>
      </w:pPr>
      <w:r>
        <w:rPr>
          <w:rFonts w:hint="eastAsia" w:ascii="宋体" w:hAnsi="宋体"/>
          <w:b/>
          <w:color w:val="auto"/>
          <w:szCs w:val="21"/>
        </w:rPr>
        <w:t>注：本合同仅为合同草案文本，合同签订双方可根据项目的具体要求进行修订和细化。</w:t>
      </w:r>
    </w:p>
    <w:p>
      <w:pPr>
        <w:ind w:firstLine="5670" w:firstLineChars="2700"/>
        <w:rPr>
          <w:rFonts w:ascii="宋体" w:hAnsi="宋体"/>
          <w:color w:val="auto"/>
          <w:szCs w:val="21"/>
        </w:rPr>
      </w:pPr>
    </w:p>
    <w:p>
      <w:pPr>
        <w:pageBreakBefore/>
        <w:tabs>
          <w:tab w:val="left" w:pos="720"/>
        </w:tabs>
        <w:spacing w:beforeLines="100" w:line="360" w:lineRule="auto"/>
        <w:rPr>
          <w:rFonts w:ascii="宋体" w:hAnsi="宋体" w:cs="宋体"/>
          <w:b/>
          <w:color w:val="auto"/>
          <w:szCs w:val="21"/>
        </w:rPr>
      </w:pPr>
      <w:r>
        <w:rPr>
          <w:rFonts w:hint="eastAsia" w:ascii="宋体" w:hAnsi="宋体" w:cs="宋体"/>
          <w:b/>
          <w:color w:val="auto"/>
          <w:szCs w:val="21"/>
        </w:rPr>
        <w:t>甲    方：</w:t>
      </w:r>
    </w:p>
    <w:p>
      <w:pPr>
        <w:spacing w:line="360" w:lineRule="auto"/>
        <w:rPr>
          <w:rFonts w:ascii="宋体" w:hAnsi="宋体" w:cs="宋体"/>
          <w:color w:val="auto"/>
          <w:szCs w:val="21"/>
        </w:rPr>
      </w:pPr>
      <w:r>
        <w:rPr>
          <w:rFonts w:hint="eastAsia" w:ascii="宋体" w:hAnsi="宋体" w:cs="宋体"/>
          <w:color w:val="auto"/>
          <w:szCs w:val="21"/>
        </w:rPr>
        <w:t>电    话：           　   传  真：           地  址：</w:t>
      </w:r>
    </w:p>
    <w:p>
      <w:pPr>
        <w:spacing w:line="360" w:lineRule="auto"/>
        <w:rPr>
          <w:rFonts w:ascii="宋体" w:hAnsi="宋体" w:cs="宋体"/>
          <w:b/>
          <w:color w:val="auto"/>
          <w:szCs w:val="21"/>
        </w:rPr>
      </w:pPr>
      <w:r>
        <w:rPr>
          <w:rFonts w:hint="eastAsia" w:ascii="宋体" w:hAnsi="宋体" w:cs="宋体"/>
          <w:b/>
          <w:color w:val="auto"/>
          <w:szCs w:val="21"/>
        </w:rPr>
        <w:t>乙    方：</w:t>
      </w:r>
    </w:p>
    <w:p>
      <w:pPr>
        <w:spacing w:line="360" w:lineRule="auto"/>
        <w:rPr>
          <w:rFonts w:ascii="宋体" w:hAnsi="宋体" w:cs="宋体"/>
          <w:color w:val="auto"/>
          <w:szCs w:val="21"/>
        </w:rPr>
      </w:pPr>
      <w:r>
        <w:rPr>
          <w:rFonts w:hint="eastAsia" w:ascii="宋体" w:hAnsi="宋体" w:cs="宋体"/>
          <w:color w:val="auto"/>
          <w:szCs w:val="21"/>
        </w:rPr>
        <w:t xml:space="preserve">电    话：                传  真：           地  址：   </w:t>
      </w:r>
    </w:p>
    <w:p>
      <w:pPr>
        <w:tabs>
          <w:tab w:val="left" w:pos="720"/>
        </w:tabs>
        <w:spacing w:line="360" w:lineRule="auto"/>
        <w:rPr>
          <w:rFonts w:ascii="宋体" w:hAnsi="宋体" w:cs="宋体"/>
          <w:b/>
          <w:color w:val="auto"/>
          <w:szCs w:val="21"/>
        </w:rPr>
      </w:pPr>
      <w:r>
        <w:rPr>
          <w:rFonts w:hint="eastAsia" w:ascii="宋体" w:hAnsi="宋体" w:cs="宋体"/>
          <w:color w:val="auto"/>
          <w:szCs w:val="21"/>
        </w:rPr>
        <w:t xml:space="preserve">项目名称：                                   采购编号：               </w:t>
      </w:r>
    </w:p>
    <w:p>
      <w:pPr>
        <w:spacing w:line="360" w:lineRule="auto"/>
        <w:rPr>
          <w:rFonts w:ascii="宋体" w:hAnsi="宋体" w:cs="宋体"/>
          <w:color w:val="auto"/>
          <w:szCs w:val="21"/>
        </w:rPr>
      </w:pPr>
    </w:p>
    <w:p>
      <w:pPr>
        <w:spacing w:line="360" w:lineRule="auto"/>
        <w:ind w:firstLine="555"/>
        <w:jc w:val="left"/>
        <w:rPr>
          <w:rFonts w:ascii="宋体" w:hAnsi="宋体" w:cs="宋体"/>
          <w:color w:val="auto"/>
          <w:szCs w:val="21"/>
        </w:rPr>
      </w:pPr>
      <w:r>
        <w:rPr>
          <w:rFonts w:hint="eastAsia" w:ascii="宋体" w:hAnsi="宋体" w:cs="宋体"/>
          <w:color w:val="auto"/>
          <w:szCs w:val="21"/>
        </w:rPr>
        <w:t>根据 项目（采购编号：）的采购结果及招标投标文件中的相关约定，按照《中华人民共和国政府采购法》、《中华人民共和国民法典》的规定，</w:t>
      </w:r>
      <w:r>
        <w:rPr>
          <w:rFonts w:hint="eastAsia" w:ascii="宋体" w:hAnsi="宋体" w:cs="宋体"/>
          <w:color w:val="auto"/>
          <w:kern w:val="28"/>
          <w:szCs w:val="21"/>
        </w:rPr>
        <w:t>经双方协商，</w:t>
      </w:r>
      <w:r>
        <w:rPr>
          <w:rFonts w:hint="eastAsia" w:ascii="宋体" w:hAnsi="宋体" w:cs="宋体"/>
          <w:color w:val="auto"/>
          <w:szCs w:val="21"/>
        </w:rPr>
        <w:t>本着平等互利和诚实信用的原则，</w:t>
      </w:r>
      <w:r>
        <w:rPr>
          <w:rFonts w:hint="eastAsia" w:ascii="宋体" w:hAnsi="宋体" w:cs="宋体"/>
          <w:color w:val="auto"/>
          <w:kern w:val="28"/>
          <w:szCs w:val="21"/>
        </w:rPr>
        <w:t>一致同意签订本合同如下。</w:t>
      </w:r>
    </w:p>
    <w:p>
      <w:pPr>
        <w:spacing w:line="360" w:lineRule="auto"/>
        <w:rPr>
          <w:rFonts w:ascii="宋体" w:hAnsi="宋体" w:cs="宋体"/>
          <w:b/>
          <w:bCs/>
          <w:color w:val="auto"/>
          <w:szCs w:val="21"/>
        </w:rPr>
      </w:pPr>
      <w:r>
        <w:rPr>
          <w:rFonts w:hint="eastAsia" w:ascii="宋体" w:hAnsi="宋体" w:cs="宋体"/>
          <w:b/>
          <w:bCs/>
          <w:color w:val="auto"/>
          <w:szCs w:val="21"/>
        </w:rPr>
        <w:t>一、</w:t>
      </w:r>
      <w:r>
        <w:rPr>
          <w:rFonts w:hint="eastAsia" w:ascii="宋体" w:hAnsi="宋体" w:cs="宋体"/>
          <w:b/>
          <w:bCs/>
          <w:color w:val="auto"/>
          <w:szCs w:val="21"/>
        </w:rPr>
        <w:tab/>
      </w:r>
      <w:r>
        <w:rPr>
          <w:rFonts w:hint="eastAsia" w:ascii="宋体" w:hAnsi="宋体" w:cs="宋体"/>
          <w:b/>
          <w:bCs/>
          <w:color w:val="auto"/>
          <w:szCs w:val="21"/>
        </w:rPr>
        <w:t>合同金额</w:t>
      </w:r>
    </w:p>
    <w:p>
      <w:pPr>
        <w:spacing w:line="360" w:lineRule="auto"/>
        <w:rPr>
          <w:rFonts w:ascii="宋体" w:hAnsi="宋体" w:cs="宋体"/>
          <w:color w:val="auto"/>
          <w:szCs w:val="21"/>
        </w:rPr>
      </w:pPr>
      <w:r>
        <w:rPr>
          <w:rFonts w:hint="eastAsia" w:ascii="宋体" w:hAnsi="宋体" w:cs="宋体"/>
          <w:color w:val="auto"/>
          <w:szCs w:val="21"/>
        </w:rPr>
        <w:t>合同金额为人民币（大写）（￥</w:t>
      </w:r>
      <w:r>
        <w:rPr>
          <w:rFonts w:hint="eastAsia" w:ascii="宋体" w:hAnsi="宋体" w:cs="宋体"/>
          <w:color w:val="auto"/>
          <w:szCs w:val="21"/>
        </w:rPr>
        <w:tab/>
      </w:r>
      <w:r>
        <w:rPr>
          <w:rFonts w:hint="eastAsia" w:ascii="宋体" w:hAnsi="宋体" w:cs="宋体"/>
          <w:color w:val="auto"/>
          <w:szCs w:val="21"/>
        </w:rPr>
        <w:t>元）。</w:t>
      </w:r>
    </w:p>
    <w:p>
      <w:pPr>
        <w:spacing w:line="360" w:lineRule="auto"/>
        <w:rPr>
          <w:rFonts w:ascii="宋体" w:hAnsi="宋体" w:cs="宋体"/>
          <w:b/>
          <w:bCs/>
          <w:color w:val="auto"/>
          <w:szCs w:val="21"/>
        </w:rPr>
      </w:pPr>
      <w:r>
        <w:rPr>
          <w:rFonts w:hint="eastAsia" w:ascii="宋体" w:hAnsi="宋体" w:cs="宋体"/>
          <w:b/>
          <w:bCs/>
          <w:color w:val="auto"/>
          <w:szCs w:val="21"/>
        </w:rPr>
        <w:t>二、</w:t>
      </w:r>
      <w:r>
        <w:rPr>
          <w:rFonts w:hint="eastAsia" w:ascii="宋体" w:hAnsi="宋体" w:cs="宋体"/>
          <w:b/>
          <w:bCs/>
          <w:color w:val="auto"/>
          <w:szCs w:val="21"/>
        </w:rPr>
        <w:tab/>
      </w:r>
      <w:r>
        <w:rPr>
          <w:rFonts w:hint="eastAsia" w:ascii="宋体" w:hAnsi="宋体" w:cs="宋体"/>
          <w:b/>
          <w:bCs/>
          <w:color w:val="auto"/>
          <w:szCs w:val="21"/>
        </w:rPr>
        <w:t>服务范围</w:t>
      </w:r>
    </w:p>
    <w:p>
      <w:pPr>
        <w:spacing w:line="360" w:lineRule="auto"/>
        <w:rPr>
          <w:rFonts w:ascii="宋体" w:hAnsi="宋体" w:cs="宋体"/>
          <w:color w:val="auto"/>
          <w:szCs w:val="21"/>
        </w:rPr>
      </w:pPr>
      <w:r>
        <w:rPr>
          <w:rFonts w:hint="eastAsia" w:ascii="宋体" w:hAnsi="宋体" w:cs="宋体"/>
          <w:color w:val="auto"/>
          <w:szCs w:val="21"/>
        </w:rPr>
        <w:t>甲方聘请乙方提供以下服务：</w:t>
      </w:r>
    </w:p>
    <w:p>
      <w:pPr>
        <w:numPr>
          <w:ilvl w:val="0"/>
          <w:numId w:val="30"/>
        </w:numPr>
        <w:spacing w:line="360" w:lineRule="auto"/>
        <w:rPr>
          <w:rFonts w:ascii="宋体" w:hAnsi="宋体" w:cs="宋体"/>
          <w:color w:val="auto"/>
          <w:szCs w:val="21"/>
        </w:rPr>
      </w:pPr>
    </w:p>
    <w:p>
      <w:pPr>
        <w:numPr>
          <w:ilvl w:val="0"/>
          <w:numId w:val="30"/>
        </w:numPr>
        <w:spacing w:line="360" w:lineRule="auto"/>
        <w:rPr>
          <w:rFonts w:ascii="宋体" w:hAnsi="宋体" w:cs="宋体"/>
          <w:color w:val="auto"/>
          <w:szCs w:val="21"/>
          <w:u w:val="single"/>
        </w:rPr>
      </w:pPr>
      <w:r>
        <w:rPr>
          <w:rFonts w:hint="eastAsia" w:ascii="宋体" w:hAnsi="宋体" w:cs="宋体"/>
          <w:color w:val="auto"/>
          <w:szCs w:val="21"/>
          <w:u w:val="single"/>
        </w:rPr>
        <w:tab/>
      </w:r>
    </w:p>
    <w:p>
      <w:pPr>
        <w:spacing w:line="360" w:lineRule="auto"/>
        <w:rPr>
          <w:rFonts w:ascii="宋体" w:hAnsi="宋体" w:cs="宋体"/>
          <w:color w:val="auto"/>
          <w:szCs w:val="21"/>
        </w:rPr>
      </w:pPr>
      <w:r>
        <w:rPr>
          <w:rFonts w:hint="eastAsia" w:ascii="宋体" w:hAnsi="宋体" w:cs="宋体"/>
          <w:color w:val="auto"/>
          <w:szCs w:val="21"/>
        </w:rPr>
        <w:t>……</w:t>
      </w:r>
    </w:p>
    <w:p>
      <w:pPr>
        <w:pStyle w:val="54"/>
        <w:spacing w:line="360" w:lineRule="auto"/>
        <w:rPr>
          <w:rFonts w:ascii="宋体" w:hAnsi="宋体" w:eastAsia="宋体" w:cs="宋体"/>
          <w:b/>
          <w:bCs/>
          <w:color w:val="auto"/>
          <w:sz w:val="21"/>
          <w:szCs w:val="21"/>
        </w:rPr>
      </w:pPr>
      <w:r>
        <w:rPr>
          <w:rFonts w:hint="eastAsia" w:eastAsia="宋体"/>
          <w:b/>
          <w:bCs/>
          <w:color w:val="auto"/>
        </w:rPr>
        <w:t>三、</w:t>
      </w:r>
      <w:r>
        <w:rPr>
          <w:rFonts w:hint="eastAsia" w:ascii="宋体" w:hAnsi="宋体" w:eastAsia="宋体" w:cs="宋体"/>
          <w:b/>
          <w:bCs/>
          <w:color w:val="auto"/>
          <w:sz w:val="21"/>
          <w:szCs w:val="21"/>
        </w:rPr>
        <w:t>甲方乙方的权利和义务</w:t>
      </w:r>
    </w:p>
    <w:p>
      <w:pPr>
        <w:pStyle w:val="54"/>
        <w:spacing w:line="360" w:lineRule="auto"/>
        <w:rPr>
          <w:rFonts w:ascii="宋体" w:hAnsi="宋体" w:eastAsia="宋体" w:cs="宋体"/>
          <w:color w:val="auto"/>
          <w:sz w:val="21"/>
          <w:szCs w:val="21"/>
        </w:rPr>
      </w:pPr>
      <w:r>
        <w:rPr>
          <w:rFonts w:hint="eastAsia" w:ascii="宋体" w:hAnsi="宋体" w:eastAsia="宋体" w:cs="宋体"/>
          <w:color w:val="auto"/>
          <w:sz w:val="21"/>
          <w:szCs w:val="21"/>
        </w:rPr>
        <w:t>1、甲方的权利和义务</w:t>
      </w:r>
    </w:p>
    <w:p>
      <w:pPr>
        <w:pStyle w:val="54"/>
        <w:spacing w:line="360" w:lineRule="auto"/>
        <w:rPr>
          <w:rFonts w:ascii="宋体" w:hAnsi="宋体" w:eastAsia="宋体" w:cs="宋体"/>
          <w:color w:val="auto"/>
          <w:sz w:val="21"/>
          <w:szCs w:val="21"/>
        </w:rPr>
      </w:pPr>
      <w:r>
        <w:rPr>
          <w:rFonts w:hint="eastAsia" w:ascii="宋体" w:hAnsi="宋体" w:eastAsia="宋体" w:cs="宋体"/>
          <w:color w:val="auto"/>
          <w:sz w:val="21"/>
          <w:szCs w:val="21"/>
        </w:rPr>
        <w:t>2、乙方的权利和义务</w:t>
      </w:r>
    </w:p>
    <w:p>
      <w:pPr>
        <w:pStyle w:val="54"/>
        <w:spacing w:line="360" w:lineRule="auto"/>
        <w:rPr>
          <w:rFonts w:ascii="宋体" w:hAnsi="宋体" w:eastAsia="宋体" w:cs="宋体"/>
          <w:b/>
          <w:bCs/>
          <w:color w:val="auto"/>
          <w:sz w:val="21"/>
          <w:szCs w:val="21"/>
        </w:rPr>
      </w:pPr>
      <w:r>
        <w:rPr>
          <w:rFonts w:hint="eastAsia" w:ascii="宋体" w:hAnsi="宋体" w:eastAsia="宋体" w:cs="宋体"/>
          <w:b/>
          <w:bCs/>
          <w:color w:val="auto"/>
          <w:sz w:val="21"/>
          <w:szCs w:val="21"/>
        </w:rPr>
        <w:t>四、服务期间（项目完成期限）</w:t>
      </w:r>
    </w:p>
    <w:p>
      <w:pPr>
        <w:pStyle w:val="54"/>
        <w:spacing w:line="360" w:lineRule="auto"/>
        <w:rPr>
          <w:rFonts w:ascii="宋体" w:hAnsi="宋体" w:eastAsia="宋体" w:cs="宋体"/>
          <w:color w:val="auto"/>
          <w:sz w:val="21"/>
          <w:szCs w:val="21"/>
        </w:rPr>
      </w:pPr>
      <w:r>
        <w:rPr>
          <w:rFonts w:hint="eastAsia" w:ascii="宋体" w:hAnsi="宋体" w:eastAsia="宋体" w:cs="宋体"/>
          <w:color w:val="auto"/>
          <w:sz w:val="21"/>
          <w:szCs w:val="21"/>
        </w:rPr>
        <w:t xml:space="preserve">1、委托服务期间自 </w:t>
      </w:r>
      <w:r>
        <w:rPr>
          <w:rFonts w:hint="eastAsia" w:ascii="宋体" w:hAnsi="宋体" w:eastAsia="宋体" w:cs="宋体"/>
          <w:color w:val="auto"/>
          <w:sz w:val="21"/>
          <w:szCs w:val="21"/>
        </w:rPr>
        <w:tab/>
      </w:r>
      <w:r>
        <w:rPr>
          <w:rFonts w:hint="eastAsia" w:ascii="宋体" w:hAnsi="宋体" w:eastAsia="宋体" w:cs="宋体"/>
          <w:color w:val="auto"/>
          <w:sz w:val="21"/>
          <w:szCs w:val="21"/>
        </w:rPr>
        <w:t xml:space="preserve">年 </w:t>
      </w:r>
      <w:r>
        <w:rPr>
          <w:rFonts w:hint="eastAsia" w:ascii="宋体" w:hAnsi="宋体" w:eastAsia="宋体" w:cs="宋体"/>
          <w:color w:val="auto"/>
          <w:sz w:val="21"/>
          <w:szCs w:val="21"/>
        </w:rPr>
        <w:tab/>
      </w:r>
      <w:r>
        <w:rPr>
          <w:rFonts w:hint="eastAsia" w:ascii="宋体" w:hAnsi="宋体" w:eastAsia="宋体" w:cs="宋体"/>
          <w:color w:val="auto"/>
          <w:sz w:val="21"/>
          <w:szCs w:val="21"/>
        </w:rPr>
        <w:t xml:space="preserve">月至 </w:t>
      </w:r>
      <w:r>
        <w:rPr>
          <w:rFonts w:hint="eastAsia" w:ascii="宋体" w:hAnsi="宋体" w:eastAsia="宋体" w:cs="宋体"/>
          <w:color w:val="auto"/>
          <w:sz w:val="21"/>
          <w:szCs w:val="21"/>
        </w:rPr>
        <w:tab/>
      </w:r>
      <w:r>
        <w:rPr>
          <w:rFonts w:hint="eastAsia" w:ascii="宋体" w:hAnsi="宋体" w:eastAsia="宋体" w:cs="宋体"/>
          <w:color w:val="auto"/>
          <w:sz w:val="21"/>
          <w:szCs w:val="21"/>
        </w:rPr>
        <w:t xml:space="preserve">年 </w:t>
      </w:r>
      <w:r>
        <w:rPr>
          <w:rFonts w:hint="eastAsia" w:ascii="宋体" w:hAnsi="宋体" w:eastAsia="宋体" w:cs="宋体"/>
          <w:color w:val="auto"/>
          <w:sz w:val="21"/>
          <w:szCs w:val="21"/>
        </w:rPr>
        <w:tab/>
      </w:r>
      <w:r>
        <w:rPr>
          <w:rFonts w:hint="eastAsia" w:ascii="宋体" w:hAnsi="宋体" w:eastAsia="宋体" w:cs="宋体"/>
          <w:color w:val="auto"/>
          <w:sz w:val="21"/>
          <w:szCs w:val="21"/>
        </w:rPr>
        <w:t>月止。</w:t>
      </w:r>
    </w:p>
    <w:p>
      <w:pPr>
        <w:pStyle w:val="54"/>
        <w:spacing w:line="360" w:lineRule="auto"/>
        <w:rPr>
          <w:rFonts w:ascii="宋体" w:hAnsi="宋体" w:eastAsia="宋体" w:cs="宋体"/>
          <w:b/>
          <w:bCs/>
          <w:color w:val="auto"/>
          <w:sz w:val="21"/>
          <w:szCs w:val="21"/>
        </w:rPr>
      </w:pPr>
      <w:r>
        <w:rPr>
          <w:rFonts w:hint="eastAsia" w:ascii="宋体" w:hAnsi="宋体" w:eastAsia="宋体" w:cs="宋体"/>
          <w:b/>
          <w:bCs/>
          <w:color w:val="auto"/>
          <w:sz w:val="21"/>
          <w:szCs w:val="21"/>
        </w:rPr>
        <w:t>五、付款方式</w:t>
      </w:r>
    </w:p>
    <w:p>
      <w:pPr>
        <w:pStyle w:val="54"/>
        <w:spacing w:line="360" w:lineRule="auto"/>
        <w:rPr>
          <w:rFonts w:ascii="宋体" w:hAnsi="宋体" w:eastAsia="宋体" w:cs="宋体"/>
          <w:b/>
          <w:bCs/>
          <w:color w:val="auto"/>
          <w:sz w:val="21"/>
          <w:szCs w:val="21"/>
        </w:rPr>
      </w:pPr>
    </w:p>
    <w:p>
      <w:pPr>
        <w:spacing w:line="360" w:lineRule="auto"/>
        <w:rPr>
          <w:rFonts w:ascii="宋体" w:hAnsi="宋体" w:cs="宋体"/>
          <w:b/>
          <w:bCs/>
          <w:color w:val="auto"/>
          <w:szCs w:val="21"/>
        </w:rPr>
      </w:pPr>
      <w:r>
        <w:rPr>
          <w:rFonts w:hint="eastAsia" w:ascii="宋体" w:hAnsi="宋体" w:cs="宋体"/>
          <w:b/>
          <w:bCs/>
          <w:color w:val="auto"/>
          <w:szCs w:val="21"/>
        </w:rPr>
        <w:t>六、 知识产权归属</w:t>
      </w:r>
    </w:p>
    <w:p>
      <w:pPr>
        <w:pStyle w:val="54"/>
        <w:rPr>
          <w:color w:val="auto"/>
        </w:rPr>
      </w:pPr>
    </w:p>
    <w:p>
      <w:pPr>
        <w:spacing w:line="360" w:lineRule="auto"/>
        <w:rPr>
          <w:rFonts w:ascii="宋体" w:hAnsi="宋体" w:cs="宋体"/>
          <w:b/>
          <w:bCs/>
          <w:color w:val="auto"/>
          <w:szCs w:val="21"/>
        </w:rPr>
      </w:pPr>
      <w:r>
        <w:rPr>
          <w:rFonts w:hint="eastAsia" w:ascii="宋体" w:hAnsi="宋体" w:cs="宋体"/>
          <w:b/>
          <w:bCs/>
          <w:color w:val="auto"/>
          <w:szCs w:val="21"/>
        </w:rPr>
        <w:t>七 、 保 密</w:t>
      </w:r>
    </w:p>
    <w:p>
      <w:pPr>
        <w:pStyle w:val="54"/>
        <w:rPr>
          <w:color w:val="auto"/>
        </w:rPr>
      </w:pPr>
    </w:p>
    <w:p>
      <w:pPr>
        <w:spacing w:line="360" w:lineRule="auto"/>
        <w:rPr>
          <w:rFonts w:ascii="宋体" w:hAnsi="宋体" w:cs="宋体"/>
          <w:b/>
          <w:bCs/>
          <w:color w:val="auto"/>
          <w:szCs w:val="21"/>
        </w:rPr>
      </w:pPr>
      <w:r>
        <w:rPr>
          <w:rFonts w:hint="eastAsia" w:ascii="宋体" w:hAnsi="宋体" w:cs="宋体"/>
          <w:b/>
          <w:bCs/>
          <w:color w:val="auto"/>
          <w:szCs w:val="21"/>
        </w:rPr>
        <w:t>八、 违约责任与赔偿损失</w:t>
      </w:r>
    </w:p>
    <w:p>
      <w:pPr>
        <w:numPr>
          <w:ilvl w:val="0"/>
          <w:numId w:val="31"/>
        </w:numPr>
        <w:spacing w:line="360" w:lineRule="auto"/>
        <w:rPr>
          <w:rFonts w:ascii="宋体" w:hAnsi="宋体" w:cs="宋体"/>
          <w:color w:val="auto"/>
          <w:szCs w:val="21"/>
        </w:rPr>
      </w:pPr>
      <w:r>
        <w:rPr>
          <w:rFonts w:hint="eastAsia" w:ascii="宋体" w:hAnsi="宋体" w:cs="宋体"/>
          <w:color w:val="auto"/>
          <w:szCs w:val="21"/>
        </w:rPr>
        <w:t>乙方提供的服务不符合本合同规定的，甲方有权拒收，并且乙方须向甲方支付本合同总价 20%的违约金。</w:t>
      </w:r>
    </w:p>
    <w:p>
      <w:pPr>
        <w:numPr>
          <w:ilvl w:val="0"/>
          <w:numId w:val="31"/>
        </w:numPr>
        <w:spacing w:line="360" w:lineRule="auto"/>
        <w:rPr>
          <w:rFonts w:ascii="宋体" w:hAnsi="宋体" w:cs="宋体"/>
          <w:color w:val="auto"/>
          <w:szCs w:val="21"/>
        </w:rPr>
      </w:pPr>
      <w:r>
        <w:rPr>
          <w:rFonts w:hint="eastAsia" w:ascii="宋体" w:hAnsi="宋体" w:cs="宋体"/>
          <w:color w:val="auto"/>
          <w:szCs w:val="21"/>
        </w:rPr>
        <w:t>乙方未能按本合同规定的交货时间提供服务，从逾期之日起每日按本合同总价 3‰ 的数额向甲方支付违约金；逾期半个月以上的，甲方有权终止合同，由此造成的甲方经济损失由乙方承担。</w:t>
      </w:r>
    </w:p>
    <w:p>
      <w:pPr>
        <w:numPr>
          <w:ilvl w:val="0"/>
          <w:numId w:val="31"/>
        </w:numPr>
        <w:spacing w:line="360" w:lineRule="auto"/>
        <w:rPr>
          <w:rFonts w:ascii="宋体" w:hAnsi="宋体" w:cs="宋体"/>
          <w:color w:val="auto"/>
          <w:szCs w:val="21"/>
        </w:rPr>
      </w:pPr>
      <w:r>
        <w:rPr>
          <w:rFonts w:hint="eastAsia" w:ascii="宋体" w:hAnsi="宋体" w:cs="宋体"/>
          <w:color w:val="auto"/>
          <w:szCs w:val="21"/>
        </w:rPr>
        <w:t>甲方无正当理由拒收接受服务，到期拒付服务款项的，甲方向乙方偿付本合同总的5%的违约金。甲方人逾期付款，则每日按本合同总价的 3‰向乙方偿付违约金。</w:t>
      </w:r>
    </w:p>
    <w:p>
      <w:pPr>
        <w:numPr>
          <w:ilvl w:val="0"/>
          <w:numId w:val="31"/>
        </w:numPr>
        <w:spacing w:line="360" w:lineRule="auto"/>
        <w:rPr>
          <w:rFonts w:ascii="宋体" w:hAnsi="宋体" w:cs="宋体"/>
          <w:color w:val="auto"/>
          <w:szCs w:val="21"/>
        </w:rPr>
      </w:pPr>
      <w:r>
        <w:rPr>
          <w:rFonts w:hint="eastAsia" w:ascii="宋体" w:hAnsi="宋体" w:cs="宋体"/>
          <w:color w:val="auto"/>
          <w:szCs w:val="21"/>
        </w:rPr>
        <w:t>对于因甲方原因导致变更、中止或者终止政府采购合同的，甲方应当依照以下合同约定对供应商受到的损失予以赔偿或者补偿：</w:t>
      </w:r>
    </w:p>
    <w:p>
      <w:pPr>
        <w:numPr>
          <w:ilvl w:val="0"/>
          <w:numId w:val="31"/>
        </w:numPr>
        <w:spacing w:line="360" w:lineRule="auto"/>
        <w:rPr>
          <w:rFonts w:ascii="宋体" w:hAnsi="宋体" w:cs="宋体"/>
          <w:color w:val="auto"/>
          <w:szCs w:val="21"/>
        </w:rPr>
      </w:pPr>
      <w:r>
        <w:rPr>
          <w:rFonts w:hint="eastAsia" w:ascii="宋体" w:hAnsi="宋体" w:cs="宋体"/>
          <w:color w:val="auto"/>
          <w:szCs w:val="21"/>
        </w:rPr>
        <w:t>其它违约责任按《中华人民共和国民法典》处理。</w:t>
      </w:r>
    </w:p>
    <w:p>
      <w:pPr>
        <w:spacing w:line="360" w:lineRule="auto"/>
        <w:rPr>
          <w:rFonts w:ascii="宋体" w:hAnsi="宋体" w:cs="宋体"/>
          <w:b/>
          <w:bCs/>
          <w:color w:val="auto"/>
          <w:szCs w:val="21"/>
        </w:rPr>
      </w:pPr>
      <w:r>
        <w:rPr>
          <w:rFonts w:hint="eastAsia" w:ascii="宋体" w:hAnsi="宋体" w:cs="宋体"/>
          <w:b/>
          <w:bCs/>
          <w:color w:val="auto"/>
          <w:szCs w:val="21"/>
        </w:rPr>
        <w:t>九、 争议的解决</w:t>
      </w:r>
    </w:p>
    <w:p>
      <w:pPr>
        <w:spacing w:line="360" w:lineRule="auto"/>
        <w:rPr>
          <w:rFonts w:ascii="宋体" w:hAnsi="宋体" w:cs="宋体"/>
          <w:color w:val="auto"/>
          <w:szCs w:val="21"/>
        </w:rPr>
      </w:pPr>
      <w:r>
        <w:rPr>
          <w:rFonts w:hint="eastAsia" w:ascii="宋体" w:hAnsi="宋体" w:cs="宋体"/>
          <w:color w:val="auto"/>
          <w:szCs w:val="21"/>
        </w:rPr>
        <w:t>1.合同执行过程中发生的任何争议，如双方不能通过友好协商解决，按相关法律法规处理。</w:t>
      </w:r>
    </w:p>
    <w:p>
      <w:pPr>
        <w:spacing w:line="360" w:lineRule="auto"/>
        <w:rPr>
          <w:rFonts w:ascii="宋体" w:hAnsi="宋体" w:cs="宋体"/>
          <w:b/>
          <w:bCs/>
          <w:color w:val="auto"/>
          <w:szCs w:val="21"/>
        </w:rPr>
      </w:pPr>
      <w:r>
        <w:rPr>
          <w:rFonts w:hint="eastAsia" w:ascii="宋体" w:hAnsi="宋体" w:cs="宋体"/>
          <w:b/>
          <w:bCs/>
          <w:color w:val="auto"/>
          <w:szCs w:val="21"/>
        </w:rPr>
        <w:t>十、 不可抗力</w:t>
      </w:r>
    </w:p>
    <w:p>
      <w:pPr>
        <w:spacing w:line="360" w:lineRule="auto"/>
        <w:rPr>
          <w:rFonts w:ascii="宋体" w:hAnsi="宋体" w:cs="宋体"/>
          <w:color w:val="auto"/>
          <w:szCs w:val="21"/>
        </w:rPr>
      </w:pPr>
      <w:r>
        <w:rPr>
          <w:rFonts w:hint="eastAsia" w:ascii="宋体" w:hAnsi="宋体" w:cs="宋体"/>
          <w:color w:val="auto"/>
          <w:szCs w:val="21"/>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spacing w:line="360" w:lineRule="auto"/>
        <w:rPr>
          <w:rFonts w:ascii="宋体" w:hAnsi="宋体" w:cs="宋体"/>
          <w:b/>
          <w:bCs/>
          <w:color w:val="auto"/>
          <w:szCs w:val="21"/>
        </w:rPr>
      </w:pPr>
      <w:r>
        <w:rPr>
          <w:rFonts w:hint="eastAsia" w:ascii="宋体" w:hAnsi="宋体" w:cs="宋体"/>
          <w:b/>
          <w:bCs/>
          <w:color w:val="auto"/>
          <w:szCs w:val="21"/>
        </w:rPr>
        <w:t>十一、  税费</w:t>
      </w:r>
    </w:p>
    <w:p>
      <w:pPr>
        <w:spacing w:line="360" w:lineRule="auto"/>
        <w:rPr>
          <w:rFonts w:ascii="宋体" w:hAnsi="宋体" w:cs="宋体"/>
          <w:color w:val="auto"/>
          <w:szCs w:val="21"/>
        </w:rPr>
      </w:pPr>
      <w:r>
        <w:rPr>
          <w:rFonts w:hint="eastAsia" w:ascii="宋体" w:hAnsi="宋体" w:cs="宋体"/>
          <w:color w:val="auto"/>
          <w:szCs w:val="21"/>
        </w:rPr>
        <w:t>1.在中国境内、外发生的与本合同执行有关的一切税费均由乙方负担。</w:t>
      </w:r>
    </w:p>
    <w:p>
      <w:pPr>
        <w:spacing w:line="360" w:lineRule="auto"/>
        <w:rPr>
          <w:rFonts w:ascii="宋体" w:hAnsi="宋体" w:cs="宋体"/>
          <w:b/>
          <w:bCs/>
          <w:color w:val="auto"/>
          <w:szCs w:val="21"/>
        </w:rPr>
      </w:pPr>
      <w:r>
        <w:rPr>
          <w:rFonts w:hint="eastAsia" w:ascii="宋体" w:hAnsi="宋体" w:cs="宋体"/>
          <w:b/>
          <w:bCs/>
          <w:color w:val="auto"/>
          <w:szCs w:val="21"/>
        </w:rPr>
        <w:t>十二、 其它</w:t>
      </w:r>
    </w:p>
    <w:p>
      <w:pPr>
        <w:numPr>
          <w:ilvl w:val="0"/>
          <w:numId w:val="32"/>
        </w:numPr>
        <w:spacing w:line="360" w:lineRule="auto"/>
        <w:rPr>
          <w:rFonts w:ascii="宋体" w:hAnsi="宋体" w:cs="宋体"/>
          <w:color w:val="auto"/>
          <w:szCs w:val="21"/>
        </w:rPr>
      </w:pPr>
      <w:r>
        <w:rPr>
          <w:rFonts w:hint="eastAsia" w:ascii="宋体" w:hAnsi="宋体" w:cs="宋体"/>
          <w:color w:val="auto"/>
          <w:szCs w:val="21"/>
        </w:rPr>
        <w:t>本合同所有附件、招标文件、投标文件、中标通知书均为合同的有效组成部分，与本合同具有同等法律效力。</w:t>
      </w:r>
    </w:p>
    <w:p>
      <w:pPr>
        <w:numPr>
          <w:ilvl w:val="0"/>
          <w:numId w:val="32"/>
        </w:numPr>
        <w:spacing w:line="360" w:lineRule="auto"/>
        <w:rPr>
          <w:rFonts w:ascii="宋体" w:hAnsi="宋体" w:cs="宋体"/>
          <w:color w:val="auto"/>
          <w:szCs w:val="21"/>
        </w:rPr>
      </w:pPr>
      <w:r>
        <w:rPr>
          <w:rFonts w:hint="eastAsia" w:ascii="宋体" w:hAnsi="宋体" w:cs="宋体"/>
          <w:color w:val="auto"/>
          <w:szCs w:val="21"/>
        </w:rPr>
        <w:t>在执行本合同的过程中，所有经双方签署确认的文件（包括会议纪要、补充协议、往来信函）即成为本合同的有效组成部分。</w:t>
      </w:r>
    </w:p>
    <w:p>
      <w:pPr>
        <w:numPr>
          <w:ilvl w:val="0"/>
          <w:numId w:val="32"/>
        </w:numPr>
        <w:spacing w:line="360" w:lineRule="auto"/>
        <w:rPr>
          <w:rFonts w:ascii="宋体" w:hAnsi="宋体" w:cs="宋体"/>
          <w:color w:val="auto"/>
          <w:szCs w:val="21"/>
        </w:rPr>
      </w:pPr>
      <w:r>
        <w:rPr>
          <w:rFonts w:hint="eastAsia" w:ascii="宋体" w:hAnsi="宋体" w:cs="宋体"/>
          <w:color w:val="auto"/>
          <w:szCs w:val="21"/>
        </w:rPr>
        <w:t>如一方地址、电话、传真号码有变更，应在变更当日内书面通知对方，否则，应承担相应责任。</w:t>
      </w:r>
    </w:p>
    <w:p>
      <w:pPr>
        <w:numPr>
          <w:ilvl w:val="0"/>
          <w:numId w:val="32"/>
        </w:numPr>
        <w:spacing w:line="360" w:lineRule="auto"/>
        <w:rPr>
          <w:rFonts w:ascii="宋体" w:hAnsi="宋体" w:cs="宋体"/>
          <w:color w:val="auto"/>
          <w:szCs w:val="21"/>
        </w:rPr>
      </w:pPr>
      <w:r>
        <w:rPr>
          <w:rFonts w:hint="eastAsia" w:ascii="宋体" w:hAnsi="宋体" w:cs="宋体"/>
          <w:color w:val="auto"/>
          <w:szCs w:val="21"/>
        </w:rPr>
        <w:t>除甲方事先书面同意外，乙方不得部分或全部转让其应履行的合同项下的义务。</w:t>
      </w:r>
    </w:p>
    <w:p>
      <w:pPr>
        <w:spacing w:line="360" w:lineRule="auto"/>
        <w:rPr>
          <w:rFonts w:ascii="宋体" w:hAnsi="宋体" w:cs="宋体"/>
          <w:b/>
          <w:bCs/>
          <w:color w:val="auto"/>
          <w:szCs w:val="21"/>
        </w:rPr>
      </w:pPr>
      <w:r>
        <w:rPr>
          <w:rFonts w:hint="eastAsia" w:ascii="宋体" w:hAnsi="宋体" w:cs="宋体"/>
          <w:b/>
          <w:bCs/>
          <w:color w:val="auto"/>
          <w:szCs w:val="21"/>
        </w:rPr>
        <w:t>十三、</w:t>
      </w:r>
      <w:r>
        <w:rPr>
          <w:rFonts w:hint="eastAsia" w:ascii="宋体" w:hAnsi="宋体" w:cs="宋体"/>
          <w:b/>
          <w:bCs/>
          <w:color w:val="auto"/>
          <w:szCs w:val="21"/>
        </w:rPr>
        <w:tab/>
      </w:r>
      <w:r>
        <w:rPr>
          <w:rFonts w:hint="eastAsia" w:ascii="宋体" w:hAnsi="宋体" w:cs="宋体"/>
          <w:b/>
          <w:bCs/>
          <w:color w:val="auto"/>
          <w:szCs w:val="21"/>
        </w:rPr>
        <w:t>合同生效</w:t>
      </w:r>
    </w:p>
    <w:p>
      <w:pPr>
        <w:numPr>
          <w:ilvl w:val="0"/>
          <w:numId w:val="33"/>
        </w:numPr>
        <w:spacing w:line="360" w:lineRule="auto"/>
        <w:rPr>
          <w:rFonts w:ascii="宋体" w:hAnsi="宋体" w:cs="宋体"/>
          <w:color w:val="auto"/>
          <w:szCs w:val="21"/>
        </w:rPr>
      </w:pPr>
      <w:r>
        <w:rPr>
          <w:rFonts w:hint="eastAsia" w:ascii="宋体" w:hAnsi="宋体" w:cs="宋体"/>
          <w:color w:val="auto"/>
          <w:szCs w:val="21"/>
        </w:rPr>
        <w:t>本合同在甲乙双方法人代表或其授权代表签字盖章后生效。</w:t>
      </w:r>
    </w:p>
    <w:p>
      <w:pPr>
        <w:numPr>
          <w:ilvl w:val="0"/>
          <w:numId w:val="33"/>
        </w:numPr>
        <w:spacing w:line="360" w:lineRule="auto"/>
        <w:rPr>
          <w:rFonts w:ascii="宋体" w:hAnsi="宋体" w:cs="宋体"/>
          <w:color w:val="auto"/>
          <w:szCs w:val="21"/>
        </w:rPr>
      </w:pPr>
      <w:r>
        <w:rPr>
          <w:rFonts w:hint="eastAsia" w:ascii="宋体" w:hAnsi="宋体" w:cs="宋体"/>
          <w:color w:val="auto"/>
          <w:szCs w:val="21"/>
        </w:rPr>
        <w:t xml:space="preserve">合同一式 </w:t>
      </w:r>
      <w:r>
        <w:rPr>
          <w:rFonts w:hint="eastAsia" w:ascii="宋体" w:hAnsi="宋体" w:cs="宋体"/>
          <w:color w:val="auto"/>
          <w:szCs w:val="21"/>
          <w:u w:val="single"/>
        </w:rPr>
        <w:tab/>
      </w:r>
      <w:r>
        <w:rPr>
          <w:rFonts w:hint="eastAsia" w:ascii="宋体" w:hAnsi="宋体" w:cs="宋体"/>
          <w:color w:val="auto"/>
          <w:szCs w:val="21"/>
        </w:rPr>
        <w:t>份。</w:t>
      </w:r>
    </w:p>
    <w:p>
      <w:pPr>
        <w:numPr>
          <w:ilvl w:val="0"/>
          <w:numId w:val="33"/>
        </w:numPr>
        <w:spacing w:line="360" w:lineRule="auto"/>
        <w:rPr>
          <w:rFonts w:ascii="宋体" w:hAnsi="宋体" w:cs="宋体"/>
          <w:color w:val="auto"/>
          <w:szCs w:val="21"/>
        </w:rPr>
      </w:pPr>
      <w:r>
        <w:rPr>
          <w:rFonts w:hint="eastAsia" w:ascii="宋体" w:hAnsi="宋体" w:cs="宋体"/>
          <w:color w:val="auto"/>
          <w:szCs w:val="21"/>
        </w:rPr>
        <w:t>本项目合同订立后，应提供一份至</w:t>
      </w:r>
      <w:r>
        <w:rPr>
          <w:rFonts w:hint="eastAsia" w:ascii="宋体" w:hAnsi="宋体" w:cs="宋体"/>
          <w:color w:val="auto"/>
          <w:szCs w:val="21"/>
          <w:u w:val="single"/>
        </w:rPr>
        <w:t>广东业信采购招标有限公司</w:t>
      </w:r>
      <w:r>
        <w:rPr>
          <w:rFonts w:hint="eastAsia" w:ascii="宋体" w:hAnsi="宋体" w:cs="宋体"/>
          <w:color w:val="auto"/>
          <w:szCs w:val="21"/>
        </w:rPr>
        <w:t xml:space="preserve">备案； </w:t>
      </w:r>
    </w:p>
    <w:p>
      <w:pPr>
        <w:spacing w:line="360" w:lineRule="auto"/>
        <w:rPr>
          <w:rFonts w:ascii="宋体" w:hAnsi="宋体" w:cs="宋体"/>
          <w:color w:val="auto"/>
          <w:szCs w:val="21"/>
        </w:rPr>
      </w:pPr>
    </w:p>
    <w:p>
      <w:pPr>
        <w:pStyle w:val="54"/>
        <w:spacing w:line="360" w:lineRule="auto"/>
        <w:rPr>
          <w:rFonts w:ascii="宋体" w:hAnsi="宋体" w:eastAsia="宋体" w:cs="宋体"/>
          <w:color w:val="auto"/>
          <w:sz w:val="21"/>
          <w:szCs w:val="21"/>
        </w:rPr>
      </w:pPr>
    </w:p>
    <w:p>
      <w:pPr>
        <w:spacing w:line="360" w:lineRule="auto"/>
        <w:rPr>
          <w:rFonts w:ascii="宋体" w:hAnsi="宋体" w:cs="宋体"/>
          <w:color w:val="auto"/>
          <w:szCs w:val="21"/>
        </w:rPr>
      </w:pPr>
    </w:p>
    <w:p>
      <w:pPr>
        <w:spacing w:line="360" w:lineRule="auto"/>
        <w:rPr>
          <w:rFonts w:ascii="宋体" w:hAnsi="宋体" w:cs="宋体"/>
          <w:b/>
          <w:color w:val="auto"/>
          <w:szCs w:val="21"/>
        </w:rPr>
      </w:pPr>
      <w:r>
        <w:rPr>
          <w:rFonts w:hint="eastAsia" w:ascii="宋体" w:hAnsi="宋体" w:cs="宋体"/>
          <w:b/>
          <w:color w:val="auto"/>
          <w:szCs w:val="21"/>
        </w:rPr>
        <w:t>甲方（盖章）：                         乙方（盖章）：</w:t>
      </w:r>
    </w:p>
    <w:p>
      <w:pPr>
        <w:spacing w:line="360" w:lineRule="auto"/>
        <w:rPr>
          <w:rFonts w:ascii="宋体" w:hAnsi="宋体" w:cs="宋体"/>
          <w:b/>
          <w:color w:val="auto"/>
          <w:szCs w:val="21"/>
        </w:rPr>
      </w:pPr>
      <w:r>
        <w:rPr>
          <w:rFonts w:hint="eastAsia" w:ascii="宋体" w:hAnsi="宋体" w:cs="宋体"/>
          <w:b/>
          <w:color w:val="auto"/>
          <w:szCs w:val="21"/>
        </w:rPr>
        <w:t xml:space="preserve">代表：                                代表： </w:t>
      </w:r>
    </w:p>
    <w:p>
      <w:pPr>
        <w:spacing w:line="360" w:lineRule="auto"/>
        <w:rPr>
          <w:rFonts w:ascii="宋体" w:hAnsi="宋体" w:cs="宋体"/>
          <w:color w:val="auto"/>
          <w:szCs w:val="21"/>
        </w:rPr>
      </w:pPr>
      <w:r>
        <w:rPr>
          <w:rFonts w:hint="eastAsia" w:ascii="宋体" w:hAnsi="宋体" w:cs="宋体"/>
          <w:color w:val="auto"/>
          <w:szCs w:val="21"/>
        </w:rPr>
        <w:t>签定地点：</w:t>
      </w:r>
    </w:p>
    <w:p>
      <w:pPr>
        <w:spacing w:line="360" w:lineRule="auto"/>
        <w:rPr>
          <w:rFonts w:ascii="宋体" w:hAnsi="宋体" w:cs="宋体"/>
          <w:color w:val="auto"/>
          <w:szCs w:val="21"/>
        </w:rPr>
      </w:pPr>
      <w:r>
        <w:rPr>
          <w:rFonts w:hint="eastAsia" w:ascii="宋体" w:hAnsi="宋体" w:cs="宋体"/>
          <w:color w:val="auto"/>
          <w:szCs w:val="21"/>
        </w:rPr>
        <w:t xml:space="preserve">签定日期：   年   月  日              签定日期：    年   月   日    </w:t>
      </w:r>
    </w:p>
    <w:p>
      <w:pPr>
        <w:spacing w:line="360" w:lineRule="auto"/>
        <w:ind w:firstLine="4042" w:firstLineChars="1925"/>
        <w:rPr>
          <w:rFonts w:ascii="宋体" w:hAnsi="宋体" w:cs="宋体"/>
          <w:color w:val="auto"/>
          <w:szCs w:val="21"/>
        </w:rPr>
      </w:pPr>
      <w:r>
        <w:rPr>
          <w:rFonts w:hint="eastAsia" w:ascii="宋体" w:hAnsi="宋体" w:cs="宋体"/>
          <w:color w:val="auto"/>
          <w:szCs w:val="21"/>
        </w:rPr>
        <w:t>开户名称：</w:t>
      </w:r>
    </w:p>
    <w:p>
      <w:pPr>
        <w:spacing w:line="360" w:lineRule="auto"/>
        <w:ind w:firstLine="4042" w:firstLineChars="1925"/>
        <w:rPr>
          <w:rFonts w:ascii="宋体" w:hAnsi="宋体" w:cs="宋体"/>
          <w:color w:val="auto"/>
          <w:szCs w:val="21"/>
        </w:rPr>
      </w:pPr>
      <w:r>
        <w:rPr>
          <w:rFonts w:hint="eastAsia" w:ascii="宋体" w:hAnsi="宋体" w:cs="宋体"/>
          <w:color w:val="auto"/>
          <w:szCs w:val="21"/>
        </w:rPr>
        <w:t>银行帐号：</w:t>
      </w:r>
    </w:p>
    <w:p>
      <w:pPr>
        <w:spacing w:line="360" w:lineRule="auto"/>
        <w:ind w:firstLine="4042" w:firstLineChars="1925"/>
        <w:rPr>
          <w:rFonts w:ascii="宋体" w:hAnsi="宋体"/>
          <w:bCs/>
          <w:color w:val="auto"/>
          <w:szCs w:val="21"/>
        </w:rPr>
      </w:pPr>
      <w:r>
        <w:rPr>
          <w:rFonts w:hint="eastAsia" w:ascii="宋体" w:hAnsi="宋体" w:cs="宋体"/>
          <w:color w:val="auto"/>
          <w:szCs w:val="21"/>
        </w:rPr>
        <w:t>开 户 行：</w:t>
      </w:r>
    </w:p>
    <w:p>
      <w:pPr>
        <w:rPr>
          <w:color w:val="auto"/>
        </w:rPr>
      </w:pPr>
    </w:p>
    <w:p>
      <w:pPr>
        <w:tabs>
          <w:tab w:val="left" w:pos="1004"/>
        </w:tabs>
        <w:spacing w:line="440" w:lineRule="exact"/>
        <w:ind w:right="31" w:rightChars="15"/>
        <w:rPr>
          <w:rFonts w:ascii="宋体" w:hAnsi="宋体"/>
          <w:b/>
          <w:bCs/>
          <w:color w:val="auto"/>
          <w:szCs w:val="21"/>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auto"/>
        </w:rPr>
      </w:pPr>
      <w:bookmarkStart w:id="1617" w:name="_Toc331512908"/>
      <w:bookmarkStart w:id="1618" w:name="_Toc339020105"/>
      <w:bookmarkStart w:id="1619" w:name="_Toc342060384"/>
      <w:bookmarkStart w:id="1620" w:name="_Toc333935697"/>
      <w:bookmarkStart w:id="1621" w:name="_Toc333935356"/>
      <w:bookmarkStart w:id="1622" w:name="_Toc340507452"/>
      <w:bookmarkStart w:id="1623" w:name="_Toc331684048"/>
      <w:bookmarkStart w:id="1624" w:name="_Toc366072539"/>
      <w:bookmarkStart w:id="1625" w:name="_Toc349143599"/>
      <w:bookmarkStart w:id="1626" w:name="_Toc336681945"/>
      <w:bookmarkStart w:id="1627" w:name="_Toc336681590"/>
      <w:bookmarkStart w:id="1628" w:name="_Toc333238643"/>
      <w:bookmarkStart w:id="1629" w:name="_Toc341348348"/>
      <w:bookmarkStart w:id="1630" w:name="_Toc349127636"/>
      <w:bookmarkStart w:id="1631" w:name="_Toc339441097"/>
      <w:bookmarkStart w:id="1632" w:name="_Toc337632368"/>
      <w:bookmarkStart w:id="1633" w:name="_Toc491658678"/>
      <w:bookmarkStart w:id="1634" w:name="_Toc333237798"/>
      <w:bookmarkStart w:id="1635" w:name="_Toc500861025"/>
      <w:bookmarkStart w:id="1636" w:name="_Toc339019899"/>
      <w:bookmarkStart w:id="1637" w:name="_Toc332206718"/>
      <w:bookmarkStart w:id="1638" w:name="_Toc333237687"/>
      <w:bookmarkStart w:id="1639" w:name="_Toc365967082"/>
      <w:bookmarkStart w:id="1640" w:name="_Toc365985188"/>
      <w:bookmarkStart w:id="1641" w:name="_Toc330459995"/>
      <w:bookmarkStart w:id="1642" w:name="_Toc339362310"/>
      <w:bookmarkStart w:id="1643" w:name="_Toc339020243"/>
      <w:bookmarkStart w:id="1644" w:name="_Toc345513911"/>
      <w:bookmarkStart w:id="1645" w:name="_Toc350756460"/>
      <w:bookmarkStart w:id="1646" w:name="_Toc350438759"/>
      <w:bookmarkStart w:id="1647" w:name="_Toc342296770"/>
      <w:bookmarkStart w:id="1648" w:name="_Toc340672879"/>
      <w:bookmarkStart w:id="1649" w:name="_Toc339020025"/>
      <w:bookmarkStart w:id="1650" w:name="_Toc332270356"/>
      <w:bookmarkStart w:id="1651" w:name="_Toc340677080"/>
      <w:bookmarkStart w:id="1652" w:name="_Toc18367"/>
      <w:r>
        <w:rPr>
          <w:rFonts w:hint="eastAsia"/>
          <w:color w:val="auto"/>
        </w:rPr>
        <w:t>第五部分</w:t>
      </w:r>
      <w:bookmarkStart w:id="1653" w:name="_Hlt97188172"/>
      <w:bookmarkEnd w:id="1653"/>
      <w:r>
        <w:rPr>
          <w:rFonts w:hint="eastAsia"/>
          <w:color w:val="auto"/>
        </w:rPr>
        <w:t>投标文件格式</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Start w:id="1654" w:name="_Hlt21938933"/>
      <w:bookmarkEnd w:id="1654"/>
    </w:p>
    <w:p>
      <w:pPr>
        <w:pStyle w:val="4"/>
        <w:numPr>
          <w:ilvl w:val="0"/>
          <w:numId w:val="0"/>
        </w:numPr>
        <w:rPr>
          <w:color w:val="auto"/>
          <w:sz w:val="24"/>
        </w:rPr>
      </w:pPr>
      <w:bookmarkStart w:id="1655" w:name="_Toc18699"/>
      <w:bookmarkStart w:id="1656" w:name="_Toc24086"/>
      <w:r>
        <w:rPr>
          <w:rFonts w:hint="eastAsia"/>
          <w:color w:val="auto"/>
          <w:sz w:val="24"/>
        </w:rPr>
        <w:t>资格审查封面格式</w:t>
      </w:r>
      <w:bookmarkEnd w:id="1655"/>
      <w:bookmarkEnd w:id="1656"/>
    </w:p>
    <w:p>
      <w:pPr>
        <w:pStyle w:val="5"/>
        <w:rPr>
          <w:rFonts w:hAnsi="宋体"/>
          <w:bCs/>
          <w:color w:val="auto"/>
          <w:sz w:val="21"/>
        </w:rPr>
      </w:pPr>
    </w:p>
    <w:p>
      <w:pPr>
        <w:pStyle w:val="5"/>
        <w:spacing w:line="360" w:lineRule="auto"/>
        <w:rPr>
          <w:rFonts w:hAnsi="宋体"/>
          <w:bCs/>
          <w:color w:val="auto"/>
          <w:sz w:val="21"/>
        </w:rPr>
      </w:pPr>
      <w:r>
        <w:rPr>
          <w:rFonts w:hint="eastAsia" w:hAnsi="宋体"/>
          <w:bCs/>
          <w:color w:val="auto"/>
          <w:sz w:val="21"/>
        </w:rPr>
        <w:t xml:space="preserve">1、投标内容应当编有目录、页码，按页码排序并装订成册。  </w:t>
      </w:r>
    </w:p>
    <w:p>
      <w:pPr>
        <w:pStyle w:val="5"/>
        <w:spacing w:line="360" w:lineRule="auto"/>
        <w:rPr>
          <w:rFonts w:hAnsi="宋体"/>
          <w:b/>
          <w:color w:val="auto"/>
          <w:sz w:val="21"/>
          <w:szCs w:val="21"/>
        </w:rPr>
      </w:pPr>
      <w:r>
        <w:rPr>
          <w:rFonts w:hAnsi="宋体"/>
          <w:bCs/>
          <w:color w:val="auto"/>
          <w:sz w:val="21"/>
        </w:rPr>
        <w:t>2</w:t>
      </w:r>
      <w:r>
        <w:rPr>
          <w:rFonts w:hint="eastAsia" w:hAnsi="宋体"/>
          <w:bCs/>
          <w:color w:val="auto"/>
          <w:sz w:val="21"/>
        </w:rPr>
        <w:t>、文件的封面格式由投</w:t>
      </w:r>
      <w:r>
        <w:rPr>
          <w:rFonts w:hint="eastAsia" w:hAnsi="宋体"/>
          <w:bCs/>
          <w:color w:val="auto"/>
          <w:sz w:val="21"/>
          <w:szCs w:val="21"/>
        </w:rPr>
        <w:t>标人自拟</w:t>
      </w:r>
      <w:r>
        <w:rPr>
          <w:rFonts w:hint="eastAsia" w:hAnsi="宋体"/>
          <w:bCs/>
          <w:color w:val="auto"/>
          <w:sz w:val="21"/>
        </w:rPr>
        <w:t>，并应注明“投标文件、项目编号、项目名称、投标人名称及地址、法定代表人（负责人）或授权代理人、联系电话、传真、邮编，并加盖投标人公章。</w:t>
      </w: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spacing w:line="440" w:lineRule="exact"/>
        <w:jc w:val="center"/>
        <w:rPr>
          <w:rFonts w:hAnsi="宋体"/>
          <w:bCs/>
          <w:color w:val="auto"/>
          <w:sz w:val="21"/>
        </w:rPr>
      </w:pPr>
    </w:p>
    <w:p>
      <w:pPr>
        <w:pStyle w:val="5"/>
        <w:spacing w:line="440" w:lineRule="exact"/>
        <w:jc w:val="center"/>
        <w:rPr>
          <w:rFonts w:hAnsi="宋体"/>
          <w:bCs/>
          <w:color w:val="auto"/>
          <w:sz w:val="21"/>
        </w:rPr>
      </w:pPr>
    </w:p>
    <w:p>
      <w:pPr>
        <w:pStyle w:val="5"/>
        <w:spacing w:line="440" w:lineRule="exact"/>
        <w:jc w:val="center"/>
        <w:rPr>
          <w:rFonts w:hAnsi="宋体"/>
          <w:bCs/>
          <w:color w:val="auto"/>
          <w:sz w:val="21"/>
        </w:rPr>
      </w:pPr>
    </w:p>
    <w:p>
      <w:pPr>
        <w:pStyle w:val="5"/>
        <w:spacing w:line="440" w:lineRule="exact"/>
        <w:jc w:val="center"/>
        <w:rPr>
          <w:rFonts w:hAnsi="宋体"/>
          <w:bCs/>
          <w:color w:val="auto"/>
          <w:sz w:val="21"/>
        </w:rPr>
      </w:pPr>
    </w:p>
    <w:p>
      <w:pPr>
        <w:pStyle w:val="5"/>
        <w:spacing w:line="360" w:lineRule="auto"/>
        <w:jc w:val="center"/>
        <w:rPr>
          <w:rFonts w:hAnsi="宋体"/>
          <w:bCs/>
          <w:color w:val="auto"/>
          <w:sz w:val="52"/>
          <w:szCs w:val="52"/>
        </w:rPr>
      </w:pPr>
      <w:r>
        <w:rPr>
          <w:rFonts w:hint="eastAsia" w:hAnsi="宋体"/>
          <w:b/>
          <w:bCs/>
          <w:color w:val="auto"/>
          <w:sz w:val="52"/>
          <w:szCs w:val="52"/>
        </w:rPr>
        <w:t>投标文件（□正本、□副本</w:t>
      </w:r>
      <w:r>
        <w:rPr>
          <w:rFonts w:hint="eastAsia" w:hAnsi="宋体"/>
          <w:bCs/>
          <w:color w:val="auto"/>
          <w:sz w:val="52"/>
          <w:szCs w:val="52"/>
        </w:rPr>
        <w:t>）</w:t>
      </w:r>
    </w:p>
    <w:p>
      <w:pPr>
        <w:pStyle w:val="5"/>
        <w:spacing w:line="360" w:lineRule="auto"/>
        <w:jc w:val="center"/>
        <w:rPr>
          <w:rFonts w:hAnsi="宋体"/>
          <w:bCs/>
          <w:color w:val="auto"/>
          <w:sz w:val="52"/>
          <w:szCs w:val="52"/>
        </w:rPr>
      </w:pPr>
      <w:r>
        <w:rPr>
          <w:rFonts w:hint="eastAsia" w:hAnsi="宋体"/>
          <w:b/>
          <w:color w:val="auto"/>
          <w:sz w:val="44"/>
          <w:szCs w:val="44"/>
        </w:rPr>
        <w:t>（资格审查文件）</w:t>
      </w: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440" w:lineRule="exact"/>
        <w:jc w:val="center"/>
        <w:rPr>
          <w:rFonts w:hAnsi="宋体"/>
          <w:bCs/>
          <w:color w:val="auto"/>
          <w:sz w:val="21"/>
        </w:rPr>
      </w:pPr>
    </w:p>
    <w:p>
      <w:pPr>
        <w:pStyle w:val="5"/>
        <w:spacing w:line="440" w:lineRule="exact"/>
        <w:rPr>
          <w:rFonts w:hAnsi="宋体"/>
          <w:bCs/>
          <w:color w:val="auto"/>
          <w:sz w:val="21"/>
        </w:rPr>
      </w:pPr>
      <w:r>
        <w:rPr>
          <w:rFonts w:hint="eastAsia" w:hAnsi="宋体"/>
          <w:bCs/>
          <w:color w:val="auto"/>
          <w:sz w:val="21"/>
        </w:rPr>
        <w:t>项目编号：</w:t>
      </w:r>
    </w:p>
    <w:p>
      <w:pPr>
        <w:pStyle w:val="5"/>
        <w:spacing w:line="440" w:lineRule="exact"/>
        <w:rPr>
          <w:rFonts w:hAnsi="宋体"/>
          <w:bCs/>
          <w:color w:val="auto"/>
          <w:sz w:val="21"/>
          <w:u w:val="single"/>
        </w:rPr>
      </w:pPr>
      <w:r>
        <w:rPr>
          <w:rFonts w:hint="eastAsia" w:hAnsi="宋体"/>
          <w:bCs/>
          <w:color w:val="auto"/>
          <w:sz w:val="21"/>
        </w:rPr>
        <w:t>项目名称：</w:t>
      </w:r>
      <w:r>
        <w:rPr>
          <w:rFonts w:hint="eastAsia" w:hAnsi="宋体" w:cs="宋体"/>
          <w:color w:val="auto"/>
          <w:sz w:val="21"/>
          <w:szCs w:val="21"/>
          <w:u w:val="single"/>
        </w:rPr>
        <w:t>采购项目名称，由投标人填写</w:t>
      </w:r>
    </w:p>
    <w:p>
      <w:pPr>
        <w:pStyle w:val="5"/>
        <w:spacing w:line="440" w:lineRule="exact"/>
        <w:rPr>
          <w:rFonts w:hAnsi="宋体"/>
          <w:bCs/>
          <w:color w:val="auto"/>
          <w:sz w:val="21"/>
          <w:u w:val="single"/>
        </w:rPr>
      </w:pPr>
      <w:r>
        <w:rPr>
          <w:rFonts w:hint="eastAsia" w:hAnsi="宋体"/>
          <w:bCs/>
          <w:color w:val="auto"/>
          <w:sz w:val="21"/>
        </w:rPr>
        <w:t>投标人名称（公章）：</w:t>
      </w:r>
    </w:p>
    <w:p>
      <w:pPr>
        <w:pStyle w:val="5"/>
        <w:spacing w:line="440" w:lineRule="exact"/>
        <w:rPr>
          <w:rFonts w:hAnsi="宋体"/>
          <w:bCs/>
          <w:color w:val="auto"/>
          <w:sz w:val="21"/>
          <w:u w:val="single"/>
        </w:rPr>
      </w:pPr>
      <w:r>
        <w:rPr>
          <w:rFonts w:hint="eastAsia" w:hAnsi="宋体"/>
          <w:bCs/>
          <w:color w:val="auto"/>
          <w:sz w:val="21"/>
        </w:rPr>
        <w:t>投标人地址：</w:t>
      </w:r>
    </w:p>
    <w:p>
      <w:pPr>
        <w:pStyle w:val="5"/>
        <w:spacing w:line="440" w:lineRule="exact"/>
        <w:rPr>
          <w:rFonts w:hAnsi="宋体"/>
          <w:bCs/>
          <w:color w:val="auto"/>
          <w:sz w:val="21"/>
          <w:u w:val="single"/>
        </w:rPr>
      </w:pPr>
      <w:r>
        <w:rPr>
          <w:rFonts w:hint="eastAsia" w:hAnsi="宋体"/>
          <w:bCs/>
          <w:color w:val="auto"/>
          <w:sz w:val="21"/>
        </w:rPr>
        <w:t>法定代表人（负责人）或授权代理人（签字）</w:t>
      </w:r>
      <w:r>
        <w:rPr>
          <w:rFonts w:hAnsi="宋体"/>
          <w:bCs/>
          <w:color w:val="auto"/>
          <w:sz w:val="21"/>
        </w:rPr>
        <w:t>：</w:t>
      </w:r>
    </w:p>
    <w:p>
      <w:pPr>
        <w:pStyle w:val="5"/>
        <w:spacing w:line="440" w:lineRule="exact"/>
        <w:rPr>
          <w:rFonts w:hAnsi="宋体"/>
          <w:bCs/>
          <w:color w:val="auto"/>
          <w:sz w:val="21"/>
          <w:u w:val="single"/>
        </w:rPr>
      </w:pPr>
      <w:r>
        <w:rPr>
          <w:rFonts w:hint="eastAsia" w:hAnsi="宋体"/>
          <w:bCs/>
          <w:color w:val="auto"/>
          <w:sz w:val="21"/>
        </w:rPr>
        <w:t>联系</w:t>
      </w:r>
      <w:r>
        <w:rPr>
          <w:rFonts w:hAnsi="宋体"/>
          <w:bCs/>
          <w:color w:val="auto"/>
          <w:sz w:val="21"/>
        </w:rPr>
        <w:t>电话：</w:t>
      </w:r>
      <w:r>
        <w:rPr>
          <w:rFonts w:hint="eastAsia" w:hAnsi="宋体"/>
          <w:bCs/>
          <w:color w:val="auto"/>
          <w:sz w:val="21"/>
        </w:rPr>
        <w:t>传真：</w:t>
      </w:r>
    </w:p>
    <w:p>
      <w:pPr>
        <w:pStyle w:val="5"/>
        <w:spacing w:line="440" w:lineRule="exact"/>
        <w:rPr>
          <w:rFonts w:hAnsi="宋体"/>
          <w:bCs/>
          <w:color w:val="auto"/>
          <w:sz w:val="21"/>
          <w:u w:val="single"/>
        </w:rPr>
      </w:pPr>
      <w:r>
        <w:rPr>
          <w:rFonts w:hAnsi="宋体"/>
          <w:bCs/>
          <w:color w:val="auto"/>
          <w:sz w:val="21"/>
        </w:rPr>
        <w:t>邮编：</w:t>
      </w:r>
    </w:p>
    <w:p>
      <w:pPr>
        <w:pStyle w:val="5"/>
        <w:spacing w:line="440" w:lineRule="exact"/>
        <w:rPr>
          <w:color w:val="auto"/>
        </w:rPr>
      </w:pPr>
      <w:r>
        <w:rPr>
          <w:rFonts w:hint="eastAsia" w:hAnsi="宋体"/>
          <w:bCs/>
          <w:color w:val="auto"/>
          <w:sz w:val="21"/>
        </w:rPr>
        <w:t>编制日期：年月日</w:t>
      </w: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tabs>
          <w:tab w:val="left" w:pos="1004"/>
          <w:tab w:val="left" w:pos="4267"/>
        </w:tabs>
        <w:spacing w:line="400" w:lineRule="exact"/>
        <w:rPr>
          <w:rFonts w:ascii="宋体" w:hAnsi="宋体"/>
          <w:bCs/>
          <w:color w:val="auto"/>
        </w:rPr>
      </w:pPr>
    </w:p>
    <w:p>
      <w:pPr>
        <w:pStyle w:val="4"/>
        <w:numPr>
          <w:ilvl w:val="7"/>
          <w:numId w:val="6"/>
        </w:numPr>
        <w:tabs>
          <w:tab w:val="clear" w:pos="720"/>
        </w:tabs>
        <w:spacing w:before="240" w:after="240" w:line="360" w:lineRule="exact"/>
        <w:ind w:left="0" w:firstLine="0"/>
        <w:rPr>
          <w:color w:val="auto"/>
          <w:sz w:val="24"/>
        </w:rPr>
      </w:pPr>
      <w:bookmarkStart w:id="1657" w:name="_Toc31809"/>
      <w:bookmarkStart w:id="1658" w:name="_Toc7374"/>
      <w:r>
        <w:rPr>
          <w:rFonts w:hint="eastAsia"/>
          <w:color w:val="auto"/>
          <w:sz w:val="24"/>
        </w:rPr>
        <w:t>自查表</w:t>
      </w:r>
      <w:bookmarkEnd w:id="1657"/>
      <w:bookmarkEnd w:id="1658"/>
    </w:p>
    <w:p>
      <w:pPr>
        <w:pStyle w:val="4"/>
        <w:keepLines w:val="0"/>
        <w:numPr>
          <w:ilvl w:val="0"/>
          <w:numId w:val="0"/>
        </w:numPr>
        <w:tabs>
          <w:tab w:val="left" w:pos="4320"/>
        </w:tabs>
        <w:spacing w:before="240" w:after="60" w:line="360" w:lineRule="exact"/>
        <w:rPr>
          <w:rFonts w:ascii="宋体"/>
          <w:b/>
          <w:bCs w:val="0"/>
          <w:color w:val="auto"/>
          <w:szCs w:val="21"/>
        </w:rPr>
      </w:pPr>
      <w:bookmarkStart w:id="1659" w:name="_Toc15898"/>
      <w:bookmarkStart w:id="1660" w:name="_Toc26015"/>
      <w:r>
        <w:rPr>
          <w:rFonts w:hint="eastAsia" w:ascii="宋体"/>
          <w:b/>
          <w:bCs w:val="0"/>
          <w:color w:val="auto"/>
          <w:szCs w:val="21"/>
        </w:rPr>
        <w:t>资格性自查表</w:t>
      </w:r>
      <w:bookmarkEnd w:id="1659"/>
      <w:bookmarkEnd w:id="1660"/>
    </w:p>
    <w:p>
      <w:pPr>
        <w:jc w:val="center"/>
        <w:rPr>
          <w:rFonts w:ascii="宋体" w:hAnsi="宋体"/>
          <w:b/>
          <w:bCs/>
          <w:color w:val="auto"/>
          <w:szCs w:val="21"/>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241"/>
        <w:gridCol w:w="3416"/>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16"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3416"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484"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975" w:type="dxa"/>
            <w:vMerge w:val="restart"/>
            <w:vAlign w:val="center"/>
          </w:tcPr>
          <w:p>
            <w:pPr>
              <w:jc w:val="center"/>
              <w:rPr>
                <w:color w:val="auto"/>
                <w:highlight w:val="none"/>
              </w:rPr>
            </w:pPr>
            <w:r>
              <w:rPr>
                <w:rFonts w:hint="eastAsia"/>
                <w:color w:val="auto"/>
                <w:highlight w:val="none"/>
              </w:rPr>
              <w:t>资格性检查</w:t>
            </w:r>
          </w:p>
        </w:tc>
        <w:tc>
          <w:tcPr>
            <w:tcW w:w="1241" w:type="dxa"/>
            <w:vMerge w:val="restart"/>
            <w:vAlign w:val="center"/>
          </w:tcPr>
          <w:p>
            <w:pPr>
              <w:jc w:val="center"/>
              <w:rPr>
                <w:color w:val="auto"/>
                <w:highlight w:val="none"/>
              </w:rPr>
            </w:pPr>
            <w:r>
              <w:rPr>
                <w:rFonts w:hint="eastAsia"/>
                <w:color w:val="auto"/>
                <w:highlight w:val="none"/>
              </w:rPr>
              <w:t>投标人资格要求</w:t>
            </w:r>
          </w:p>
        </w:tc>
        <w:tc>
          <w:tcPr>
            <w:tcW w:w="3416"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投标人应具备《中华人民共和国政府采购法》第二十二条规定的条件</w:t>
            </w:r>
          </w:p>
          <w:p>
            <w:pPr>
              <w:tabs>
                <w:tab w:val="left" w:pos="0"/>
              </w:tabs>
              <w:rPr>
                <w:rFonts w:ascii="宋体" w:hAnsi="宋体"/>
                <w:b/>
                <w:bCs/>
                <w:color w:val="auto"/>
                <w:szCs w:val="21"/>
                <w:highlight w:val="none"/>
              </w:rPr>
            </w:pP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见投标文件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要求：提交合法有效的营业执照复印件加盖公章、</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975" w:type="dxa"/>
            <w:vMerge w:val="continue"/>
            <w:vAlign w:val="center"/>
          </w:tcPr>
          <w:p>
            <w:pPr>
              <w:tabs>
                <w:tab w:val="left" w:pos="480"/>
              </w:tabs>
              <w:ind w:left="480" w:hanging="480"/>
              <w:jc w:val="center"/>
              <w:rPr>
                <w:rFonts w:ascii="宋体" w:hAnsi="宋体"/>
                <w:color w:val="auto"/>
                <w:szCs w:val="21"/>
                <w:highlight w:val="none"/>
              </w:rPr>
            </w:pPr>
          </w:p>
        </w:tc>
        <w:tc>
          <w:tcPr>
            <w:tcW w:w="1241" w:type="dxa"/>
            <w:vMerge w:val="continue"/>
            <w:vAlign w:val="center"/>
          </w:tcPr>
          <w:p>
            <w:pPr>
              <w:tabs>
                <w:tab w:val="left" w:pos="146"/>
              </w:tabs>
              <w:ind w:left="146"/>
              <w:rPr>
                <w:rFonts w:ascii="宋体" w:hAnsi="宋体"/>
                <w:color w:val="auto"/>
                <w:szCs w:val="21"/>
                <w:highlight w:val="none"/>
              </w:rPr>
            </w:pPr>
          </w:p>
        </w:tc>
        <w:tc>
          <w:tcPr>
            <w:tcW w:w="3416" w:type="dxa"/>
            <w:vAlign w:val="center"/>
          </w:tcPr>
          <w:p>
            <w:pPr>
              <w:tabs>
                <w:tab w:val="left" w:pos="0"/>
              </w:tabs>
              <w:rPr>
                <w:rFonts w:ascii="宋体" w:hAnsi="宋体"/>
                <w:color w:val="auto"/>
                <w:spacing w:val="-6"/>
                <w:szCs w:val="21"/>
                <w:highlight w:val="none"/>
              </w:rPr>
            </w:pPr>
            <w:r>
              <w:rPr>
                <w:rFonts w:hint="eastAsia" w:ascii="宋体" w:hAnsi="宋体"/>
                <w:color w:val="auto"/>
                <w:spacing w:val="-6"/>
                <w:szCs w:val="21"/>
                <w:highlight w:val="none"/>
              </w:rPr>
              <w:t>为采购项目提供整体设计、规范编制或者项目管理、监理、检测等服务的供应商，不得再参加该采购项目的其他采购活动；（提供《投标函》承诺）</w:t>
            </w:r>
          </w:p>
        </w:tc>
        <w:tc>
          <w:tcPr>
            <w:tcW w:w="1975" w:type="dxa"/>
            <w:vAlign w:val="center"/>
          </w:tcPr>
          <w:p>
            <w:pPr>
              <w:tabs>
                <w:tab w:val="left" w:pos="480"/>
              </w:tabs>
              <w:ind w:left="480" w:hanging="480"/>
              <w:rPr>
                <w:rFonts w:ascii="宋体" w:hAnsi="宋体"/>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5" w:type="dxa"/>
            <w:vMerge w:val="continue"/>
            <w:vAlign w:val="center"/>
          </w:tcPr>
          <w:p>
            <w:pPr>
              <w:tabs>
                <w:tab w:val="left" w:pos="480"/>
              </w:tabs>
              <w:ind w:left="480" w:hanging="480"/>
              <w:jc w:val="center"/>
              <w:rPr>
                <w:rFonts w:ascii="宋体" w:hAnsi="宋体"/>
                <w:color w:val="auto"/>
                <w:szCs w:val="21"/>
                <w:highlight w:val="none"/>
              </w:rPr>
            </w:pPr>
          </w:p>
        </w:tc>
        <w:tc>
          <w:tcPr>
            <w:tcW w:w="1241" w:type="dxa"/>
            <w:vMerge w:val="continue"/>
            <w:vAlign w:val="center"/>
          </w:tcPr>
          <w:p>
            <w:pPr>
              <w:tabs>
                <w:tab w:val="left" w:pos="146"/>
              </w:tabs>
              <w:ind w:left="146"/>
              <w:rPr>
                <w:rFonts w:ascii="宋体" w:hAnsi="宋体"/>
                <w:color w:val="auto"/>
                <w:szCs w:val="21"/>
                <w:highlight w:val="none"/>
              </w:rPr>
            </w:pPr>
          </w:p>
        </w:tc>
        <w:tc>
          <w:tcPr>
            <w:tcW w:w="3416" w:type="dxa"/>
            <w:vAlign w:val="center"/>
          </w:tcPr>
          <w:p>
            <w:pPr>
              <w:tabs>
                <w:tab w:val="left" w:pos="0"/>
              </w:tabs>
              <w:rPr>
                <w:rFonts w:ascii="宋体" w:hAnsi="宋体"/>
                <w:color w:val="auto"/>
                <w:spacing w:val="-6"/>
                <w:szCs w:val="21"/>
                <w:highlight w:val="none"/>
              </w:rPr>
            </w:pPr>
            <w:r>
              <w:rPr>
                <w:rFonts w:hint="eastAsia" w:ascii="宋体" w:hAnsi="宋体"/>
                <w:color w:val="auto"/>
                <w:spacing w:val="-6"/>
                <w:szCs w:val="21"/>
                <w:highlight w:val="none"/>
              </w:rPr>
              <w:t>单位负责人为同一人或者存在直接控股、管理关系的不同供应商，不得参加同一合同项下的政府采购活动；（提供《投标函》承诺）</w:t>
            </w:r>
          </w:p>
        </w:tc>
        <w:tc>
          <w:tcPr>
            <w:tcW w:w="1975" w:type="dxa"/>
            <w:vAlign w:val="center"/>
          </w:tcPr>
          <w:p>
            <w:pPr>
              <w:tabs>
                <w:tab w:val="left" w:pos="480"/>
              </w:tabs>
              <w:ind w:left="480" w:hanging="480"/>
              <w:rPr>
                <w:rFonts w:ascii="宋体" w:hAnsi="宋体"/>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975" w:type="dxa"/>
            <w:vMerge w:val="continue"/>
            <w:vAlign w:val="center"/>
          </w:tcPr>
          <w:p>
            <w:pPr>
              <w:tabs>
                <w:tab w:val="left" w:pos="480"/>
              </w:tabs>
              <w:ind w:left="480" w:hanging="480"/>
              <w:jc w:val="center"/>
              <w:rPr>
                <w:rFonts w:ascii="宋体" w:hAnsi="宋体"/>
                <w:color w:val="auto"/>
                <w:szCs w:val="21"/>
                <w:highlight w:val="none"/>
              </w:rPr>
            </w:pPr>
          </w:p>
        </w:tc>
        <w:tc>
          <w:tcPr>
            <w:tcW w:w="1241" w:type="dxa"/>
            <w:vMerge w:val="continue"/>
            <w:vAlign w:val="center"/>
          </w:tcPr>
          <w:p>
            <w:pPr>
              <w:tabs>
                <w:tab w:val="left" w:pos="146"/>
              </w:tabs>
              <w:ind w:left="146"/>
              <w:rPr>
                <w:rFonts w:ascii="宋体" w:hAnsi="宋体"/>
                <w:b/>
                <w:bCs/>
                <w:color w:val="auto"/>
                <w:szCs w:val="21"/>
                <w:highlight w:val="none"/>
              </w:rPr>
            </w:pPr>
          </w:p>
        </w:tc>
        <w:tc>
          <w:tcPr>
            <w:tcW w:w="3416" w:type="dxa"/>
            <w:vAlign w:val="center"/>
          </w:tcPr>
          <w:p>
            <w:pPr>
              <w:tabs>
                <w:tab w:val="left" w:pos="0"/>
              </w:tabs>
              <w:jc w:val="left"/>
              <w:rPr>
                <w:rFonts w:ascii="宋体" w:hAnsi="宋体"/>
                <w:b/>
                <w:bCs/>
                <w:color w:val="auto"/>
                <w:szCs w:val="21"/>
                <w:highlight w:val="none"/>
              </w:rPr>
            </w:pPr>
            <w:r>
              <w:rPr>
                <w:rFonts w:hint="eastAsia" w:ascii="宋体" w:hAnsi="宋体"/>
                <w:color w:val="auto"/>
                <w:szCs w:val="21"/>
                <w:highlight w:val="none"/>
              </w:rPr>
              <w:t>投标人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以采购代理机构于开标时间当天在“信用中国”网站（www.creditchina.gov.cn）及中国政府采购网(www.ccgp.gov.cn)查询结果为准，如相关记录信息已失效，供应商必须提供由该记录信息的执行或列入单位出具的相关证明材料。</w:t>
            </w:r>
          </w:p>
        </w:tc>
        <w:tc>
          <w:tcPr>
            <w:tcW w:w="1975" w:type="dxa"/>
            <w:vAlign w:val="center"/>
          </w:tcPr>
          <w:p>
            <w:pPr>
              <w:tabs>
                <w:tab w:val="left" w:pos="480"/>
              </w:tabs>
              <w:ind w:left="-107" w:leftChars="-51" w:firstLine="106"/>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975" w:type="dxa"/>
            <w:vMerge w:val="continue"/>
            <w:vAlign w:val="center"/>
          </w:tcPr>
          <w:p>
            <w:pPr>
              <w:tabs>
                <w:tab w:val="left" w:pos="480"/>
              </w:tabs>
              <w:ind w:left="480" w:hanging="480"/>
              <w:jc w:val="center"/>
              <w:rPr>
                <w:rFonts w:ascii="宋体" w:hAnsi="宋体"/>
                <w:color w:val="auto"/>
                <w:szCs w:val="21"/>
                <w:highlight w:val="none"/>
              </w:rPr>
            </w:pPr>
          </w:p>
        </w:tc>
        <w:tc>
          <w:tcPr>
            <w:tcW w:w="1241" w:type="dxa"/>
            <w:vMerge w:val="continue"/>
            <w:vAlign w:val="center"/>
          </w:tcPr>
          <w:p>
            <w:pPr>
              <w:tabs>
                <w:tab w:val="left" w:pos="146"/>
              </w:tabs>
              <w:ind w:left="146"/>
              <w:rPr>
                <w:rFonts w:ascii="宋体" w:hAnsi="宋体"/>
                <w:color w:val="auto"/>
                <w:szCs w:val="21"/>
                <w:highlight w:val="none"/>
              </w:rPr>
            </w:pPr>
          </w:p>
        </w:tc>
        <w:tc>
          <w:tcPr>
            <w:tcW w:w="3416"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投标人须具有《网络安全等级测评与检测评估机构服务认证证书》。</w:t>
            </w:r>
          </w:p>
        </w:tc>
        <w:tc>
          <w:tcPr>
            <w:tcW w:w="1975" w:type="dxa"/>
            <w:vAlign w:val="center"/>
          </w:tcPr>
          <w:p>
            <w:pPr>
              <w:tabs>
                <w:tab w:val="left" w:pos="480"/>
              </w:tabs>
              <w:ind w:left="-107" w:leftChars="-51" w:firstLine="106"/>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5" w:type="dxa"/>
            <w:vMerge w:val="continue"/>
            <w:vAlign w:val="center"/>
          </w:tcPr>
          <w:p>
            <w:pPr>
              <w:tabs>
                <w:tab w:val="left" w:pos="480"/>
              </w:tabs>
              <w:ind w:left="480" w:hanging="480"/>
              <w:jc w:val="center"/>
              <w:rPr>
                <w:rFonts w:ascii="宋体" w:hAnsi="宋体"/>
                <w:color w:val="auto"/>
                <w:szCs w:val="21"/>
                <w:highlight w:val="none"/>
              </w:rPr>
            </w:pPr>
          </w:p>
        </w:tc>
        <w:tc>
          <w:tcPr>
            <w:tcW w:w="1241" w:type="dxa"/>
            <w:vMerge w:val="continue"/>
            <w:vAlign w:val="center"/>
          </w:tcPr>
          <w:p>
            <w:pPr>
              <w:tabs>
                <w:tab w:val="left" w:pos="146"/>
              </w:tabs>
              <w:ind w:left="146"/>
              <w:rPr>
                <w:rFonts w:ascii="宋体" w:hAnsi="宋体"/>
                <w:b/>
                <w:bCs/>
                <w:color w:val="auto"/>
                <w:szCs w:val="21"/>
                <w:highlight w:val="none"/>
              </w:rPr>
            </w:pPr>
          </w:p>
        </w:tc>
        <w:tc>
          <w:tcPr>
            <w:tcW w:w="3416"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不接受联合体投标</w:t>
            </w:r>
          </w:p>
        </w:tc>
        <w:tc>
          <w:tcPr>
            <w:tcW w:w="1975" w:type="dxa"/>
            <w:vAlign w:val="center"/>
          </w:tcPr>
          <w:p>
            <w:pPr>
              <w:tabs>
                <w:tab w:val="left" w:pos="480"/>
              </w:tabs>
              <w:ind w:left="-107" w:leftChars="-51" w:firstLine="106"/>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rPr>
      </w:pPr>
    </w:p>
    <w:p>
      <w:pPr>
        <w:tabs>
          <w:tab w:val="center" w:pos="4483"/>
        </w:tabs>
        <w:ind w:left="525" w:leftChars="50" w:hanging="420" w:hangingChars="200"/>
        <w:rPr>
          <w:rFonts w:ascii="宋体" w:hAnsi="宋体"/>
          <w:color w:val="auto"/>
          <w:szCs w:val="21"/>
        </w:rPr>
      </w:pPr>
      <w:r>
        <w:rPr>
          <w:rFonts w:hint="eastAsia" w:ascii="宋体" w:hAnsi="宋体"/>
          <w:color w:val="auto"/>
          <w:szCs w:val="21"/>
        </w:rPr>
        <w:t>注：以上材料将作为投标人资格性审核的重要内容之一，投标人必须严格按照其内容及序列要求在投标文件中对应如实提供，对缺漏和不符合项或</w:t>
      </w:r>
      <w:r>
        <w:rPr>
          <w:rFonts w:hint="eastAsia" w:ascii="宋体" w:hAnsi="宋体"/>
          <w:bCs/>
          <w:color w:val="auto"/>
          <w:szCs w:val="21"/>
        </w:rPr>
        <w:t>提交的资料字迹模糊不清而现场无法提供原件核实的</w:t>
      </w:r>
      <w:r>
        <w:rPr>
          <w:rFonts w:hint="eastAsia" w:ascii="宋体" w:hAnsi="宋体"/>
          <w:color w:val="auto"/>
          <w:szCs w:val="21"/>
        </w:rPr>
        <w:t>将会直接导致无效投标。</w:t>
      </w:r>
      <w:r>
        <w:rPr>
          <w:rFonts w:hint="eastAsia" w:ascii="宋体" w:hAnsi="宋体"/>
          <w:bCs/>
          <w:color w:val="auto"/>
          <w:szCs w:val="21"/>
        </w:rPr>
        <w:t>不能继续参与后续评标，有效投标人少于3家的将导致废标。废标后，除采购任务取消情形外，应当重新组织采购。</w:t>
      </w:r>
      <w:r>
        <w:rPr>
          <w:rFonts w:hint="eastAsia" w:ascii="宋体" w:hAnsi="宋体"/>
          <w:color w:val="auto"/>
          <w:szCs w:val="21"/>
        </w:rPr>
        <w:t>在对应的自查结论中填“通过”或“不通过”。</w:t>
      </w:r>
    </w:p>
    <w:p>
      <w:pPr>
        <w:tabs>
          <w:tab w:val="center" w:pos="4483"/>
        </w:tabs>
        <w:ind w:left="525" w:leftChars="50" w:hanging="420" w:hangingChars="200"/>
        <w:rPr>
          <w:rFonts w:ascii="宋体" w:hAnsi="宋体"/>
          <w:bCs/>
          <w:color w:val="auto"/>
          <w:szCs w:val="21"/>
        </w:rPr>
      </w:pPr>
    </w:p>
    <w:p>
      <w:pPr>
        <w:adjustRightInd w:val="0"/>
        <w:snapToGrid w:val="0"/>
        <w:spacing w:line="300" w:lineRule="auto"/>
        <w:rPr>
          <w:color w:val="auto"/>
          <w:szCs w:val="21"/>
        </w:rPr>
      </w:pPr>
    </w:p>
    <w:p>
      <w:pPr>
        <w:adjustRightInd w:val="0"/>
        <w:snapToGrid w:val="0"/>
        <w:spacing w:line="300" w:lineRule="auto"/>
        <w:rPr>
          <w:rFonts w:ascii="宋体" w:hAnsi="宋体"/>
          <w:color w:val="auto"/>
          <w:szCs w:val="21"/>
          <w:u w:val="single"/>
        </w:rPr>
      </w:pPr>
      <w:r>
        <w:rPr>
          <w:rFonts w:hint="eastAsia"/>
          <w:color w:val="auto"/>
          <w:szCs w:val="21"/>
        </w:rPr>
        <w:t>投标人法定代表人（负责人）或授权代理人（签字）：</w:t>
      </w:r>
    </w:p>
    <w:p>
      <w:pPr>
        <w:adjustRightInd w:val="0"/>
        <w:snapToGrid w:val="0"/>
        <w:spacing w:line="300" w:lineRule="auto"/>
        <w:rPr>
          <w:rFonts w:ascii="宋体" w:hAnsi="宋体"/>
          <w:color w:val="auto"/>
          <w:szCs w:val="21"/>
          <w:u w:val="single"/>
        </w:rPr>
      </w:pPr>
      <w:r>
        <w:rPr>
          <w:rFonts w:hint="eastAsia" w:ascii="宋体" w:hAnsi="宋体"/>
          <w:color w:val="auto"/>
          <w:szCs w:val="21"/>
        </w:rPr>
        <w:t>投标人名称（签章）：</w:t>
      </w:r>
    </w:p>
    <w:p>
      <w:pPr>
        <w:adjustRightInd w:val="0"/>
        <w:snapToGrid w:val="0"/>
        <w:spacing w:line="300" w:lineRule="auto"/>
        <w:rPr>
          <w:rFonts w:ascii="宋体" w:hAnsi="宋体"/>
          <w:color w:val="auto"/>
          <w:szCs w:val="21"/>
        </w:rPr>
      </w:pPr>
      <w:r>
        <w:rPr>
          <w:rFonts w:hint="eastAsia" w:ascii="宋体" w:hAnsi="宋体"/>
          <w:color w:val="auto"/>
          <w:szCs w:val="21"/>
        </w:rPr>
        <w:t>日期：   年   月   日</w:t>
      </w:r>
    </w:p>
    <w:p>
      <w:pPr>
        <w:adjustRightInd w:val="0"/>
        <w:snapToGrid w:val="0"/>
        <w:spacing w:line="300" w:lineRule="auto"/>
        <w:rPr>
          <w:color w:val="auto"/>
          <w:sz w:val="24"/>
        </w:rPr>
      </w:pPr>
    </w:p>
    <w:p>
      <w:pPr>
        <w:adjustRightInd w:val="0"/>
        <w:snapToGrid w:val="0"/>
        <w:spacing w:line="300" w:lineRule="auto"/>
        <w:rPr>
          <w:color w:val="auto"/>
          <w:sz w:val="24"/>
        </w:rPr>
      </w:pPr>
    </w:p>
    <w:p>
      <w:pPr>
        <w:adjustRightInd w:val="0"/>
        <w:snapToGrid w:val="0"/>
        <w:spacing w:line="300" w:lineRule="auto"/>
        <w:rPr>
          <w:color w:val="auto"/>
          <w:sz w:val="24"/>
        </w:rPr>
      </w:pPr>
    </w:p>
    <w:p>
      <w:pPr>
        <w:tabs>
          <w:tab w:val="left" w:pos="1004"/>
          <w:tab w:val="left" w:pos="4267"/>
        </w:tabs>
        <w:spacing w:line="400" w:lineRule="exact"/>
        <w:rPr>
          <w:rFonts w:ascii="宋体" w:hAnsi="宋体"/>
          <w:bCs/>
          <w:color w:val="auto"/>
        </w:rPr>
        <w:sectPr>
          <w:footerReference r:id="rId12" w:type="first"/>
          <w:footerReference r:id="rId11" w:type="default"/>
          <w:pgSz w:w="11906" w:h="16838"/>
          <w:pgMar w:top="1474" w:right="1418" w:bottom="1474" w:left="1418" w:header="851" w:footer="851" w:gutter="0"/>
          <w:cols w:space="720" w:num="1"/>
          <w:titlePg/>
          <w:docGrid w:linePitch="312" w:charSpace="0"/>
        </w:sectPr>
      </w:pPr>
    </w:p>
    <w:p>
      <w:pPr>
        <w:pStyle w:val="4"/>
        <w:numPr>
          <w:ilvl w:val="0"/>
          <w:numId w:val="0"/>
        </w:numPr>
        <w:rPr>
          <w:color w:val="auto"/>
        </w:rPr>
      </w:pPr>
      <w:bookmarkStart w:id="1661" w:name="_Toc21470"/>
      <w:bookmarkStart w:id="1662" w:name="_Toc7600"/>
      <w:r>
        <w:rPr>
          <w:rFonts w:hint="eastAsia"/>
          <w:color w:val="auto"/>
        </w:rPr>
        <w:t>（一）资格审查文件要求提交的有效证明文件</w:t>
      </w:r>
      <w:bookmarkEnd w:id="1661"/>
      <w:bookmarkEnd w:id="1662"/>
    </w:p>
    <w:p>
      <w:pPr>
        <w:adjustRightInd w:val="0"/>
        <w:snapToGrid w:val="0"/>
        <w:spacing w:line="360" w:lineRule="auto"/>
        <w:jc w:val="left"/>
        <w:rPr>
          <w:rFonts w:ascii="宋体" w:hAnsi="宋体"/>
          <w:b/>
          <w:bCs/>
          <w:caps/>
          <w:color w:val="auto"/>
        </w:rPr>
      </w:pPr>
      <w:r>
        <w:rPr>
          <w:rFonts w:hint="eastAsia" w:ascii="宋体" w:hAnsi="宋体"/>
          <w:bCs/>
          <w:color w:val="auto"/>
        </w:rPr>
        <w:t>项目编号:</w:t>
      </w:r>
    </w:p>
    <w:p>
      <w:pPr>
        <w:adjustRightInd w:val="0"/>
        <w:snapToGrid w:val="0"/>
        <w:spacing w:line="360" w:lineRule="auto"/>
        <w:ind w:left="1050" w:hanging="1050" w:hangingChars="500"/>
        <w:jc w:val="left"/>
        <w:rPr>
          <w:rFonts w:ascii="宋体" w:hAnsi="宋体"/>
          <w:bCs/>
          <w:color w:val="auto"/>
          <w:u w:val="single"/>
        </w:rPr>
      </w:pPr>
      <w:r>
        <w:rPr>
          <w:rFonts w:hint="eastAsia" w:ascii="宋体" w:hAnsi="宋体"/>
          <w:bCs/>
          <w:color w:val="auto"/>
        </w:rPr>
        <w:t>项目名称：</w:t>
      </w:r>
    </w:p>
    <w:p>
      <w:pPr>
        <w:pStyle w:val="5"/>
        <w:rPr>
          <w:color w:val="auto"/>
        </w:rPr>
      </w:pPr>
    </w:p>
    <w:p>
      <w:pPr>
        <w:spacing w:line="440" w:lineRule="exact"/>
        <w:ind w:firstLine="420" w:firstLineChars="200"/>
        <w:rPr>
          <w:rFonts w:ascii="宋体" w:hAnsi="宋体"/>
          <w:color w:val="auto"/>
          <w:szCs w:val="21"/>
        </w:rPr>
      </w:pPr>
      <w:r>
        <w:rPr>
          <w:rFonts w:hint="eastAsia" w:ascii="宋体" w:hAnsi="宋体"/>
          <w:color w:val="auto"/>
          <w:szCs w:val="21"/>
        </w:rPr>
        <w:t>1、合法有效的营业执照复印件加盖公章；</w:t>
      </w:r>
    </w:p>
    <w:p>
      <w:pPr>
        <w:spacing w:line="440" w:lineRule="exact"/>
        <w:ind w:firstLine="420" w:firstLineChars="200"/>
        <w:rPr>
          <w:rFonts w:ascii="宋体" w:hAnsi="宋体"/>
          <w:color w:val="auto"/>
          <w:szCs w:val="21"/>
        </w:rPr>
      </w:pPr>
      <w:r>
        <w:rPr>
          <w:rFonts w:hint="eastAsia" w:ascii="宋体" w:hAnsi="宋体"/>
          <w:color w:val="auto"/>
          <w:szCs w:val="21"/>
        </w:rPr>
        <w:t>2、</w:t>
      </w:r>
      <w:r>
        <w:rPr>
          <w:rFonts w:hint="eastAsia" w:ascii="宋体" w:hAnsi="宋体"/>
          <w:color w:val="auto"/>
          <w:kern w:val="0"/>
          <w:szCs w:val="21"/>
        </w:rPr>
        <w:t>财务报表</w:t>
      </w:r>
      <w:r>
        <w:rPr>
          <w:rFonts w:hint="eastAsia" w:ascii="宋体" w:hAnsi="宋体"/>
          <w:color w:val="auto"/>
          <w:szCs w:val="21"/>
        </w:rPr>
        <w:t>复印件加盖公章；</w:t>
      </w:r>
    </w:p>
    <w:p>
      <w:pPr>
        <w:spacing w:line="440" w:lineRule="exact"/>
        <w:ind w:firstLine="420" w:firstLineChars="200"/>
        <w:rPr>
          <w:rFonts w:ascii="宋体" w:hAnsi="宋体"/>
          <w:color w:val="auto"/>
          <w:szCs w:val="21"/>
        </w:rPr>
      </w:pPr>
      <w:r>
        <w:rPr>
          <w:rFonts w:hint="eastAsia" w:ascii="宋体" w:hAnsi="宋体"/>
          <w:color w:val="auto"/>
          <w:szCs w:val="21"/>
        </w:rPr>
        <w:t>3、缴税证明复印件加盖公章；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4、社会保险证明复印件加盖公章；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5、</w:t>
      </w:r>
      <w:r>
        <w:rPr>
          <w:rFonts w:hint="eastAsia" w:hAnsi="黑体"/>
          <w:color w:val="auto"/>
          <w:szCs w:val="21"/>
        </w:rPr>
        <w:t>无重大违法记录声明函</w:t>
      </w:r>
      <w:r>
        <w:rPr>
          <w:rFonts w:hint="eastAsia" w:ascii="宋体" w:hAnsi="宋体"/>
          <w:color w:val="auto"/>
          <w:szCs w:val="21"/>
        </w:rPr>
        <w:t>；</w:t>
      </w:r>
    </w:p>
    <w:p>
      <w:pPr>
        <w:spacing w:line="440" w:lineRule="exact"/>
        <w:ind w:firstLine="420" w:firstLineChars="200"/>
        <w:rPr>
          <w:rFonts w:ascii="宋体" w:hAnsi="宋体"/>
          <w:color w:val="auto"/>
          <w:szCs w:val="21"/>
        </w:rPr>
      </w:pPr>
      <w:r>
        <w:rPr>
          <w:rFonts w:hint="eastAsia" w:ascii="宋体" w:hAnsi="宋体"/>
          <w:color w:val="auto"/>
          <w:szCs w:val="21"/>
        </w:rPr>
        <w:t>6、相关资质证明文件：</w:t>
      </w:r>
    </w:p>
    <w:p>
      <w:pPr>
        <w:spacing w:line="440" w:lineRule="exact"/>
        <w:ind w:firstLine="420" w:firstLineChars="200"/>
        <w:rPr>
          <w:rFonts w:ascii="宋体" w:hAnsi="宋体"/>
          <w:color w:val="auto"/>
          <w:szCs w:val="21"/>
        </w:rPr>
      </w:pPr>
      <w:r>
        <w:rPr>
          <w:rFonts w:hint="eastAsia" w:ascii="宋体" w:hAnsi="宋体"/>
          <w:color w:val="auto"/>
          <w:szCs w:val="21"/>
        </w:rPr>
        <w:t>7、</w:t>
      </w:r>
      <w:r>
        <w:rPr>
          <w:rFonts w:ascii="宋体" w:hAnsi="宋体"/>
          <w:color w:val="auto"/>
          <w:szCs w:val="21"/>
        </w:rPr>
        <w:t>………</w:t>
      </w:r>
    </w:p>
    <w:p>
      <w:pPr>
        <w:pStyle w:val="5"/>
        <w:rPr>
          <w:rFonts w:hAnsi="宋体"/>
          <w:bCs/>
          <w:color w:val="auto"/>
          <w:sz w:val="21"/>
          <w:szCs w:val="21"/>
        </w:rPr>
      </w:pPr>
    </w:p>
    <w:p>
      <w:pPr>
        <w:pStyle w:val="5"/>
        <w:rPr>
          <w:rFonts w:hAnsi="宋体"/>
          <w:bCs/>
          <w:color w:val="auto"/>
          <w:sz w:val="21"/>
          <w:szCs w:val="21"/>
        </w:rPr>
      </w:pPr>
    </w:p>
    <w:p>
      <w:pPr>
        <w:pStyle w:val="5"/>
        <w:rPr>
          <w:rFonts w:hAnsi="宋体"/>
          <w:bCs/>
          <w:color w:val="auto"/>
          <w:sz w:val="21"/>
          <w:szCs w:val="21"/>
        </w:rPr>
      </w:pPr>
    </w:p>
    <w:p>
      <w:pPr>
        <w:pStyle w:val="5"/>
        <w:rPr>
          <w:rFonts w:hAnsi="宋体"/>
          <w:bCs/>
          <w:color w:val="auto"/>
          <w:sz w:val="21"/>
          <w:szCs w:val="21"/>
        </w:rPr>
      </w:pPr>
    </w:p>
    <w:p>
      <w:pPr>
        <w:pStyle w:val="5"/>
        <w:rPr>
          <w:rFonts w:hAnsi="宋体"/>
          <w:color w:val="auto"/>
          <w:sz w:val="21"/>
          <w:szCs w:val="21"/>
        </w:rPr>
      </w:pPr>
      <w:r>
        <w:rPr>
          <w:rFonts w:hint="eastAsia" w:hAnsi="宋体"/>
          <w:bCs/>
          <w:color w:val="auto"/>
          <w:sz w:val="21"/>
          <w:szCs w:val="21"/>
        </w:rPr>
        <w:t>提供招标文件要求的资格</w:t>
      </w:r>
      <w:r>
        <w:rPr>
          <w:rFonts w:hint="eastAsia" w:hAnsi="宋体"/>
          <w:color w:val="auto"/>
          <w:sz w:val="21"/>
          <w:szCs w:val="21"/>
        </w:rPr>
        <w:t>证明文件复印件加盖公章。</w:t>
      </w: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4"/>
        <w:numPr>
          <w:ilvl w:val="0"/>
          <w:numId w:val="0"/>
        </w:numPr>
        <w:rPr>
          <w:rFonts w:hAnsi="黑体"/>
          <w:color w:val="auto"/>
          <w:szCs w:val="21"/>
        </w:rPr>
      </w:pPr>
      <w:bookmarkStart w:id="1663" w:name="_Toc26194"/>
      <w:bookmarkStart w:id="1664" w:name="_Toc6562"/>
      <w:r>
        <w:rPr>
          <w:rFonts w:hint="eastAsia" w:hAnsi="黑体"/>
          <w:color w:val="auto"/>
          <w:szCs w:val="21"/>
        </w:rPr>
        <w:t>（二）无重大违法记录声明函</w:t>
      </w:r>
      <w:bookmarkEnd w:id="1663"/>
      <w:bookmarkEnd w:id="1664"/>
    </w:p>
    <w:p>
      <w:pPr>
        <w:pStyle w:val="5"/>
        <w:spacing w:line="360" w:lineRule="auto"/>
        <w:ind w:left="420" w:firstLine="0"/>
        <w:rPr>
          <w:color w:val="auto"/>
        </w:rPr>
      </w:pPr>
    </w:p>
    <w:p>
      <w:pPr>
        <w:spacing w:line="360" w:lineRule="auto"/>
        <w:rPr>
          <w:color w:val="auto"/>
          <w:szCs w:val="21"/>
        </w:rPr>
      </w:pPr>
      <w:r>
        <w:rPr>
          <w:rFonts w:hint="eastAsia"/>
          <w:color w:val="auto"/>
          <w:szCs w:val="21"/>
        </w:rPr>
        <w:t>致广东业信采购招标有限公司：</w:t>
      </w:r>
    </w:p>
    <w:p>
      <w:pPr>
        <w:spacing w:line="360" w:lineRule="auto"/>
        <w:rPr>
          <w:rFonts w:ascii="宋体" w:hAnsi="宋体"/>
          <w:bCs/>
          <w:color w:val="auto"/>
          <w:u w:val="single"/>
        </w:rPr>
      </w:pPr>
      <w:r>
        <w:rPr>
          <w:rFonts w:hint="eastAsia"/>
          <w:color w:val="auto"/>
          <w:szCs w:val="21"/>
        </w:rPr>
        <w:t xml:space="preserve">    针对贵</w:t>
      </w:r>
      <w:r>
        <w:rPr>
          <w:rFonts w:hint="eastAsia" w:ascii="宋体" w:hAnsi="宋体"/>
          <w:color w:val="auto"/>
          <w:szCs w:val="21"/>
        </w:rPr>
        <w:t>方</w:t>
      </w:r>
      <w:r>
        <w:rPr>
          <w:rFonts w:hint="eastAsia"/>
          <w:color w:val="auto"/>
          <w:szCs w:val="21"/>
        </w:rPr>
        <w:t>组织的（项目名称：）（项目编号：），我方郑重承诺：</w:t>
      </w:r>
    </w:p>
    <w:p>
      <w:pPr>
        <w:spacing w:line="360" w:lineRule="auto"/>
        <w:rPr>
          <w:color w:val="auto"/>
          <w:szCs w:val="21"/>
        </w:rPr>
      </w:pPr>
      <w:r>
        <w:rPr>
          <w:rFonts w:hint="eastAsia"/>
          <w:color w:val="auto"/>
          <w:szCs w:val="21"/>
        </w:rPr>
        <w:t xml:space="preserve">    参加本次政府采购活动前三年内，在经营活动中没有重大违法记录。</w:t>
      </w:r>
    </w:p>
    <w:p>
      <w:pPr>
        <w:spacing w:line="360" w:lineRule="auto"/>
        <w:rPr>
          <w:color w:val="auto"/>
          <w:szCs w:val="21"/>
        </w:rPr>
      </w:pPr>
      <w:r>
        <w:rPr>
          <w:rFonts w:hint="eastAsia"/>
          <w:color w:val="auto"/>
          <w:szCs w:val="21"/>
        </w:rPr>
        <w:t xml:space="preserve">    本公司对上述声明的真实性负责。如有虚假，将依法承担相关责任。</w:t>
      </w:r>
    </w:p>
    <w:p>
      <w:pPr>
        <w:spacing w:line="360" w:lineRule="auto"/>
        <w:rPr>
          <w:color w:val="auto"/>
          <w:szCs w:val="21"/>
        </w:rPr>
      </w:pPr>
      <w:r>
        <w:rPr>
          <w:rFonts w:hint="eastAsia"/>
          <w:color w:val="auto"/>
          <w:szCs w:val="21"/>
        </w:rPr>
        <w:t xml:space="preserve">    特此声明。</w:t>
      </w: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rPr>
          <w:color w:val="auto"/>
          <w:szCs w:val="21"/>
        </w:rPr>
      </w:pPr>
      <w:r>
        <w:rPr>
          <w:rFonts w:hint="eastAsia"/>
          <w:color w:val="auto"/>
          <w:szCs w:val="21"/>
        </w:rPr>
        <w:t>投标人法定代表人（负责人）或授权代理人（签字）：</w:t>
      </w:r>
    </w:p>
    <w:p>
      <w:pPr>
        <w:spacing w:line="360" w:lineRule="auto"/>
        <w:rPr>
          <w:color w:val="auto"/>
          <w:szCs w:val="21"/>
          <w:u w:val="single"/>
        </w:rPr>
      </w:pPr>
      <w:r>
        <w:rPr>
          <w:rFonts w:hint="eastAsia"/>
          <w:color w:val="auto"/>
          <w:szCs w:val="21"/>
        </w:rPr>
        <w:t>投标人名称（公章）：</w:t>
      </w:r>
    </w:p>
    <w:p>
      <w:pPr>
        <w:spacing w:line="360" w:lineRule="auto"/>
        <w:rPr>
          <w:color w:val="auto"/>
          <w:szCs w:val="21"/>
          <w:u w:val="single"/>
        </w:rPr>
      </w:pPr>
      <w:r>
        <w:rPr>
          <w:rFonts w:hint="eastAsia" w:ascii="宋体" w:hAnsi="宋体"/>
          <w:bCs/>
          <w:color w:val="auto"/>
          <w:szCs w:val="21"/>
        </w:rPr>
        <w:t>日期： 年月 日</w:t>
      </w: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firstLine="0"/>
        <w:rPr>
          <w:color w:val="auto"/>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pStyle w:val="4"/>
        <w:numPr>
          <w:ilvl w:val="7"/>
          <w:numId w:val="6"/>
        </w:numPr>
        <w:tabs>
          <w:tab w:val="clear" w:pos="720"/>
        </w:tabs>
        <w:ind w:left="720"/>
        <w:rPr>
          <w:color w:val="auto"/>
        </w:rPr>
      </w:pPr>
      <w:bookmarkStart w:id="1665" w:name="_Toc5256"/>
      <w:bookmarkStart w:id="1666" w:name="_Toc26185"/>
      <w:r>
        <w:rPr>
          <w:rFonts w:hint="eastAsia"/>
          <w:color w:val="auto"/>
        </w:rPr>
        <w:t>投标文件商务及技术部分</w:t>
      </w:r>
      <w:bookmarkEnd w:id="1665"/>
      <w:bookmarkEnd w:id="1666"/>
    </w:p>
    <w:p>
      <w:pPr>
        <w:pStyle w:val="4"/>
        <w:numPr>
          <w:ilvl w:val="0"/>
          <w:numId w:val="0"/>
        </w:numPr>
        <w:rPr>
          <w:color w:val="auto"/>
          <w:sz w:val="24"/>
        </w:rPr>
      </w:pPr>
      <w:bookmarkStart w:id="1667" w:name="_Toc30735"/>
      <w:r>
        <w:rPr>
          <w:rFonts w:hint="eastAsia"/>
          <w:color w:val="auto"/>
          <w:sz w:val="24"/>
        </w:rPr>
        <w:t>商务及技术封面格式</w:t>
      </w:r>
      <w:bookmarkEnd w:id="1667"/>
    </w:p>
    <w:p>
      <w:pPr>
        <w:pStyle w:val="5"/>
        <w:rPr>
          <w:rFonts w:hAnsi="宋体"/>
          <w:bCs/>
          <w:color w:val="auto"/>
          <w:sz w:val="21"/>
        </w:rPr>
      </w:pPr>
    </w:p>
    <w:p>
      <w:pPr>
        <w:pStyle w:val="5"/>
        <w:spacing w:line="360" w:lineRule="auto"/>
        <w:rPr>
          <w:rFonts w:hAnsi="宋体"/>
          <w:bCs/>
          <w:color w:val="auto"/>
          <w:sz w:val="21"/>
        </w:rPr>
      </w:pPr>
      <w:r>
        <w:rPr>
          <w:rFonts w:hAnsi="宋体"/>
          <w:bCs/>
          <w:color w:val="auto"/>
          <w:sz w:val="21"/>
        </w:rPr>
        <w:t>1</w:t>
      </w:r>
      <w:r>
        <w:rPr>
          <w:rFonts w:hint="eastAsia" w:hAnsi="宋体"/>
          <w:bCs/>
          <w:color w:val="auto"/>
          <w:sz w:val="21"/>
        </w:rPr>
        <w:t xml:space="preserve">、投标内容应当编有目录、页码，按页码排序并装订成册。   </w:t>
      </w:r>
    </w:p>
    <w:p>
      <w:pPr>
        <w:pStyle w:val="5"/>
        <w:spacing w:line="360" w:lineRule="auto"/>
        <w:rPr>
          <w:rFonts w:hAnsi="宋体"/>
          <w:b/>
          <w:color w:val="auto"/>
          <w:sz w:val="21"/>
          <w:szCs w:val="21"/>
        </w:rPr>
      </w:pPr>
      <w:r>
        <w:rPr>
          <w:rFonts w:hAnsi="宋体"/>
          <w:bCs/>
          <w:color w:val="auto"/>
          <w:sz w:val="21"/>
        </w:rPr>
        <w:t>2</w:t>
      </w:r>
      <w:r>
        <w:rPr>
          <w:rFonts w:hint="eastAsia" w:hAnsi="宋体"/>
          <w:bCs/>
          <w:color w:val="auto"/>
          <w:sz w:val="21"/>
        </w:rPr>
        <w:t>、文件的封面格式由投</w:t>
      </w:r>
      <w:r>
        <w:rPr>
          <w:rFonts w:hint="eastAsia" w:hAnsi="宋体"/>
          <w:bCs/>
          <w:color w:val="auto"/>
          <w:sz w:val="21"/>
          <w:szCs w:val="21"/>
        </w:rPr>
        <w:t>标人自拟</w:t>
      </w:r>
      <w:r>
        <w:rPr>
          <w:rFonts w:hint="eastAsia" w:hAnsi="宋体"/>
          <w:bCs/>
          <w:color w:val="auto"/>
          <w:sz w:val="21"/>
        </w:rPr>
        <w:t>，并应注明“投标文件、项目编号、项目名称、投标人名称及地址、法定代表人（负责人）或授权代理人、联系电话、传真、邮编，并加盖投标人公章。</w:t>
      </w: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rPr>
          <w:rFonts w:hAnsi="宋体"/>
          <w:bCs/>
          <w:color w:val="auto"/>
          <w:sz w:val="21"/>
        </w:rPr>
      </w:pPr>
    </w:p>
    <w:p>
      <w:pPr>
        <w:pStyle w:val="5"/>
        <w:spacing w:line="440" w:lineRule="exact"/>
        <w:jc w:val="center"/>
        <w:rPr>
          <w:rFonts w:hAnsi="宋体"/>
          <w:bCs/>
          <w:color w:val="auto"/>
          <w:sz w:val="21"/>
        </w:rPr>
      </w:pPr>
    </w:p>
    <w:p>
      <w:pPr>
        <w:pStyle w:val="5"/>
        <w:spacing w:line="440" w:lineRule="exact"/>
        <w:ind w:firstLine="0"/>
        <w:jc w:val="both"/>
        <w:rPr>
          <w:rFonts w:hAnsi="宋体"/>
          <w:bCs/>
          <w:color w:val="auto"/>
          <w:sz w:val="21"/>
        </w:rPr>
      </w:pPr>
    </w:p>
    <w:p>
      <w:pPr>
        <w:pStyle w:val="5"/>
        <w:spacing w:line="440" w:lineRule="exact"/>
        <w:jc w:val="center"/>
        <w:rPr>
          <w:rFonts w:hAnsi="宋体"/>
          <w:bCs/>
          <w:color w:val="auto"/>
          <w:sz w:val="21"/>
        </w:rPr>
      </w:pPr>
    </w:p>
    <w:p>
      <w:pPr>
        <w:pStyle w:val="5"/>
        <w:spacing w:line="360" w:lineRule="auto"/>
        <w:jc w:val="center"/>
        <w:rPr>
          <w:rFonts w:hint="eastAsia" w:hAnsi="宋体"/>
          <w:b/>
          <w:bCs/>
          <w:color w:val="auto"/>
          <w:sz w:val="52"/>
          <w:szCs w:val="52"/>
        </w:rPr>
      </w:pPr>
    </w:p>
    <w:p>
      <w:pPr>
        <w:pStyle w:val="5"/>
        <w:spacing w:line="360" w:lineRule="auto"/>
        <w:jc w:val="center"/>
        <w:rPr>
          <w:rFonts w:hAnsi="宋体"/>
          <w:bCs/>
          <w:color w:val="auto"/>
          <w:sz w:val="52"/>
          <w:szCs w:val="52"/>
        </w:rPr>
      </w:pPr>
      <w:r>
        <w:rPr>
          <w:rFonts w:hint="eastAsia" w:hAnsi="宋体"/>
          <w:b/>
          <w:bCs/>
          <w:color w:val="auto"/>
          <w:sz w:val="52"/>
          <w:szCs w:val="52"/>
        </w:rPr>
        <w:t>投标文件（□正本、□副本</w:t>
      </w:r>
      <w:r>
        <w:rPr>
          <w:rFonts w:hint="eastAsia" w:hAnsi="宋体"/>
          <w:bCs/>
          <w:color w:val="auto"/>
          <w:sz w:val="52"/>
          <w:szCs w:val="52"/>
        </w:rPr>
        <w:t>）</w:t>
      </w:r>
    </w:p>
    <w:p>
      <w:pPr>
        <w:pStyle w:val="5"/>
        <w:spacing w:line="360" w:lineRule="auto"/>
        <w:jc w:val="center"/>
        <w:rPr>
          <w:rFonts w:hAnsi="宋体"/>
          <w:bCs/>
          <w:color w:val="auto"/>
          <w:sz w:val="52"/>
          <w:szCs w:val="52"/>
        </w:rPr>
      </w:pPr>
      <w:r>
        <w:rPr>
          <w:rFonts w:hint="eastAsia" w:hAnsi="宋体"/>
          <w:b/>
          <w:color w:val="auto"/>
          <w:sz w:val="44"/>
          <w:szCs w:val="44"/>
        </w:rPr>
        <w:t>（商务及技术文件）</w:t>
      </w: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360" w:lineRule="auto"/>
        <w:jc w:val="center"/>
        <w:rPr>
          <w:rFonts w:hAnsi="宋体"/>
          <w:bCs/>
          <w:color w:val="auto"/>
          <w:sz w:val="52"/>
          <w:szCs w:val="52"/>
        </w:rPr>
      </w:pPr>
    </w:p>
    <w:p>
      <w:pPr>
        <w:pStyle w:val="5"/>
        <w:spacing w:line="440" w:lineRule="exact"/>
        <w:jc w:val="center"/>
        <w:rPr>
          <w:rFonts w:hAnsi="宋体"/>
          <w:bCs/>
          <w:color w:val="auto"/>
          <w:sz w:val="21"/>
        </w:rPr>
      </w:pPr>
    </w:p>
    <w:p>
      <w:pPr>
        <w:pStyle w:val="5"/>
        <w:spacing w:line="440" w:lineRule="exact"/>
        <w:rPr>
          <w:rFonts w:hAnsi="宋体"/>
          <w:bCs/>
          <w:color w:val="auto"/>
          <w:sz w:val="21"/>
        </w:rPr>
      </w:pPr>
      <w:r>
        <w:rPr>
          <w:rFonts w:hint="eastAsia" w:hAnsi="宋体"/>
          <w:bCs/>
          <w:color w:val="auto"/>
          <w:sz w:val="21"/>
        </w:rPr>
        <w:t>项目编号：</w:t>
      </w:r>
    </w:p>
    <w:p>
      <w:pPr>
        <w:pStyle w:val="5"/>
        <w:spacing w:line="440" w:lineRule="exact"/>
        <w:rPr>
          <w:rFonts w:hAnsi="宋体"/>
          <w:bCs/>
          <w:color w:val="auto"/>
          <w:sz w:val="21"/>
          <w:u w:val="single"/>
        </w:rPr>
      </w:pPr>
      <w:r>
        <w:rPr>
          <w:rFonts w:hint="eastAsia" w:hAnsi="宋体"/>
          <w:bCs/>
          <w:color w:val="auto"/>
          <w:sz w:val="21"/>
        </w:rPr>
        <w:t>项目名称：</w:t>
      </w:r>
      <w:r>
        <w:rPr>
          <w:rFonts w:hint="eastAsia" w:hAnsi="宋体" w:cs="宋体"/>
          <w:color w:val="auto"/>
          <w:sz w:val="21"/>
          <w:szCs w:val="21"/>
          <w:u w:val="single"/>
        </w:rPr>
        <w:t>采购项目名称，由投标人填写</w:t>
      </w:r>
    </w:p>
    <w:p>
      <w:pPr>
        <w:pStyle w:val="5"/>
        <w:spacing w:line="440" w:lineRule="exact"/>
        <w:rPr>
          <w:rFonts w:hAnsi="宋体"/>
          <w:bCs/>
          <w:color w:val="auto"/>
          <w:sz w:val="21"/>
          <w:u w:val="single"/>
        </w:rPr>
      </w:pPr>
      <w:r>
        <w:rPr>
          <w:rFonts w:hint="eastAsia" w:hAnsi="宋体"/>
          <w:bCs/>
          <w:color w:val="auto"/>
          <w:sz w:val="21"/>
        </w:rPr>
        <w:t>投标人名称（公章）：</w:t>
      </w:r>
    </w:p>
    <w:p>
      <w:pPr>
        <w:pStyle w:val="5"/>
        <w:spacing w:line="440" w:lineRule="exact"/>
        <w:rPr>
          <w:rFonts w:hAnsi="宋体"/>
          <w:bCs/>
          <w:color w:val="auto"/>
          <w:sz w:val="21"/>
          <w:u w:val="single"/>
        </w:rPr>
      </w:pPr>
      <w:r>
        <w:rPr>
          <w:rFonts w:hint="eastAsia" w:hAnsi="宋体"/>
          <w:bCs/>
          <w:color w:val="auto"/>
          <w:sz w:val="21"/>
        </w:rPr>
        <w:t>投标人地址：</w:t>
      </w:r>
    </w:p>
    <w:p>
      <w:pPr>
        <w:pStyle w:val="5"/>
        <w:spacing w:line="440" w:lineRule="exact"/>
        <w:rPr>
          <w:rFonts w:hAnsi="宋体"/>
          <w:bCs/>
          <w:color w:val="auto"/>
          <w:sz w:val="21"/>
          <w:u w:val="single"/>
        </w:rPr>
      </w:pPr>
      <w:r>
        <w:rPr>
          <w:rFonts w:hint="eastAsia" w:hAnsi="宋体"/>
          <w:bCs/>
          <w:color w:val="auto"/>
          <w:sz w:val="21"/>
        </w:rPr>
        <w:t>法定代表人（负责人）或授权代理人（签字）</w:t>
      </w:r>
      <w:r>
        <w:rPr>
          <w:rFonts w:hAnsi="宋体"/>
          <w:bCs/>
          <w:color w:val="auto"/>
          <w:sz w:val="21"/>
        </w:rPr>
        <w:t>：</w:t>
      </w:r>
    </w:p>
    <w:p>
      <w:pPr>
        <w:pStyle w:val="5"/>
        <w:spacing w:line="440" w:lineRule="exact"/>
        <w:rPr>
          <w:rFonts w:hAnsi="宋体"/>
          <w:bCs/>
          <w:color w:val="auto"/>
          <w:sz w:val="21"/>
          <w:u w:val="single"/>
        </w:rPr>
      </w:pPr>
      <w:r>
        <w:rPr>
          <w:rFonts w:hint="eastAsia" w:hAnsi="宋体"/>
          <w:bCs/>
          <w:color w:val="auto"/>
          <w:sz w:val="21"/>
        </w:rPr>
        <w:t>联系</w:t>
      </w:r>
      <w:r>
        <w:rPr>
          <w:rFonts w:hAnsi="宋体"/>
          <w:bCs/>
          <w:color w:val="auto"/>
          <w:sz w:val="21"/>
        </w:rPr>
        <w:t>电话：</w:t>
      </w:r>
      <w:r>
        <w:rPr>
          <w:rFonts w:hint="eastAsia" w:hAnsi="宋体"/>
          <w:bCs/>
          <w:color w:val="auto"/>
          <w:sz w:val="21"/>
        </w:rPr>
        <w:t>传真：</w:t>
      </w:r>
    </w:p>
    <w:p>
      <w:pPr>
        <w:pStyle w:val="5"/>
        <w:spacing w:line="440" w:lineRule="exact"/>
        <w:rPr>
          <w:rFonts w:hAnsi="宋体"/>
          <w:bCs/>
          <w:color w:val="auto"/>
          <w:sz w:val="21"/>
          <w:u w:val="single"/>
        </w:rPr>
      </w:pPr>
      <w:r>
        <w:rPr>
          <w:rFonts w:hAnsi="宋体"/>
          <w:bCs/>
          <w:color w:val="auto"/>
          <w:sz w:val="21"/>
        </w:rPr>
        <w:t>邮编：</w:t>
      </w:r>
    </w:p>
    <w:p>
      <w:pPr>
        <w:pStyle w:val="5"/>
        <w:spacing w:line="440" w:lineRule="exact"/>
        <w:rPr>
          <w:color w:val="auto"/>
        </w:rPr>
      </w:pPr>
      <w:r>
        <w:rPr>
          <w:rFonts w:hint="eastAsia" w:hAnsi="宋体"/>
          <w:bCs/>
          <w:color w:val="auto"/>
          <w:sz w:val="21"/>
        </w:rPr>
        <w:t>编制日期：年月日</w:t>
      </w:r>
    </w:p>
    <w:p>
      <w:pPr>
        <w:tabs>
          <w:tab w:val="left" w:pos="1004"/>
          <w:tab w:val="left" w:pos="4267"/>
        </w:tabs>
        <w:spacing w:line="400" w:lineRule="exact"/>
        <w:rPr>
          <w:rFonts w:ascii="宋体" w:hAnsi="宋体"/>
          <w:bCs/>
          <w:color w:val="auto"/>
        </w:rPr>
      </w:pPr>
    </w:p>
    <w:p>
      <w:pPr>
        <w:pStyle w:val="5"/>
        <w:rPr>
          <w:color w:val="auto"/>
        </w:rPr>
      </w:pPr>
    </w:p>
    <w:p>
      <w:pPr>
        <w:pStyle w:val="5"/>
        <w:rPr>
          <w:color w:val="auto"/>
        </w:rPr>
      </w:pPr>
    </w:p>
    <w:p>
      <w:pPr>
        <w:pStyle w:val="5"/>
        <w:ind w:firstLine="0"/>
        <w:rPr>
          <w:color w:val="auto"/>
        </w:rPr>
      </w:pPr>
    </w:p>
    <w:p>
      <w:pPr>
        <w:pStyle w:val="4"/>
        <w:keepLines w:val="0"/>
        <w:numPr>
          <w:ilvl w:val="0"/>
          <w:numId w:val="0"/>
        </w:numPr>
        <w:tabs>
          <w:tab w:val="left" w:pos="4320"/>
        </w:tabs>
        <w:spacing w:before="240" w:after="60" w:line="360" w:lineRule="exact"/>
        <w:rPr>
          <w:rFonts w:ascii="宋体"/>
          <w:b/>
          <w:bCs w:val="0"/>
          <w:color w:val="auto"/>
          <w:szCs w:val="21"/>
        </w:rPr>
      </w:pPr>
      <w:bookmarkStart w:id="1668" w:name="_Toc28668"/>
      <w:r>
        <w:rPr>
          <w:rFonts w:hint="eastAsia" w:ascii="宋体"/>
          <w:b/>
          <w:bCs w:val="0"/>
          <w:color w:val="auto"/>
          <w:szCs w:val="21"/>
        </w:rPr>
        <w:t>符合性自查表</w:t>
      </w:r>
      <w:bookmarkEnd w:id="1668"/>
    </w:p>
    <w:p>
      <w:pPr>
        <w:jc w:val="center"/>
        <w:rPr>
          <w:rFonts w:ascii="宋体" w:hAnsi="宋体"/>
          <w:b/>
          <w:bCs/>
          <w:color w:val="auto"/>
          <w:szCs w:val="21"/>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评审内容</w:t>
            </w:r>
          </w:p>
        </w:tc>
        <w:tc>
          <w:tcPr>
            <w:tcW w:w="1958"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招标文件要求</w:t>
            </w:r>
          </w:p>
        </w:tc>
        <w:tc>
          <w:tcPr>
            <w:tcW w:w="1975"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自查结论</w:t>
            </w:r>
          </w:p>
          <w:p>
            <w:pPr>
              <w:tabs>
                <w:tab w:val="left" w:pos="480"/>
              </w:tabs>
              <w:ind w:left="480" w:hanging="480"/>
              <w:jc w:val="center"/>
              <w:rPr>
                <w:rFonts w:ascii="宋体" w:hAnsi="宋体"/>
                <w:bCs/>
                <w:color w:val="auto"/>
                <w:szCs w:val="21"/>
              </w:rPr>
            </w:pPr>
            <w:r>
              <w:rPr>
                <w:rFonts w:hint="eastAsia" w:ascii="宋体" w:hAnsi="宋体"/>
                <w:bCs/>
                <w:color w:val="auto"/>
                <w:szCs w:val="21"/>
              </w:rPr>
              <w:t>（通过/不通过）</w:t>
            </w:r>
          </w:p>
        </w:tc>
        <w:tc>
          <w:tcPr>
            <w:tcW w:w="2484" w:type="dxa"/>
            <w:vAlign w:val="center"/>
          </w:tcPr>
          <w:p>
            <w:pPr>
              <w:tabs>
                <w:tab w:val="left" w:pos="480"/>
              </w:tabs>
              <w:ind w:left="480" w:hanging="480"/>
              <w:jc w:val="center"/>
              <w:rPr>
                <w:rFonts w:ascii="宋体" w:hAnsi="宋体"/>
                <w:b/>
                <w:bCs/>
                <w:color w:val="auto"/>
                <w:szCs w:val="21"/>
              </w:rPr>
            </w:pPr>
            <w:r>
              <w:rPr>
                <w:rFonts w:hint="eastAsia" w:ascii="宋体" w:hAnsi="宋体"/>
                <w:b/>
                <w:bCs/>
                <w:color w:val="auto"/>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auto"/>
                <w:szCs w:val="21"/>
              </w:rPr>
            </w:pPr>
            <w:r>
              <w:rPr>
                <w:rFonts w:hint="eastAsia" w:ascii="宋体" w:hAnsi="宋体"/>
                <w:color w:val="auto"/>
                <w:szCs w:val="21"/>
              </w:rPr>
              <w:t>符合性审查</w:t>
            </w:r>
          </w:p>
        </w:tc>
        <w:tc>
          <w:tcPr>
            <w:tcW w:w="2300" w:type="dxa"/>
            <w:vAlign w:val="center"/>
          </w:tcPr>
          <w:p>
            <w:pPr>
              <w:tabs>
                <w:tab w:val="left" w:pos="146"/>
              </w:tabs>
              <w:ind w:left="146"/>
              <w:rPr>
                <w:rFonts w:ascii="宋体" w:hAnsi="宋体"/>
                <w:b/>
                <w:bCs/>
                <w:color w:val="auto"/>
                <w:szCs w:val="21"/>
              </w:rPr>
            </w:pPr>
            <w:r>
              <w:rPr>
                <w:rFonts w:hint="eastAsia" w:ascii="宋体" w:hAnsi="宋体"/>
                <w:color w:val="auto"/>
                <w:szCs w:val="21"/>
              </w:rPr>
              <w:t>完工期须满足要求</w:t>
            </w:r>
          </w:p>
        </w:tc>
        <w:tc>
          <w:tcPr>
            <w:tcW w:w="1958" w:type="dxa"/>
            <w:vAlign w:val="center"/>
          </w:tcPr>
          <w:p>
            <w:pPr>
              <w:tabs>
                <w:tab w:val="left" w:pos="0"/>
              </w:tabs>
              <w:rPr>
                <w:rFonts w:ascii="宋体" w:hAnsi="宋体"/>
                <w:b/>
                <w:bCs/>
                <w:color w:val="auto"/>
                <w:szCs w:val="21"/>
              </w:rPr>
            </w:pPr>
            <w:r>
              <w:rPr>
                <w:rFonts w:hint="eastAsia" w:ascii="宋体" w:hAnsi="宋体"/>
                <w:color w:val="auto"/>
                <w:szCs w:val="21"/>
              </w:rPr>
              <w:t>按招标文件要求</w:t>
            </w:r>
          </w:p>
        </w:tc>
        <w:tc>
          <w:tcPr>
            <w:tcW w:w="1975" w:type="dxa"/>
            <w:vAlign w:val="center"/>
          </w:tcPr>
          <w:p>
            <w:pPr>
              <w:tabs>
                <w:tab w:val="left" w:pos="480"/>
              </w:tabs>
              <w:ind w:left="480" w:hanging="480"/>
              <w:rPr>
                <w:rFonts w:ascii="宋体" w:hAnsi="宋体"/>
                <w:b/>
                <w:bCs/>
                <w:color w:val="auto"/>
                <w:szCs w:val="21"/>
              </w:rPr>
            </w:pPr>
          </w:p>
        </w:tc>
        <w:tc>
          <w:tcPr>
            <w:tcW w:w="2484" w:type="dxa"/>
            <w:vAlign w:val="center"/>
          </w:tcPr>
          <w:p>
            <w:pPr>
              <w:tabs>
                <w:tab w:val="left" w:pos="0"/>
              </w:tabs>
              <w:jc w:val="center"/>
              <w:rPr>
                <w:rFonts w:ascii="宋体" w:hAnsi="宋体"/>
                <w:color w:val="auto"/>
                <w:szCs w:val="21"/>
              </w:rPr>
            </w:pPr>
            <w:r>
              <w:rPr>
                <w:rFonts w:hint="eastAsia" w:ascii="宋体" w:hAnsi="宋体"/>
                <w:color w:val="auto"/>
                <w:szCs w:val="21"/>
              </w:rPr>
              <w:t>见投标文件</w:t>
            </w:r>
          </w:p>
          <w:p>
            <w:pPr>
              <w:tabs>
                <w:tab w:val="left" w:pos="0"/>
              </w:tabs>
              <w:jc w:val="center"/>
              <w:rPr>
                <w:rFonts w:ascii="宋体" w:hAnsi="宋体"/>
                <w:b/>
                <w:bCs/>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rPr>
            </w:pPr>
          </w:p>
        </w:tc>
        <w:tc>
          <w:tcPr>
            <w:tcW w:w="2300" w:type="dxa"/>
            <w:vAlign w:val="center"/>
          </w:tcPr>
          <w:p>
            <w:pPr>
              <w:tabs>
                <w:tab w:val="left" w:pos="146"/>
              </w:tabs>
              <w:ind w:left="146"/>
              <w:rPr>
                <w:rFonts w:ascii="宋体" w:hAnsi="宋体"/>
                <w:b/>
                <w:bCs/>
                <w:color w:val="auto"/>
                <w:szCs w:val="21"/>
              </w:rPr>
            </w:pPr>
            <w:r>
              <w:rPr>
                <w:rFonts w:hint="eastAsia" w:ascii="宋体" w:hAnsi="宋体"/>
                <w:color w:val="auto"/>
                <w:szCs w:val="21"/>
              </w:rPr>
              <w:t>投标报价未超出报价上限</w:t>
            </w:r>
          </w:p>
        </w:tc>
        <w:tc>
          <w:tcPr>
            <w:tcW w:w="1958" w:type="dxa"/>
            <w:vAlign w:val="center"/>
          </w:tcPr>
          <w:p>
            <w:pPr>
              <w:tabs>
                <w:tab w:val="left" w:pos="0"/>
              </w:tabs>
              <w:rPr>
                <w:rFonts w:ascii="宋体" w:hAnsi="宋体"/>
                <w:b/>
                <w:bCs/>
                <w:color w:val="auto"/>
                <w:szCs w:val="21"/>
              </w:rPr>
            </w:pPr>
            <w:r>
              <w:rPr>
                <w:rFonts w:hint="eastAsia" w:ascii="宋体" w:hAnsi="宋体"/>
                <w:color w:val="auto"/>
                <w:szCs w:val="21"/>
              </w:rPr>
              <w:t>按招标文件要求</w:t>
            </w:r>
          </w:p>
        </w:tc>
        <w:tc>
          <w:tcPr>
            <w:tcW w:w="1975" w:type="dxa"/>
            <w:vAlign w:val="center"/>
          </w:tcPr>
          <w:p>
            <w:pPr>
              <w:tabs>
                <w:tab w:val="left" w:pos="480"/>
              </w:tabs>
              <w:ind w:left="480" w:hanging="480"/>
              <w:rPr>
                <w:rFonts w:ascii="宋体" w:hAnsi="宋体"/>
                <w:b/>
                <w:bCs/>
                <w:color w:val="auto"/>
                <w:szCs w:val="21"/>
              </w:rPr>
            </w:pPr>
          </w:p>
        </w:tc>
        <w:tc>
          <w:tcPr>
            <w:tcW w:w="2484" w:type="dxa"/>
            <w:vAlign w:val="center"/>
          </w:tcPr>
          <w:p>
            <w:pPr>
              <w:tabs>
                <w:tab w:val="left" w:pos="0"/>
              </w:tabs>
              <w:jc w:val="center"/>
              <w:rPr>
                <w:rFonts w:ascii="宋体" w:hAnsi="宋体"/>
                <w:color w:val="auto"/>
                <w:szCs w:val="21"/>
              </w:rPr>
            </w:pPr>
            <w:r>
              <w:rPr>
                <w:rFonts w:hint="eastAsia" w:ascii="宋体" w:hAnsi="宋体"/>
                <w:color w:val="auto"/>
                <w:szCs w:val="21"/>
              </w:rPr>
              <w:t>见投标文件</w:t>
            </w:r>
          </w:p>
          <w:p>
            <w:pPr>
              <w:tabs>
                <w:tab w:val="left" w:pos="0"/>
              </w:tabs>
              <w:jc w:val="center"/>
              <w:rPr>
                <w:rFonts w:ascii="宋体" w:hAnsi="宋体"/>
                <w:b/>
                <w:bCs/>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rPr>
            </w:pPr>
          </w:p>
        </w:tc>
        <w:tc>
          <w:tcPr>
            <w:tcW w:w="2300" w:type="dxa"/>
            <w:vAlign w:val="center"/>
          </w:tcPr>
          <w:p>
            <w:pPr>
              <w:tabs>
                <w:tab w:val="left" w:pos="146"/>
              </w:tabs>
              <w:ind w:left="146"/>
              <w:rPr>
                <w:rFonts w:ascii="宋体" w:hAnsi="宋体"/>
                <w:color w:val="auto"/>
                <w:szCs w:val="21"/>
              </w:rPr>
            </w:pPr>
            <w:r>
              <w:rPr>
                <w:rFonts w:hint="eastAsia" w:ascii="宋体" w:hAnsi="宋体"/>
                <w:color w:val="auto"/>
                <w:szCs w:val="21"/>
              </w:rPr>
              <w:t>保证金须满足要求</w:t>
            </w:r>
          </w:p>
        </w:tc>
        <w:tc>
          <w:tcPr>
            <w:tcW w:w="1958" w:type="dxa"/>
            <w:vAlign w:val="center"/>
          </w:tcPr>
          <w:p>
            <w:pPr>
              <w:tabs>
                <w:tab w:val="left" w:pos="0"/>
              </w:tabs>
              <w:rPr>
                <w:rFonts w:ascii="宋体" w:hAnsi="宋体"/>
                <w:color w:val="auto"/>
                <w:szCs w:val="21"/>
              </w:rPr>
            </w:pPr>
            <w:r>
              <w:rPr>
                <w:rFonts w:hint="eastAsia" w:ascii="宋体" w:hAnsi="宋体"/>
                <w:color w:val="auto"/>
                <w:szCs w:val="21"/>
              </w:rPr>
              <w:t>按招标文件要求</w:t>
            </w:r>
          </w:p>
        </w:tc>
        <w:tc>
          <w:tcPr>
            <w:tcW w:w="1975" w:type="dxa"/>
            <w:vAlign w:val="center"/>
          </w:tcPr>
          <w:p>
            <w:pPr>
              <w:tabs>
                <w:tab w:val="left" w:pos="480"/>
              </w:tabs>
              <w:ind w:left="480" w:hanging="480"/>
              <w:rPr>
                <w:rFonts w:ascii="宋体" w:hAnsi="宋体"/>
                <w:color w:val="auto"/>
                <w:szCs w:val="21"/>
              </w:rPr>
            </w:pPr>
          </w:p>
        </w:tc>
        <w:tc>
          <w:tcPr>
            <w:tcW w:w="2484" w:type="dxa"/>
            <w:vAlign w:val="center"/>
          </w:tcPr>
          <w:p>
            <w:pPr>
              <w:tabs>
                <w:tab w:val="left" w:pos="0"/>
              </w:tabs>
              <w:jc w:val="center"/>
              <w:rPr>
                <w:rFonts w:ascii="宋体" w:hAnsi="宋体"/>
                <w:color w:val="auto"/>
                <w:szCs w:val="21"/>
              </w:rPr>
            </w:pPr>
            <w:r>
              <w:rPr>
                <w:rFonts w:hint="eastAsia" w:ascii="宋体" w:hAnsi="宋体"/>
                <w:color w:val="auto"/>
                <w:szCs w:val="21"/>
              </w:rPr>
              <w:t>见投标文件</w:t>
            </w:r>
          </w:p>
          <w:p>
            <w:pPr>
              <w:tabs>
                <w:tab w:val="left" w:pos="0"/>
              </w:tabs>
              <w:jc w:val="center"/>
              <w:rPr>
                <w:rFonts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rPr>
            </w:pPr>
          </w:p>
        </w:tc>
        <w:tc>
          <w:tcPr>
            <w:tcW w:w="2300" w:type="dxa"/>
            <w:vAlign w:val="center"/>
          </w:tcPr>
          <w:p>
            <w:pPr>
              <w:tabs>
                <w:tab w:val="left" w:pos="146"/>
              </w:tabs>
              <w:ind w:left="146"/>
              <w:rPr>
                <w:rFonts w:ascii="宋体" w:hAnsi="宋体"/>
                <w:color w:val="auto"/>
                <w:szCs w:val="21"/>
              </w:rPr>
            </w:pPr>
            <w:r>
              <w:rPr>
                <w:rFonts w:hint="eastAsia" w:ascii="宋体" w:hAnsi="宋体"/>
                <w:color w:val="auto"/>
                <w:szCs w:val="21"/>
              </w:rPr>
              <w:t>法定代表人/负责人资格证明书及授权委托书</w:t>
            </w:r>
          </w:p>
        </w:tc>
        <w:tc>
          <w:tcPr>
            <w:tcW w:w="1958" w:type="dxa"/>
            <w:vAlign w:val="center"/>
          </w:tcPr>
          <w:p>
            <w:pPr>
              <w:tabs>
                <w:tab w:val="left" w:pos="0"/>
              </w:tabs>
              <w:rPr>
                <w:rFonts w:ascii="宋体" w:hAnsi="宋体"/>
                <w:color w:val="auto"/>
                <w:szCs w:val="21"/>
              </w:rPr>
            </w:pPr>
            <w:r>
              <w:rPr>
                <w:rFonts w:hint="eastAsia" w:ascii="宋体" w:hAnsi="宋体"/>
                <w:color w:val="auto"/>
                <w:szCs w:val="21"/>
              </w:rPr>
              <w:t>按对应格式文件签署、盖章(原件)</w:t>
            </w:r>
          </w:p>
        </w:tc>
        <w:tc>
          <w:tcPr>
            <w:tcW w:w="1975" w:type="dxa"/>
            <w:vAlign w:val="center"/>
          </w:tcPr>
          <w:p>
            <w:pPr>
              <w:pStyle w:val="9"/>
              <w:rPr>
                <w:rFonts w:ascii="宋体" w:hAnsi="宋体"/>
                <w:bCs/>
                <w:color w:val="auto"/>
                <w:szCs w:val="21"/>
              </w:rPr>
            </w:pPr>
          </w:p>
        </w:tc>
        <w:tc>
          <w:tcPr>
            <w:tcW w:w="2484" w:type="dxa"/>
            <w:vAlign w:val="center"/>
          </w:tcPr>
          <w:p>
            <w:pPr>
              <w:tabs>
                <w:tab w:val="left" w:pos="0"/>
              </w:tabs>
              <w:jc w:val="center"/>
              <w:rPr>
                <w:rFonts w:ascii="宋体" w:hAnsi="宋体"/>
                <w:color w:val="auto"/>
                <w:szCs w:val="21"/>
              </w:rPr>
            </w:pPr>
            <w:r>
              <w:rPr>
                <w:rFonts w:hint="eastAsia" w:ascii="宋体" w:hAnsi="宋体"/>
                <w:color w:val="auto"/>
                <w:szCs w:val="21"/>
              </w:rPr>
              <w:t>见投标文件</w:t>
            </w:r>
          </w:p>
          <w:p>
            <w:pPr>
              <w:tabs>
                <w:tab w:val="left" w:pos="0"/>
              </w:tabs>
              <w:jc w:val="center"/>
              <w:rPr>
                <w:rFonts w:ascii="宋体" w:hAnsi="宋体"/>
                <w:color w:val="auto"/>
                <w:szCs w:val="21"/>
              </w:rPr>
            </w:pPr>
            <w:r>
              <w:rPr>
                <w:rFonts w:hint="eastAsia" w:ascii="宋体" w:hAnsi="宋体"/>
                <w:color w:val="auto"/>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rPr>
            </w:pPr>
          </w:p>
        </w:tc>
        <w:tc>
          <w:tcPr>
            <w:tcW w:w="2300" w:type="dxa"/>
            <w:vAlign w:val="center"/>
          </w:tcPr>
          <w:p>
            <w:pPr>
              <w:tabs>
                <w:tab w:val="left" w:pos="146"/>
              </w:tabs>
              <w:ind w:left="146"/>
              <w:rPr>
                <w:rFonts w:ascii="宋体" w:hAnsi="宋体"/>
                <w:color w:val="auto"/>
                <w:szCs w:val="21"/>
              </w:rPr>
            </w:pPr>
            <w:r>
              <w:rPr>
                <w:rFonts w:hint="eastAsia" w:ascii="宋体" w:hAnsi="宋体"/>
                <w:color w:val="auto"/>
                <w:szCs w:val="21"/>
              </w:rPr>
              <w:t>其他要求</w:t>
            </w:r>
          </w:p>
        </w:tc>
        <w:tc>
          <w:tcPr>
            <w:tcW w:w="1958" w:type="dxa"/>
            <w:vAlign w:val="center"/>
          </w:tcPr>
          <w:p>
            <w:pPr>
              <w:tabs>
                <w:tab w:val="left" w:pos="0"/>
              </w:tabs>
              <w:rPr>
                <w:rFonts w:ascii="宋体" w:hAnsi="宋体"/>
                <w:color w:val="auto"/>
                <w:szCs w:val="21"/>
              </w:rPr>
            </w:pPr>
            <w:r>
              <w:rPr>
                <w:rFonts w:hint="eastAsia" w:ascii="宋体" w:hAnsi="宋体"/>
                <w:color w:val="auto"/>
                <w:szCs w:val="21"/>
              </w:rPr>
              <w:t>按投标资料清单中规定提供“必须提交”的文件资料</w:t>
            </w:r>
          </w:p>
        </w:tc>
        <w:tc>
          <w:tcPr>
            <w:tcW w:w="1975" w:type="dxa"/>
            <w:vAlign w:val="center"/>
          </w:tcPr>
          <w:p>
            <w:pPr>
              <w:tabs>
                <w:tab w:val="left" w:pos="480"/>
              </w:tabs>
              <w:ind w:left="480" w:hanging="480"/>
              <w:rPr>
                <w:color w:val="auto"/>
              </w:rPr>
            </w:pPr>
          </w:p>
        </w:tc>
        <w:tc>
          <w:tcPr>
            <w:tcW w:w="2484" w:type="dxa"/>
            <w:vAlign w:val="center"/>
          </w:tcPr>
          <w:p>
            <w:pPr>
              <w:tabs>
                <w:tab w:val="left" w:pos="0"/>
              </w:tabs>
              <w:jc w:val="center"/>
              <w:rPr>
                <w:rFonts w:ascii="宋体" w:hAnsi="宋体"/>
                <w:color w:val="auto"/>
                <w:szCs w:val="21"/>
              </w:rPr>
            </w:pPr>
            <w:r>
              <w:rPr>
                <w:rFonts w:hint="eastAsia" w:ascii="宋体" w:hAnsi="宋体"/>
                <w:color w:val="auto"/>
                <w:szCs w:val="21"/>
              </w:rPr>
              <w:t>见投标文件</w:t>
            </w:r>
          </w:p>
          <w:p>
            <w:pPr>
              <w:tabs>
                <w:tab w:val="left" w:pos="0"/>
              </w:tabs>
              <w:jc w:val="center"/>
              <w:rPr>
                <w:rFonts w:ascii="宋体" w:hAnsi="宋体"/>
                <w:color w:val="auto"/>
                <w:szCs w:val="21"/>
              </w:rPr>
            </w:pPr>
            <w:r>
              <w:rPr>
                <w:rFonts w:hint="eastAsia" w:ascii="宋体" w:hAnsi="宋体"/>
                <w:color w:val="auto"/>
                <w:szCs w:val="21"/>
              </w:rPr>
              <w:t>第（  ）页</w:t>
            </w:r>
          </w:p>
        </w:tc>
      </w:tr>
    </w:tbl>
    <w:p>
      <w:pPr>
        <w:tabs>
          <w:tab w:val="center" w:pos="4483"/>
        </w:tabs>
        <w:ind w:left="315" w:leftChars="50" w:hanging="210" w:hangingChars="100"/>
        <w:rPr>
          <w:rFonts w:ascii="宋体" w:hAnsi="宋体"/>
          <w:color w:val="auto"/>
          <w:szCs w:val="21"/>
        </w:rPr>
      </w:pPr>
    </w:p>
    <w:p>
      <w:pPr>
        <w:tabs>
          <w:tab w:val="center" w:pos="4483"/>
        </w:tabs>
        <w:ind w:left="525" w:leftChars="50" w:hanging="420" w:hangingChars="200"/>
        <w:rPr>
          <w:rFonts w:ascii="宋体" w:hAnsi="宋体"/>
          <w:color w:val="auto"/>
          <w:szCs w:val="21"/>
        </w:rPr>
      </w:pPr>
      <w:r>
        <w:rPr>
          <w:rFonts w:hint="eastAsia" w:ascii="宋体" w:hAnsi="宋体"/>
          <w:color w:val="auto"/>
          <w:szCs w:val="21"/>
        </w:rPr>
        <w:t>注：1.以上材料将作为投标人符合性审核的重要内容之一，投标人必须严格按照其内容及序列要求在投标文件中对应如实提供，对缺漏和不符合项或</w:t>
      </w:r>
      <w:r>
        <w:rPr>
          <w:rFonts w:hint="eastAsia" w:ascii="宋体" w:hAnsi="宋体"/>
          <w:bCs/>
          <w:color w:val="auto"/>
          <w:szCs w:val="21"/>
        </w:rPr>
        <w:t>提交的资料字迹模糊不清而现场无法提供原件核实的</w:t>
      </w:r>
      <w:r>
        <w:rPr>
          <w:rFonts w:hint="eastAsia" w:ascii="宋体" w:hAnsi="宋体"/>
          <w:color w:val="auto"/>
          <w:szCs w:val="21"/>
        </w:rPr>
        <w:t>将会直接导致无效投标。</w:t>
      </w:r>
      <w:r>
        <w:rPr>
          <w:rFonts w:hint="eastAsia" w:ascii="宋体" w:hAnsi="宋体"/>
          <w:bCs/>
          <w:color w:val="auto"/>
          <w:szCs w:val="21"/>
        </w:rPr>
        <w:t>不能继续参与后续评标，有效投标人少于3家的将导致废标。废标后，除采购任务取消情形外，应当重新组织采购。</w:t>
      </w:r>
      <w:r>
        <w:rPr>
          <w:rFonts w:hint="eastAsia" w:ascii="宋体" w:hAnsi="宋体"/>
          <w:color w:val="auto"/>
          <w:szCs w:val="21"/>
        </w:rPr>
        <w:t>在对应的自查结论中填“通过”或“不通过”。</w:t>
      </w:r>
    </w:p>
    <w:p>
      <w:pPr>
        <w:tabs>
          <w:tab w:val="center" w:pos="4483"/>
        </w:tabs>
        <w:ind w:left="525" w:leftChars="50" w:hanging="420" w:hangingChars="200"/>
        <w:rPr>
          <w:rFonts w:ascii="宋体" w:hAnsi="宋体"/>
          <w:color w:val="auto"/>
          <w:szCs w:val="21"/>
        </w:rPr>
      </w:pPr>
      <w:r>
        <w:rPr>
          <w:rFonts w:hint="eastAsia" w:ascii="宋体" w:hAnsi="宋体"/>
          <w:color w:val="auto"/>
          <w:szCs w:val="21"/>
        </w:rPr>
        <w:t xml:space="preserve">    2.</w:t>
      </w:r>
      <w:r>
        <w:rPr>
          <w:rFonts w:hint="eastAsia" w:ascii="宋体" w:hAnsi="宋体"/>
          <w:bCs/>
          <w:color w:val="auto"/>
          <w:szCs w:val="21"/>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rPr>
      </w:pPr>
    </w:p>
    <w:p>
      <w:pPr>
        <w:adjustRightInd w:val="0"/>
        <w:snapToGrid w:val="0"/>
        <w:spacing w:line="300" w:lineRule="auto"/>
        <w:rPr>
          <w:color w:val="auto"/>
          <w:szCs w:val="21"/>
        </w:rPr>
      </w:pPr>
    </w:p>
    <w:p>
      <w:pPr>
        <w:adjustRightInd w:val="0"/>
        <w:snapToGrid w:val="0"/>
        <w:spacing w:line="300" w:lineRule="auto"/>
        <w:rPr>
          <w:color w:val="auto"/>
          <w:szCs w:val="21"/>
        </w:rPr>
      </w:pPr>
    </w:p>
    <w:p>
      <w:pPr>
        <w:adjustRightInd w:val="0"/>
        <w:snapToGrid w:val="0"/>
        <w:spacing w:line="300" w:lineRule="auto"/>
        <w:rPr>
          <w:rFonts w:ascii="宋体" w:hAnsi="宋体"/>
          <w:color w:val="auto"/>
          <w:szCs w:val="21"/>
          <w:u w:val="single"/>
        </w:rPr>
      </w:pPr>
      <w:r>
        <w:rPr>
          <w:rFonts w:hint="eastAsia"/>
          <w:color w:val="auto"/>
          <w:szCs w:val="21"/>
        </w:rPr>
        <w:t>投标人法定代表人（负责人）或授权代理人（签字）：</w:t>
      </w:r>
    </w:p>
    <w:p>
      <w:pPr>
        <w:adjustRightInd w:val="0"/>
        <w:snapToGrid w:val="0"/>
        <w:spacing w:line="300" w:lineRule="auto"/>
        <w:rPr>
          <w:rFonts w:ascii="宋体" w:hAnsi="宋体"/>
          <w:color w:val="auto"/>
          <w:szCs w:val="21"/>
          <w:u w:val="single"/>
        </w:rPr>
      </w:pPr>
      <w:r>
        <w:rPr>
          <w:rFonts w:hint="eastAsia" w:ascii="宋体" w:hAnsi="宋体"/>
          <w:color w:val="auto"/>
          <w:szCs w:val="21"/>
        </w:rPr>
        <w:t>投标人名称（签章）：</w:t>
      </w:r>
    </w:p>
    <w:p>
      <w:pPr>
        <w:adjustRightInd w:val="0"/>
        <w:snapToGrid w:val="0"/>
        <w:spacing w:line="300" w:lineRule="auto"/>
        <w:rPr>
          <w:rFonts w:ascii="宋体" w:hAnsi="宋体"/>
          <w:color w:val="auto"/>
          <w:szCs w:val="21"/>
        </w:rPr>
      </w:pPr>
      <w:r>
        <w:rPr>
          <w:rFonts w:hint="eastAsia" w:ascii="宋体" w:hAnsi="宋体"/>
          <w:color w:val="auto"/>
          <w:szCs w:val="21"/>
        </w:rPr>
        <w:t>日期：   年   月   日</w:t>
      </w:r>
    </w:p>
    <w:p>
      <w:pPr>
        <w:adjustRightInd w:val="0"/>
        <w:snapToGrid w:val="0"/>
        <w:spacing w:line="300" w:lineRule="auto"/>
        <w:rPr>
          <w:color w:val="auto"/>
          <w:sz w:val="24"/>
        </w:rPr>
      </w:pPr>
    </w:p>
    <w:p>
      <w:pPr>
        <w:pStyle w:val="4"/>
        <w:keepLines w:val="0"/>
        <w:numPr>
          <w:ilvl w:val="0"/>
          <w:numId w:val="0"/>
        </w:numPr>
        <w:tabs>
          <w:tab w:val="left" w:pos="4320"/>
        </w:tabs>
        <w:spacing w:before="240" w:after="60" w:line="480" w:lineRule="exact"/>
        <w:rPr>
          <w:rFonts w:ascii="宋体"/>
          <w:b/>
          <w:color w:val="auto"/>
          <w:szCs w:val="21"/>
        </w:rPr>
      </w:pPr>
      <w:bookmarkStart w:id="1669" w:name="_Toc26704"/>
      <w:bookmarkStart w:id="1670" w:name="_Toc803"/>
      <w:r>
        <w:rPr>
          <w:rFonts w:hint="eastAsia" w:ascii="宋体"/>
          <w:b/>
          <w:color w:val="auto"/>
          <w:szCs w:val="21"/>
        </w:rPr>
        <w:t>评审项目投标资料表</w:t>
      </w:r>
      <w:bookmarkEnd w:id="1669"/>
      <w:bookmarkEnd w:id="1670"/>
    </w:p>
    <w:p>
      <w:pPr>
        <w:jc w:val="center"/>
        <w:rPr>
          <w:rFonts w:ascii="宋体" w:hAnsi="宋体" w:eastAsia="黑体"/>
          <w:b/>
          <w:color w:val="auto"/>
          <w:kern w:val="44"/>
          <w:szCs w:val="21"/>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6"/>
              <w:keepNext w:val="0"/>
              <w:adjustRightInd/>
              <w:spacing w:before="0" w:after="0" w:line="240" w:lineRule="auto"/>
              <w:textAlignment w:val="auto"/>
              <w:rPr>
                <w:rFonts w:ascii="宋体" w:hAnsi="宋体"/>
                <w:snapToGrid/>
                <w:color w:val="auto"/>
                <w:spacing w:val="0"/>
                <w:kern w:val="2"/>
                <w:sz w:val="21"/>
                <w:szCs w:val="21"/>
              </w:rPr>
            </w:pPr>
            <w:r>
              <w:rPr>
                <w:rFonts w:hint="eastAsia" w:ascii="宋体" w:hAnsi="宋体"/>
                <w:snapToGrid/>
                <w:color w:val="auto"/>
                <w:spacing w:val="0"/>
                <w:kern w:val="2"/>
                <w:sz w:val="21"/>
                <w:szCs w:val="21"/>
              </w:rPr>
              <w:t>评审分项</w:t>
            </w:r>
          </w:p>
        </w:tc>
        <w:tc>
          <w:tcPr>
            <w:tcW w:w="5202" w:type="dxa"/>
            <w:vAlign w:val="center"/>
          </w:tcPr>
          <w:p>
            <w:pPr>
              <w:pStyle w:val="306"/>
              <w:keepNext w:val="0"/>
              <w:adjustRightInd/>
              <w:spacing w:before="0" w:after="0" w:line="240" w:lineRule="auto"/>
              <w:textAlignment w:val="auto"/>
              <w:rPr>
                <w:rFonts w:ascii="宋体" w:hAnsi="宋体"/>
                <w:snapToGrid/>
                <w:color w:val="auto"/>
                <w:spacing w:val="0"/>
                <w:kern w:val="2"/>
                <w:sz w:val="21"/>
                <w:szCs w:val="21"/>
              </w:rPr>
            </w:pPr>
            <w:r>
              <w:rPr>
                <w:rFonts w:hint="eastAsia" w:ascii="宋体" w:hAnsi="宋体"/>
                <w:snapToGrid/>
                <w:color w:val="auto"/>
                <w:spacing w:val="0"/>
                <w:kern w:val="2"/>
                <w:sz w:val="21"/>
                <w:szCs w:val="21"/>
              </w:rPr>
              <w:t>评审细则</w:t>
            </w:r>
          </w:p>
        </w:tc>
        <w:tc>
          <w:tcPr>
            <w:tcW w:w="2300" w:type="dxa"/>
            <w:vAlign w:val="center"/>
          </w:tcPr>
          <w:p>
            <w:pPr>
              <w:pStyle w:val="306"/>
              <w:keepNext w:val="0"/>
              <w:adjustRightInd/>
              <w:spacing w:before="0" w:after="0" w:line="240" w:lineRule="auto"/>
              <w:textAlignment w:val="auto"/>
              <w:rPr>
                <w:rFonts w:ascii="宋体" w:hAnsi="宋体"/>
                <w:snapToGrid/>
                <w:color w:val="auto"/>
                <w:spacing w:val="0"/>
                <w:kern w:val="2"/>
                <w:sz w:val="21"/>
                <w:szCs w:val="21"/>
              </w:rPr>
            </w:pPr>
            <w:r>
              <w:rPr>
                <w:rFonts w:hint="eastAsia" w:ascii="宋体" w:hAnsi="宋体"/>
                <w:snapToGrid/>
                <w:color w:val="auto"/>
                <w:spacing w:val="0"/>
                <w:kern w:val="2"/>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auto"/>
                <w:sz w:val="21"/>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auto"/>
                <w:szCs w:val="21"/>
              </w:rPr>
            </w:pPr>
          </w:p>
        </w:tc>
        <w:tc>
          <w:tcPr>
            <w:tcW w:w="5202" w:type="dxa"/>
            <w:vAlign w:val="center"/>
          </w:tcPr>
          <w:p>
            <w:pPr>
              <w:rPr>
                <w:rFonts w:ascii="宋体" w:hAnsi="宋体"/>
                <w:color w:val="auto"/>
                <w:szCs w:val="21"/>
              </w:rPr>
            </w:pPr>
          </w:p>
        </w:tc>
        <w:tc>
          <w:tcPr>
            <w:tcW w:w="2300" w:type="dxa"/>
            <w:vAlign w:val="center"/>
          </w:tcPr>
          <w:p>
            <w:pPr>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auto"/>
                <w:szCs w:val="21"/>
              </w:rPr>
            </w:pPr>
          </w:p>
        </w:tc>
        <w:tc>
          <w:tcPr>
            <w:tcW w:w="5202" w:type="dxa"/>
            <w:vAlign w:val="center"/>
          </w:tcPr>
          <w:p>
            <w:pPr>
              <w:rPr>
                <w:rFonts w:ascii="宋体" w:hAnsi="宋体"/>
                <w:color w:val="auto"/>
                <w:szCs w:val="21"/>
              </w:rPr>
            </w:pPr>
          </w:p>
        </w:tc>
        <w:tc>
          <w:tcPr>
            <w:tcW w:w="2300" w:type="dxa"/>
            <w:vAlign w:val="center"/>
          </w:tcPr>
          <w:p>
            <w:pPr>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auto"/>
                <w:szCs w:val="21"/>
              </w:rPr>
            </w:pPr>
          </w:p>
        </w:tc>
        <w:tc>
          <w:tcPr>
            <w:tcW w:w="5202" w:type="dxa"/>
            <w:vAlign w:val="center"/>
          </w:tcPr>
          <w:p>
            <w:pPr>
              <w:rPr>
                <w:rFonts w:ascii="宋体" w:hAnsi="宋体"/>
                <w:color w:val="auto"/>
                <w:szCs w:val="21"/>
              </w:rPr>
            </w:pPr>
          </w:p>
        </w:tc>
        <w:tc>
          <w:tcPr>
            <w:tcW w:w="2300" w:type="dxa"/>
            <w:vAlign w:val="center"/>
          </w:tcPr>
          <w:p>
            <w:pPr>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auto"/>
                <w:szCs w:val="21"/>
              </w:rPr>
            </w:pPr>
          </w:p>
        </w:tc>
        <w:tc>
          <w:tcPr>
            <w:tcW w:w="5202" w:type="dxa"/>
            <w:vAlign w:val="center"/>
          </w:tcPr>
          <w:p>
            <w:pPr>
              <w:rPr>
                <w:rFonts w:ascii="宋体" w:hAnsi="宋体"/>
                <w:color w:val="auto"/>
                <w:szCs w:val="21"/>
              </w:rPr>
            </w:pPr>
          </w:p>
        </w:tc>
        <w:tc>
          <w:tcPr>
            <w:tcW w:w="2300" w:type="dxa"/>
            <w:vAlign w:val="center"/>
          </w:tcPr>
          <w:p>
            <w:pPr>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auto"/>
                <w:szCs w:val="21"/>
              </w:rPr>
            </w:pPr>
          </w:p>
        </w:tc>
        <w:tc>
          <w:tcPr>
            <w:tcW w:w="5202" w:type="dxa"/>
            <w:vAlign w:val="center"/>
          </w:tcPr>
          <w:p>
            <w:pPr>
              <w:rPr>
                <w:rFonts w:ascii="宋体" w:hAnsi="宋体"/>
                <w:color w:val="auto"/>
                <w:szCs w:val="21"/>
              </w:rPr>
            </w:pPr>
          </w:p>
        </w:tc>
        <w:tc>
          <w:tcPr>
            <w:tcW w:w="2300" w:type="dxa"/>
            <w:vAlign w:val="center"/>
          </w:tcPr>
          <w:p>
            <w:pPr>
              <w:rPr>
                <w:rFonts w:ascii="宋体" w:hAnsi="宋体"/>
                <w:color w:val="auto"/>
                <w:szCs w:val="21"/>
              </w:rPr>
            </w:pPr>
            <w:r>
              <w:rPr>
                <w:rFonts w:hint="eastAsia" w:ascii="宋体" w:hAnsi="宋体"/>
                <w:color w:val="auto"/>
                <w:szCs w:val="21"/>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auto"/>
                <w:szCs w:val="21"/>
              </w:rPr>
            </w:pPr>
          </w:p>
        </w:tc>
        <w:tc>
          <w:tcPr>
            <w:tcW w:w="5202" w:type="dxa"/>
            <w:vAlign w:val="center"/>
          </w:tcPr>
          <w:p>
            <w:pPr>
              <w:pStyle w:val="32"/>
              <w:ind w:left="420" w:firstLine="420"/>
              <w:rPr>
                <w:rFonts w:ascii="宋体" w:hAnsi="宋体"/>
                <w:color w:val="auto"/>
                <w:szCs w:val="21"/>
              </w:rPr>
            </w:pPr>
          </w:p>
        </w:tc>
        <w:tc>
          <w:tcPr>
            <w:tcW w:w="2300" w:type="dxa"/>
            <w:vAlign w:val="center"/>
          </w:tcPr>
          <w:p>
            <w:pPr>
              <w:pStyle w:val="32"/>
              <w:rPr>
                <w:rFonts w:ascii="宋体" w:hAnsi="宋体"/>
                <w:color w:val="auto"/>
                <w:szCs w:val="21"/>
              </w:rPr>
            </w:pPr>
            <w:r>
              <w:rPr>
                <w:rFonts w:hint="eastAsia" w:ascii="宋体" w:hAnsi="宋体"/>
                <w:color w:val="auto"/>
                <w:szCs w:val="21"/>
              </w:rPr>
              <w:t>见投标文件第（）页</w:t>
            </w:r>
          </w:p>
        </w:tc>
      </w:tr>
    </w:tbl>
    <w:p>
      <w:pPr>
        <w:adjustRightInd w:val="0"/>
        <w:snapToGrid w:val="0"/>
        <w:spacing w:line="300" w:lineRule="auto"/>
        <w:rPr>
          <w:rFonts w:ascii="宋体" w:hAnsi="宋体"/>
          <w:color w:val="auto"/>
          <w:szCs w:val="21"/>
        </w:rPr>
      </w:pPr>
    </w:p>
    <w:p>
      <w:pPr>
        <w:adjustRightInd w:val="0"/>
        <w:snapToGrid w:val="0"/>
        <w:spacing w:line="300" w:lineRule="auto"/>
        <w:rPr>
          <w:rFonts w:ascii="宋体" w:hAnsi="宋体"/>
          <w:color w:val="auto"/>
          <w:szCs w:val="21"/>
        </w:rPr>
      </w:pPr>
    </w:p>
    <w:p>
      <w:pPr>
        <w:spacing w:line="360" w:lineRule="auto"/>
        <w:rPr>
          <w:rFonts w:ascii="宋体" w:hAnsi="宋体"/>
          <w:color w:val="auto"/>
          <w:szCs w:val="21"/>
          <w:u w:val="single"/>
        </w:rPr>
      </w:pPr>
      <w:r>
        <w:rPr>
          <w:rFonts w:hint="eastAsia"/>
          <w:color w:val="auto"/>
          <w:szCs w:val="21"/>
        </w:rPr>
        <w:t>投标人法定代表人（负责人）或授权代理人（签字）：</w:t>
      </w:r>
    </w:p>
    <w:p>
      <w:pPr>
        <w:adjustRightInd w:val="0"/>
        <w:snapToGrid w:val="0"/>
        <w:spacing w:line="300" w:lineRule="auto"/>
        <w:rPr>
          <w:rFonts w:ascii="宋体" w:hAnsi="宋体"/>
          <w:color w:val="auto"/>
          <w:szCs w:val="21"/>
          <w:u w:val="single"/>
        </w:rPr>
      </w:pPr>
      <w:r>
        <w:rPr>
          <w:rFonts w:hint="eastAsia" w:ascii="宋体" w:hAnsi="宋体"/>
          <w:color w:val="auto"/>
          <w:szCs w:val="21"/>
        </w:rPr>
        <w:t>投标人名称（签章）：</w:t>
      </w:r>
    </w:p>
    <w:p>
      <w:pPr>
        <w:adjustRightInd w:val="0"/>
        <w:snapToGrid w:val="0"/>
        <w:spacing w:line="300" w:lineRule="auto"/>
        <w:rPr>
          <w:rFonts w:ascii="宋体" w:hAnsi="宋体"/>
          <w:color w:val="auto"/>
          <w:szCs w:val="21"/>
        </w:rPr>
      </w:pPr>
      <w:r>
        <w:rPr>
          <w:rFonts w:hint="eastAsia" w:ascii="宋体" w:hAnsi="宋体"/>
          <w:color w:val="auto"/>
          <w:szCs w:val="21"/>
        </w:rPr>
        <w:t>日期：   年   月   日</w:t>
      </w:r>
    </w:p>
    <w:p>
      <w:pPr>
        <w:pStyle w:val="5"/>
        <w:rPr>
          <w:color w:val="auto"/>
        </w:rPr>
      </w:pPr>
    </w:p>
    <w:p>
      <w:pPr>
        <w:pStyle w:val="5"/>
        <w:rPr>
          <w:color w:val="auto"/>
        </w:rPr>
      </w:pPr>
    </w:p>
    <w:bookmarkEnd w:id="1335"/>
    <w:bookmarkEnd w:id="1336"/>
    <w:bookmarkEnd w:id="1337"/>
    <w:bookmarkEnd w:id="1338"/>
    <w:bookmarkEnd w:id="1339"/>
    <w:p>
      <w:pPr>
        <w:tabs>
          <w:tab w:val="center" w:pos="4483"/>
        </w:tabs>
        <w:rPr>
          <w:rFonts w:ascii="宋体" w:hAnsi="宋体"/>
          <w:bCs/>
          <w:color w:val="auto"/>
          <w:szCs w:val="21"/>
        </w:rPr>
      </w:pPr>
      <w:bookmarkStart w:id="1671" w:name="_Toc467987851"/>
      <w:bookmarkStart w:id="1672" w:name="_Toc468606057"/>
      <w:bookmarkStart w:id="1673" w:name="_Toc454701405"/>
      <w:bookmarkStart w:id="1674" w:name="_Toc468157564"/>
      <w:bookmarkStart w:id="1675" w:name="_Toc480021081"/>
      <w:bookmarkStart w:id="1676" w:name="_Toc6727971"/>
      <w:bookmarkStart w:id="1677" w:name="_Toc480010736"/>
      <w:bookmarkStart w:id="1678" w:name="_Toc480020285"/>
      <w:bookmarkStart w:id="1679" w:name="_Toc500861026"/>
      <w:bookmarkStart w:id="1680" w:name="_Toc458262638"/>
      <w:bookmarkStart w:id="1681" w:name="_Toc467236768"/>
      <w:bookmarkStart w:id="1682" w:name="_Toc491658679"/>
      <w:bookmarkStart w:id="1683" w:name="_Toc479991610"/>
      <w:bookmarkStart w:id="1684" w:name="_Toc6397150"/>
    </w:p>
    <w:p>
      <w:pPr>
        <w:pStyle w:val="4"/>
        <w:numPr>
          <w:ilvl w:val="0"/>
          <w:numId w:val="0"/>
        </w:numPr>
        <w:rPr>
          <w:color w:val="auto"/>
        </w:rPr>
      </w:pPr>
      <w:bookmarkStart w:id="1685" w:name="_Toc13455"/>
      <w:bookmarkStart w:id="1686" w:name="_Toc4312"/>
      <w:r>
        <w:rPr>
          <w:rFonts w:hint="eastAsia"/>
          <w:color w:val="auto"/>
        </w:rPr>
        <w:t>（一）法定代表人（负责人）证明书</w:t>
      </w:r>
      <w:bookmarkEnd w:id="1685"/>
      <w:bookmarkEnd w:id="1686"/>
    </w:p>
    <w:p>
      <w:pPr>
        <w:pStyle w:val="5"/>
        <w:rPr>
          <w:color w:val="auto"/>
        </w:rPr>
      </w:pPr>
    </w:p>
    <w:p>
      <w:pPr>
        <w:spacing w:line="560" w:lineRule="exact"/>
        <w:ind w:firstLine="420" w:firstLineChars="200"/>
        <w:rPr>
          <w:rFonts w:ascii="宋体" w:hAnsi="宋体"/>
          <w:color w:val="auto"/>
        </w:rPr>
      </w:pPr>
      <w:r>
        <w:rPr>
          <w:rFonts w:hint="eastAsia" w:ascii="宋体" w:hAnsi="宋体"/>
          <w:color w:val="auto"/>
          <w:u w:val="single"/>
        </w:rPr>
        <w:t xml:space="preserve">      单位法定代表人（负责人）姓名     </w:t>
      </w:r>
      <w:r>
        <w:rPr>
          <w:rFonts w:hint="eastAsia" w:ascii="宋体" w:hAnsi="宋体"/>
          <w:color w:val="auto"/>
        </w:rPr>
        <w:t>同志，现任</w:t>
      </w:r>
      <w:r>
        <w:rPr>
          <w:rFonts w:hint="eastAsia" w:ascii="宋体" w:hAnsi="宋体"/>
          <w:color w:val="auto"/>
          <w:u w:val="single"/>
        </w:rPr>
        <w:t xml:space="preserve">       投标人名称                  </w:t>
      </w:r>
      <w:r>
        <w:rPr>
          <w:rFonts w:hint="eastAsia" w:ascii="宋体" w:hAnsi="宋体"/>
          <w:color w:val="auto"/>
        </w:rPr>
        <w:t>的</w:t>
      </w:r>
      <w:r>
        <w:rPr>
          <w:rFonts w:hint="eastAsia" w:ascii="宋体" w:hAnsi="宋体"/>
          <w:color w:val="auto"/>
          <w:u w:val="single"/>
        </w:rPr>
        <w:t xml:space="preserve">   职务    </w:t>
      </w:r>
      <w:r>
        <w:rPr>
          <w:rFonts w:hint="eastAsia" w:ascii="宋体" w:hAnsi="宋体"/>
          <w:color w:val="auto"/>
        </w:rPr>
        <w:t>，为法定代表人（负责人），特此证明。</w:t>
      </w:r>
    </w:p>
    <w:p>
      <w:pPr>
        <w:spacing w:line="560" w:lineRule="exact"/>
        <w:ind w:firstLine="420" w:firstLineChars="200"/>
        <w:rPr>
          <w:rFonts w:ascii="宋体" w:hAnsi="宋体"/>
          <w:color w:val="auto"/>
        </w:rPr>
      </w:pPr>
    </w:p>
    <w:p>
      <w:pPr>
        <w:spacing w:line="560" w:lineRule="exact"/>
        <w:ind w:firstLine="420" w:firstLineChars="200"/>
        <w:rPr>
          <w:rFonts w:ascii="宋体" w:hAnsi="宋体"/>
          <w:color w:val="auto"/>
          <w:u w:val="single"/>
        </w:rPr>
      </w:pPr>
      <w:r>
        <w:rPr>
          <w:rFonts w:hint="eastAsia" w:ascii="宋体" w:hAnsi="宋体"/>
          <w:color w:val="auto"/>
        </w:rPr>
        <w:t>签发单位：</w:t>
      </w:r>
      <w:r>
        <w:rPr>
          <w:rFonts w:hint="eastAsia" w:ascii="宋体" w:hAnsi="宋体"/>
          <w:color w:val="auto"/>
          <w:u w:val="single"/>
        </w:rPr>
        <w:t xml:space="preserve">（名称并加盖公章）                      </w:t>
      </w:r>
    </w:p>
    <w:p>
      <w:pPr>
        <w:spacing w:line="560" w:lineRule="exact"/>
        <w:ind w:firstLine="420" w:firstLineChars="200"/>
        <w:rPr>
          <w:rFonts w:ascii="宋体" w:hAnsi="宋体"/>
          <w:color w:val="auto"/>
        </w:rPr>
      </w:pPr>
      <w:r>
        <w:rPr>
          <w:rFonts w:hint="eastAsia" w:ascii="宋体" w:hAnsi="宋体"/>
          <w:color w:val="auto"/>
        </w:rPr>
        <w:t>签发日期：  有效日期至：年月日</w:t>
      </w:r>
    </w:p>
    <w:p>
      <w:pPr>
        <w:spacing w:line="560" w:lineRule="exact"/>
        <w:ind w:firstLine="420" w:firstLineChars="200"/>
        <w:rPr>
          <w:rFonts w:ascii="宋体" w:hAnsi="宋体"/>
          <w:color w:val="auto"/>
        </w:rPr>
      </w:pPr>
    </w:p>
    <w:p>
      <w:pPr>
        <w:spacing w:line="560" w:lineRule="exact"/>
        <w:ind w:firstLine="420" w:firstLineChars="200"/>
        <w:rPr>
          <w:rFonts w:ascii="宋体" w:hAnsi="宋体"/>
          <w:color w:val="auto"/>
        </w:rPr>
      </w:pPr>
      <w:r>
        <w:rPr>
          <w:rFonts w:hint="eastAsia" w:ascii="宋体" w:hAnsi="宋体"/>
          <w:color w:val="auto"/>
        </w:rPr>
        <w:t xml:space="preserve">附：代表人性别：    年龄：岁    </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说明： 内容必须填写真实、清楚，涂改无效，不得转让、买卖。</w:t>
      </w:r>
    </w:p>
    <w:p>
      <w:pPr>
        <w:spacing w:line="480" w:lineRule="exact"/>
        <w:ind w:firstLine="420" w:firstLineChars="200"/>
        <w:rPr>
          <w:rFonts w:ascii="宋体" w:hAnsi="宋体"/>
          <w:color w:val="auto"/>
        </w:rPr>
      </w:pPr>
    </w:p>
    <w:p>
      <w:pPr>
        <w:pStyle w:val="5"/>
        <w:rPr>
          <w:rFonts w:hAnsi="宋体"/>
          <w:color w:val="auto"/>
          <w:sz w:val="21"/>
        </w:rPr>
      </w:pPr>
    </w:p>
    <w:p>
      <w:pPr>
        <w:pStyle w:val="5"/>
        <w:rPr>
          <w:color w:val="auto"/>
        </w:rPr>
        <w:sectPr>
          <w:footerReference r:id="rId13" w:type="default"/>
          <w:pgSz w:w="11906" w:h="16838"/>
          <w:pgMar w:top="1474" w:right="1418" w:bottom="1474" w:left="1418" w:header="851" w:footer="851" w:gutter="0"/>
          <w:cols w:space="720" w:num="1"/>
          <w:titlePg/>
          <w:docGrid w:linePitch="312" w:charSpace="0"/>
        </w:sectPr>
      </w:pPr>
      <w:r>
        <w:rPr>
          <w:color w:val="auto"/>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auto"/>
        </w:rPr>
      </w:pPr>
      <w:bookmarkStart w:id="1687" w:name="_Toc27194"/>
      <w:bookmarkStart w:id="1688" w:name="_Toc10862"/>
      <w:r>
        <w:rPr>
          <w:rFonts w:hint="eastAsia"/>
          <w:color w:val="auto"/>
        </w:rPr>
        <w:t>（二）法定代表人（负责人）授权书</w:t>
      </w:r>
      <w:bookmarkEnd w:id="1687"/>
      <w:bookmarkEnd w:id="1688"/>
    </w:p>
    <w:p>
      <w:pPr>
        <w:spacing w:line="360" w:lineRule="auto"/>
        <w:ind w:firstLine="420" w:firstLineChars="200"/>
        <w:rPr>
          <w:rFonts w:ascii="宋体" w:hAnsi="宋体"/>
          <w:bCs/>
          <w:color w:val="auto"/>
          <w:kern w:val="0"/>
        </w:rPr>
      </w:pPr>
    </w:p>
    <w:p>
      <w:pPr>
        <w:spacing w:line="360" w:lineRule="auto"/>
        <w:ind w:firstLine="420" w:firstLineChars="200"/>
        <w:rPr>
          <w:color w:val="auto"/>
        </w:rPr>
      </w:pPr>
      <w:r>
        <w:rPr>
          <w:rFonts w:hint="eastAsia" w:ascii="宋体" w:hAnsi="宋体"/>
          <w:bCs/>
          <w:color w:val="auto"/>
          <w:kern w:val="0"/>
        </w:rPr>
        <w:t>本授权委托书声明：我</w:t>
      </w:r>
      <w:r>
        <w:rPr>
          <w:rFonts w:hint="eastAsia" w:ascii="宋体" w:hAnsi="宋体"/>
          <w:bCs/>
          <w:color w:val="auto"/>
          <w:kern w:val="0"/>
          <w:u w:val="single"/>
        </w:rPr>
        <w:t xml:space="preserve">       （单位法定代表人（负责人）姓名）</w:t>
      </w:r>
      <w:r>
        <w:rPr>
          <w:rFonts w:hint="eastAsia" w:ascii="宋体" w:hAnsi="宋体"/>
          <w:bCs/>
          <w:color w:val="auto"/>
          <w:kern w:val="0"/>
        </w:rPr>
        <w:t xml:space="preserve"> 系</w:t>
      </w:r>
      <w:r>
        <w:rPr>
          <w:rFonts w:hint="eastAsia" w:ascii="宋体" w:hAnsi="宋体"/>
          <w:bCs/>
          <w:color w:val="auto"/>
          <w:kern w:val="0"/>
          <w:u w:val="single"/>
        </w:rPr>
        <w:t xml:space="preserve">       （投标人名称）</w:t>
      </w:r>
      <w:r>
        <w:rPr>
          <w:rFonts w:hint="eastAsia" w:ascii="宋体" w:hAnsi="宋体"/>
          <w:bCs/>
          <w:color w:val="auto"/>
          <w:kern w:val="0"/>
        </w:rPr>
        <w:t>的法定代表人（负责人），现授权委托</w:t>
      </w:r>
      <w:r>
        <w:rPr>
          <w:rFonts w:hint="eastAsia" w:ascii="宋体" w:hAnsi="宋体"/>
          <w:bCs/>
          <w:color w:val="auto"/>
          <w:kern w:val="0"/>
          <w:u w:val="single"/>
        </w:rPr>
        <w:t xml:space="preserve">                        （投标人名称）</w:t>
      </w:r>
      <w:r>
        <w:rPr>
          <w:rFonts w:hint="eastAsia" w:ascii="宋体" w:hAnsi="宋体"/>
          <w:bCs/>
          <w:color w:val="auto"/>
          <w:kern w:val="0"/>
        </w:rPr>
        <w:t>的</w:t>
      </w:r>
      <w:r>
        <w:rPr>
          <w:rFonts w:hint="eastAsia" w:ascii="宋体" w:hAnsi="宋体"/>
          <w:bCs/>
          <w:color w:val="auto"/>
          <w:kern w:val="0"/>
          <w:u w:val="single"/>
        </w:rPr>
        <w:t xml:space="preserve">            （代理人姓名）</w:t>
      </w:r>
      <w:r>
        <w:rPr>
          <w:rFonts w:hint="eastAsia" w:ascii="宋体" w:hAnsi="宋体"/>
          <w:bCs/>
          <w:color w:val="auto"/>
          <w:kern w:val="0"/>
        </w:rPr>
        <w:t>为我公司代理人，以本公司的名义参加广东业信采购招标有限公司组织的</w:t>
      </w:r>
      <w:r>
        <w:rPr>
          <w:rFonts w:hint="eastAsia"/>
          <w:color w:val="auto"/>
          <w:szCs w:val="21"/>
        </w:rPr>
        <w:t>（项目名称：）</w:t>
      </w:r>
      <w:r>
        <w:rPr>
          <w:rFonts w:hint="eastAsia" w:ascii="宋体" w:hAnsi="宋体"/>
          <w:bCs/>
          <w:color w:val="auto"/>
        </w:rPr>
        <w:t>招标（</w:t>
      </w:r>
      <w:r>
        <w:rPr>
          <w:rFonts w:hint="eastAsia"/>
          <w:color w:val="auto"/>
          <w:szCs w:val="21"/>
        </w:rPr>
        <w:t>项目编号：</w:t>
      </w:r>
      <w:r>
        <w:rPr>
          <w:rFonts w:hint="eastAsia" w:ascii="宋体" w:hAnsi="宋体"/>
          <w:bCs/>
          <w:color w:val="auto"/>
        </w:rPr>
        <w:t>）</w:t>
      </w:r>
      <w:r>
        <w:rPr>
          <w:rFonts w:hint="eastAsia" w:ascii="宋体" w:hAnsi="宋体"/>
          <w:bCs/>
          <w:color w:val="auto"/>
          <w:kern w:val="0"/>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rPr>
      </w:pPr>
      <w:r>
        <w:rPr>
          <w:rFonts w:hint="eastAsia" w:ascii="宋体" w:hAnsi="宋体"/>
          <w:bCs/>
          <w:color w:val="auto"/>
          <w:kern w:val="0"/>
        </w:rPr>
        <w:t>代理人无转移委托权。</w:t>
      </w:r>
    </w:p>
    <w:p>
      <w:pPr>
        <w:spacing w:line="560" w:lineRule="exact"/>
        <w:ind w:firstLine="420" w:firstLineChars="200"/>
        <w:rPr>
          <w:rFonts w:ascii="宋体" w:hAnsi="宋体"/>
          <w:bCs/>
          <w:color w:val="auto"/>
          <w:kern w:val="0"/>
        </w:rPr>
      </w:pPr>
      <w:r>
        <w:rPr>
          <w:rFonts w:hint="eastAsia" w:ascii="宋体" w:hAnsi="宋体"/>
          <w:bCs/>
          <w:color w:val="auto"/>
          <w:kern w:val="0"/>
        </w:rPr>
        <w:t>特此委托。</w:t>
      </w:r>
    </w:p>
    <w:p>
      <w:pPr>
        <w:autoSpaceDE w:val="0"/>
        <w:autoSpaceDN w:val="0"/>
        <w:adjustRightInd w:val="0"/>
        <w:snapToGrid w:val="0"/>
        <w:spacing w:line="440" w:lineRule="exact"/>
        <w:ind w:firstLine="600"/>
        <w:jc w:val="left"/>
        <w:rPr>
          <w:rFonts w:ascii="宋体" w:hAnsi="宋体"/>
          <w:bCs/>
          <w:color w:val="auto"/>
          <w:kern w:val="0"/>
        </w:rPr>
      </w:pPr>
    </w:p>
    <w:p>
      <w:pPr>
        <w:spacing w:line="560" w:lineRule="exact"/>
        <w:ind w:firstLine="420" w:firstLineChars="200"/>
        <w:rPr>
          <w:rFonts w:ascii="宋体" w:hAnsi="宋体"/>
          <w:bCs/>
          <w:color w:val="auto"/>
          <w:kern w:val="0"/>
          <w:u w:val="single"/>
        </w:rPr>
      </w:pPr>
      <w:r>
        <w:rPr>
          <w:rFonts w:hint="eastAsia" w:ascii="宋体" w:hAnsi="宋体"/>
          <w:bCs/>
          <w:color w:val="auto"/>
          <w:kern w:val="0"/>
        </w:rPr>
        <w:t>代理人：    性别：   年龄：   职务：</w:t>
      </w:r>
    </w:p>
    <w:p>
      <w:pPr>
        <w:spacing w:line="560" w:lineRule="exact"/>
        <w:ind w:firstLine="420" w:firstLineChars="200"/>
        <w:rPr>
          <w:rFonts w:ascii="宋体" w:hAnsi="宋体"/>
          <w:bCs/>
          <w:color w:val="auto"/>
          <w:kern w:val="0"/>
          <w:u w:val="single"/>
        </w:rPr>
      </w:pPr>
      <w:r>
        <w:rPr>
          <w:rFonts w:hint="eastAsia" w:ascii="宋体" w:hAnsi="宋体"/>
          <w:bCs/>
          <w:color w:val="auto"/>
          <w:kern w:val="0"/>
        </w:rPr>
        <w:t>投标人：</w:t>
      </w:r>
      <w:r>
        <w:rPr>
          <w:rFonts w:hint="eastAsia" w:ascii="宋体" w:hAnsi="宋体"/>
          <w:bCs/>
          <w:color w:val="auto"/>
          <w:kern w:val="0"/>
          <w:u w:val="single"/>
        </w:rPr>
        <w:t xml:space="preserve">          （名称并加盖公章）                                         </w:t>
      </w:r>
    </w:p>
    <w:p>
      <w:pPr>
        <w:spacing w:line="560" w:lineRule="exact"/>
        <w:ind w:firstLine="420" w:firstLineChars="200"/>
        <w:rPr>
          <w:rFonts w:ascii="宋体" w:hAnsi="宋体"/>
          <w:bCs/>
          <w:color w:val="auto"/>
          <w:kern w:val="0"/>
          <w:u w:val="single"/>
        </w:rPr>
      </w:pPr>
      <w:r>
        <w:rPr>
          <w:rFonts w:hint="eastAsia" w:ascii="宋体" w:hAnsi="宋体"/>
          <w:bCs/>
          <w:color w:val="auto"/>
          <w:kern w:val="0"/>
        </w:rPr>
        <w:t>法定代表人（负责人）：</w:t>
      </w:r>
      <w:r>
        <w:rPr>
          <w:rFonts w:hint="eastAsia" w:ascii="宋体" w:hAnsi="宋体"/>
          <w:bCs/>
          <w:color w:val="auto"/>
          <w:kern w:val="0"/>
          <w:u w:val="single"/>
        </w:rPr>
        <w:t xml:space="preserve">    （签字或盖章）         </w:t>
      </w:r>
    </w:p>
    <w:p>
      <w:pPr>
        <w:spacing w:line="560" w:lineRule="exact"/>
        <w:ind w:firstLine="420" w:firstLineChars="200"/>
        <w:rPr>
          <w:rFonts w:ascii="宋体" w:hAnsi="宋体"/>
          <w:color w:val="auto"/>
        </w:rPr>
      </w:pPr>
      <w:r>
        <w:rPr>
          <w:rFonts w:hint="eastAsia" w:ascii="宋体" w:hAnsi="宋体"/>
          <w:color w:val="auto"/>
        </w:rPr>
        <w:t>签发日期：  有效日期至：年月日</w:t>
      </w:r>
    </w:p>
    <w:p>
      <w:pPr>
        <w:autoSpaceDE w:val="0"/>
        <w:autoSpaceDN w:val="0"/>
        <w:adjustRightInd w:val="0"/>
        <w:snapToGrid w:val="0"/>
        <w:spacing w:line="360" w:lineRule="auto"/>
        <w:ind w:firstLine="630"/>
        <w:rPr>
          <w:rFonts w:ascii="宋体" w:hAnsi="宋体"/>
          <w:bCs/>
          <w:color w:val="auto"/>
          <w:kern w:val="0"/>
        </w:rPr>
      </w:pPr>
    </w:p>
    <w:p>
      <w:pPr>
        <w:rPr>
          <w:rFonts w:ascii="宋体" w:hAnsi="宋体"/>
          <w:b/>
          <w:color w:val="auto"/>
          <w:szCs w:val="21"/>
        </w:rPr>
      </w:pPr>
      <w:r>
        <w:rPr>
          <w:rFonts w:hint="eastAsia" w:ascii="宋体" w:hAnsi="宋体"/>
          <w:b/>
          <w:color w:val="auto"/>
          <w:szCs w:val="21"/>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auto"/>
        </w:rPr>
      </w:pPr>
    </w:p>
    <w:p>
      <w:pPr>
        <w:rPr>
          <w:color w:val="auto"/>
        </w:rPr>
      </w:pPr>
    </w:p>
    <w:p>
      <w:pPr>
        <w:rPr>
          <w:color w:val="auto"/>
        </w:rPr>
      </w:pPr>
      <w:r>
        <w:rPr>
          <w:color w:val="auto"/>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tabs>
          <w:tab w:val="center" w:pos="4483"/>
        </w:tabs>
        <w:rPr>
          <w:rFonts w:ascii="宋体" w:hAnsi="宋体"/>
          <w:bCs/>
          <w:color w:val="auto"/>
          <w:szCs w:val="21"/>
        </w:rPr>
      </w:pPr>
    </w:p>
    <w:p>
      <w:pPr>
        <w:tabs>
          <w:tab w:val="center" w:pos="4483"/>
        </w:tabs>
        <w:rPr>
          <w:rFonts w:ascii="宋体" w:hAnsi="宋体"/>
          <w:bCs/>
          <w:color w:val="auto"/>
          <w:szCs w:val="21"/>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rPr>
          <w:color w:val="auto"/>
        </w:rPr>
      </w:pPr>
      <w:bookmarkStart w:id="1689" w:name="_Toc332270368"/>
      <w:bookmarkStart w:id="1690" w:name="_Toc339020254"/>
      <w:bookmarkStart w:id="1691" w:name="_Toc350438770"/>
      <w:bookmarkStart w:id="1692" w:name="_Toc339362321"/>
      <w:bookmarkStart w:id="1693" w:name="_Toc339020116"/>
      <w:bookmarkStart w:id="1694" w:name="_Toc340507463"/>
      <w:bookmarkStart w:id="1695" w:name="_Toc341348361"/>
      <w:bookmarkStart w:id="1696" w:name="_Toc339020036"/>
      <w:bookmarkStart w:id="1697" w:name="_Toc337632379"/>
      <w:bookmarkStart w:id="1698" w:name="_Toc331512922"/>
      <w:bookmarkStart w:id="1699" w:name="_Toc350756471"/>
      <w:bookmarkStart w:id="1700" w:name="_Toc365985199"/>
      <w:bookmarkStart w:id="1701" w:name="_Toc343247121"/>
      <w:bookmarkStart w:id="1702" w:name="_Toc342312464"/>
      <w:bookmarkStart w:id="1703" w:name="_Toc366072550"/>
      <w:bookmarkStart w:id="1704" w:name="_Toc333935708"/>
      <w:bookmarkStart w:id="1705" w:name="_Toc336681601"/>
      <w:bookmarkStart w:id="1706" w:name="_Toc330460007"/>
      <w:bookmarkStart w:id="1707" w:name="_Toc331684063"/>
      <w:bookmarkStart w:id="1708" w:name="_Toc336681956"/>
      <w:bookmarkStart w:id="1709" w:name="_Toc365967093"/>
      <w:bookmarkStart w:id="1710" w:name="_Toc333238655"/>
      <w:bookmarkStart w:id="1711" w:name="_Toc343612941"/>
      <w:bookmarkStart w:id="1712" w:name="_Toc343248439"/>
      <w:bookmarkStart w:id="1713" w:name="_Toc333237699"/>
      <w:bookmarkStart w:id="1714" w:name="_Toc333237810"/>
      <w:bookmarkStart w:id="1715" w:name="_Toc339019910"/>
      <w:bookmarkStart w:id="1716" w:name="_Toc340677091"/>
      <w:bookmarkStart w:id="1717" w:name="_Toc342060396"/>
      <w:bookmarkStart w:id="1718" w:name="_Toc333935367"/>
      <w:bookmarkStart w:id="1719" w:name="_Toc342296782"/>
      <w:bookmarkStart w:id="1720" w:name="_Toc332206730"/>
      <w:bookmarkStart w:id="1721" w:name="_Toc345312618"/>
      <w:bookmarkStart w:id="1722" w:name="_Toc340672890"/>
      <w:bookmarkStart w:id="1723" w:name="_Toc339441108"/>
      <w:bookmarkStart w:id="1724" w:name="_Toc342398151"/>
      <w:bookmarkStart w:id="1725" w:name="_Toc3319"/>
      <w:r>
        <w:rPr>
          <w:rFonts w:hint="eastAsia"/>
          <w:color w:val="auto"/>
        </w:rPr>
        <w:t>附件一：投标</w:t>
      </w:r>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r>
        <w:rPr>
          <w:rFonts w:hint="eastAsia"/>
          <w:color w:val="auto"/>
        </w:rPr>
        <w:t>函</w:t>
      </w:r>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p>
    <w:p>
      <w:pPr>
        <w:widowControl/>
        <w:spacing w:line="400" w:lineRule="exact"/>
        <w:jc w:val="left"/>
        <w:rPr>
          <w:rFonts w:ascii="宋体" w:hAnsi="宋体" w:cs="宋体"/>
          <w:b/>
          <w:color w:val="auto"/>
          <w:kern w:val="0"/>
          <w:sz w:val="24"/>
          <w:u w:val="single"/>
        </w:rPr>
      </w:pPr>
      <w:r>
        <w:rPr>
          <w:rFonts w:ascii="宋体" w:hAnsi="宋体"/>
          <w:b/>
          <w:bCs/>
          <w:color w:val="auto"/>
        </w:rPr>
        <w:t>致</w:t>
      </w:r>
      <w:r>
        <w:rPr>
          <w:rFonts w:ascii="宋体" w:hAnsi="宋体"/>
          <w:b/>
          <w:bCs/>
          <w:color w:val="auto"/>
          <w:u w:val="single"/>
        </w:rPr>
        <w:t>（采购人</w:t>
      </w:r>
      <w:r>
        <w:rPr>
          <w:rFonts w:hint="eastAsia" w:ascii="宋体" w:hAnsi="宋体"/>
          <w:b/>
          <w:bCs/>
          <w:color w:val="auto"/>
          <w:u w:val="single"/>
        </w:rPr>
        <w:t>名称</w:t>
      </w:r>
      <w:r>
        <w:rPr>
          <w:rFonts w:ascii="宋体" w:hAnsi="宋体"/>
          <w:b/>
          <w:bCs/>
          <w:color w:val="auto"/>
          <w:u w:val="single"/>
        </w:rPr>
        <w:t>）           </w:t>
      </w:r>
      <w:r>
        <w:rPr>
          <w:rFonts w:ascii="宋体" w:hAnsi="宋体" w:cs="宋体"/>
          <w:b/>
          <w:color w:val="auto"/>
          <w:kern w:val="0"/>
          <w:sz w:val="24"/>
        </w:rPr>
        <w:t xml:space="preserve">： </w:t>
      </w:r>
    </w:p>
    <w:p>
      <w:pPr>
        <w:adjustRightInd w:val="0"/>
        <w:snapToGrid w:val="0"/>
        <w:spacing w:line="400" w:lineRule="exact"/>
        <w:ind w:firstLine="420"/>
        <w:rPr>
          <w:rFonts w:ascii="宋体" w:hAnsi="宋体"/>
          <w:b/>
          <w:bCs/>
          <w:color w:val="auto"/>
        </w:rPr>
      </w:pPr>
      <w:r>
        <w:rPr>
          <w:rFonts w:hint="eastAsia" w:ascii="宋体" w:hAnsi="宋体"/>
          <w:b/>
          <w:bCs/>
          <w:color w:val="auto"/>
        </w:rPr>
        <w:t>根据贵方就</w:t>
      </w:r>
      <w:r>
        <w:rPr>
          <w:rFonts w:hint="eastAsia" w:hAnsi="宋体" w:cs="宋体"/>
          <w:b/>
          <w:color w:val="auto"/>
          <w:szCs w:val="21"/>
          <w:u w:val="single"/>
        </w:rPr>
        <w:t>项目名称</w:t>
      </w:r>
      <w:r>
        <w:rPr>
          <w:rFonts w:hint="eastAsia" w:ascii="宋体" w:hAnsi="宋体" w:cs="宋体"/>
          <w:b/>
          <w:color w:val="auto"/>
          <w:szCs w:val="21"/>
          <w:u w:val="single"/>
        </w:rPr>
        <w:t xml:space="preserve">，由投标人填写    </w:t>
      </w:r>
      <w:r>
        <w:rPr>
          <w:rFonts w:hint="eastAsia" w:ascii="宋体" w:hAnsi="宋体"/>
          <w:b/>
          <w:bCs/>
          <w:color w:val="auto"/>
        </w:rPr>
        <w:t>的投标邀请（项目编号:），我方正式响应投标并提交投标文件份正本和份副本，</w:t>
      </w:r>
      <w:r>
        <w:rPr>
          <w:rFonts w:hint="eastAsia" w:ascii="宋体" w:hAnsi="宋体"/>
          <w:b/>
          <w:color w:val="auto"/>
          <w:kern w:val="0"/>
          <w:szCs w:val="21"/>
        </w:rPr>
        <w:t>电子文件份</w:t>
      </w:r>
      <w:r>
        <w:rPr>
          <w:rFonts w:hint="eastAsia" w:ascii="宋体" w:hAnsi="宋体"/>
          <w:b/>
          <w:bCs/>
          <w:color w:val="auto"/>
        </w:rPr>
        <w:t>。</w:t>
      </w:r>
    </w:p>
    <w:p>
      <w:pPr>
        <w:widowControl/>
        <w:tabs>
          <w:tab w:val="left" w:pos="840"/>
        </w:tabs>
        <w:adjustRightInd w:val="0"/>
        <w:snapToGrid w:val="0"/>
        <w:rPr>
          <w:rFonts w:ascii="宋体" w:hAnsi="宋体"/>
          <w:b/>
          <w:bCs/>
          <w:color w:val="auto"/>
        </w:rPr>
      </w:pPr>
    </w:p>
    <w:p>
      <w:pPr>
        <w:widowControl/>
        <w:tabs>
          <w:tab w:val="left" w:pos="502"/>
        </w:tabs>
        <w:adjustRightInd w:val="0"/>
        <w:snapToGrid w:val="0"/>
        <w:spacing w:line="360" w:lineRule="auto"/>
        <w:ind w:left="374" w:leftChars="177" w:hanging="2" w:hangingChars="1"/>
        <w:rPr>
          <w:rFonts w:ascii="宋体" w:hAnsi="宋体"/>
          <w:b/>
          <w:color w:val="auto"/>
        </w:rPr>
      </w:pPr>
      <w:r>
        <w:rPr>
          <w:rFonts w:hint="eastAsia" w:ascii="宋体" w:hAnsi="宋体"/>
          <w:b/>
          <w:bCs/>
          <w:color w:val="auto"/>
        </w:rPr>
        <w:t>以形式提交的投标保证金，金额为大写</w:t>
      </w:r>
      <w:r>
        <w:rPr>
          <w:rFonts w:hint="eastAsia" w:ascii="宋体"/>
          <w:b/>
          <w:color w:val="auto"/>
        </w:rPr>
        <w:t>人民币（</w:t>
      </w:r>
      <w:r>
        <w:rPr>
          <w:rFonts w:hint="eastAsia" w:ascii="宋体"/>
          <w:b/>
          <w:bCs/>
          <w:color w:val="auto"/>
        </w:rPr>
        <w:t>￥）。</w:t>
      </w:r>
    </w:p>
    <w:p>
      <w:pPr>
        <w:widowControl/>
        <w:tabs>
          <w:tab w:val="left" w:pos="502"/>
        </w:tabs>
        <w:adjustRightInd w:val="0"/>
        <w:snapToGrid w:val="0"/>
        <w:spacing w:line="360" w:lineRule="auto"/>
        <w:ind w:left="374" w:leftChars="177" w:hanging="2" w:hangingChars="1"/>
        <w:rPr>
          <w:rFonts w:ascii="宋体" w:hAnsi="宋体"/>
          <w:b/>
          <w:bCs/>
          <w:color w:val="auto"/>
        </w:rPr>
      </w:pPr>
      <w:r>
        <w:rPr>
          <w:rFonts w:hint="eastAsia" w:ascii="宋体" w:hAnsi="宋体"/>
          <w:b/>
          <w:bCs/>
          <w:color w:val="auto"/>
        </w:rPr>
        <w:t>据此函，签字代表宣布同意如下：</w:t>
      </w:r>
    </w:p>
    <w:p>
      <w:pPr>
        <w:widowControl/>
        <w:numPr>
          <w:ilvl w:val="0"/>
          <w:numId w:val="34"/>
        </w:numPr>
        <w:tabs>
          <w:tab w:val="left" w:pos="840"/>
        </w:tabs>
        <w:adjustRightInd w:val="0"/>
        <w:snapToGrid w:val="0"/>
        <w:spacing w:line="360" w:lineRule="auto"/>
        <w:ind w:left="840" w:hanging="420"/>
        <w:rPr>
          <w:rFonts w:ascii="宋体" w:hAnsi="宋体"/>
          <w:bCs/>
          <w:color w:val="auto"/>
        </w:rPr>
      </w:pPr>
      <w:r>
        <w:rPr>
          <w:rFonts w:hint="eastAsia" w:ascii="宋体" w:hAnsi="宋体"/>
          <w:color w:val="auto"/>
        </w:rPr>
        <w:t>所附投标价格表中规定的应提交和交付的投标总价为人民币：</w:t>
      </w:r>
      <w:r>
        <w:rPr>
          <w:rFonts w:hint="eastAsia" w:ascii="宋体" w:hAnsi="宋体"/>
          <w:color w:val="auto"/>
          <w:u w:val="single"/>
        </w:rPr>
        <w:t xml:space="preserve"> （用文字和数字表示的投标总价）  </w:t>
      </w:r>
      <w:r>
        <w:rPr>
          <w:rFonts w:hint="eastAsia" w:ascii="宋体" w:hAnsi="宋体"/>
          <w:color w:val="auto"/>
        </w:rPr>
        <w:t>。</w:t>
      </w:r>
    </w:p>
    <w:p>
      <w:pPr>
        <w:widowControl/>
        <w:tabs>
          <w:tab w:val="left" w:pos="502"/>
        </w:tabs>
        <w:adjustRightInd w:val="0"/>
        <w:snapToGrid w:val="0"/>
        <w:spacing w:line="360" w:lineRule="auto"/>
        <w:ind w:left="630" w:leftChars="200" w:hanging="210" w:hangingChars="100"/>
        <w:rPr>
          <w:rFonts w:hint="eastAsia" w:ascii="宋体" w:hAnsi="宋体" w:cs="Tahoma"/>
          <w:color w:val="auto"/>
        </w:rPr>
      </w:pPr>
      <w:r>
        <w:rPr>
          <w:rFonts w:hint="eastAsia" w:ascii="宋体" w:hAnsi="宋体" w:cs="Tahoma"/>
          <w:color w:val="auto"/>
        </w:rPr>
        <w:t>2</w:t>
      </w:r>
      <w:r>
        <w:rPr>
          <w:rFonts w:hint="eastAsia" w:ascii="宋体" w:hAnsi="宋体" w:cs="Tahoma"/>
          <w:color w:val="auto"/>
          <w:lang w:eastAsia="zh-CN"/>
        </w:rPr>
        <w:t>、</w:t>
      </w:r>
      <w:r>
        <w:rPr>
          <w:rFonts w:hint="eastAsia" w:ascii="宋体" w:hAnsi="宋体" w:cs="Tahoma"/>
          <w:color w:val="auto"/>
        </w:rPr>
        <w:t>为采购项目提供整体设计、规范编制或者项目管理、监理、检测等服务的供应商，不得再参加该采购项目的其他采购活动；</w:t>
      </w:r>
    </w:p>
    <w:p>
      <w:pPr>
        <w:widowControl/>
        <w:tabs>
          <w:tab w:val="left" w:pos="502"/>
        </w:tabs>
        <w:adjustRightInd w:val="0"/>
        <w:snapToGrid w:val="0"/>
        <w:spacing w:line="360" w:lineRule="auto"/>
        <w:ind w:left="630" w:leftChars="200" w:hanging="210" w:hangingChars="100"/>
      </w:pPr>
      <w:r>
        <w:rPr>
          <w:rFonts w:hint="eastAsia" w:ascii="宋体" w:hAnsi="宋体" w:cs="Tahoma"/>
          <w:color w:val="auto"/>
        </w:rPr>
        <w:t>3</w:t>
      </w:r>
      <w:r>
        <w:rPr>
          <w:rFonts w:hint="eastAsia" w:ascii="宋体" w:hAnsi="宋体" w:cs="Tahoma"/>
          <w:color w:val="auto"/>
          <w:lang w:eastAsia="zh-CN"/>
        </w:rPr>
        <w:t>、</w:t>
      </w:r>
      <w:r>
        <w:rPr>
          <w:rFonts w:hint="eastAsia" w:ascii="宋体" w:hAnsi="宋体" w:cs="Tahoma"/>
          <w:color w:val="auto"/>
        </w:rPr>
        <w:t>单位负责人为同一人或者存在直接控股、管理关系的不同供应商，不得参加同一合同项下的政府采购活动；</w:t>
      </w:r>
    </w:p>
    <w:p>
      <w:pPr>
        <w:widowControl/>
        <w:numPr>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4、</w:t>
      </w:r>
      <w:r>
        <w:rPr>
          <w:rFonts w:hint="eastAsia" w:ascii="宋体" w:hAnsi="宋体"/>
          <w:bCs/>
          <w:color w:val="auto"/>
        </w:rPr>
        <w:t>本次投标所报内容完全按照招标文件要求填报，所有内容都是真实、准确的。</w:t>
      </w:r>
    </w:p>
    <w:p>
      <w:pPr>
        <w:widowControl/>
        <w:numPr>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5、</w:t>
      </w:r>
      <w:r>
        <w:rPr>
          <w:rFonts w:hint="eastAsia" w:ascii="宋体" w:hAnsi="宋体"/>
          <w:bCs/>
          <w:color w:val="auto"/>
        </w:rPr>
        <w:t>投标人将按招标文件的规定履行全部合同责任和义务。</w:t>
      </w:r>
    </w:p>
    <w:p>
      <w:pPr>
        <w:widowControl/>
        <w:numPr>
          <w:numId w:val="0"/>
        </w:numPr>
        <w:tabs>
          <w:tab w:val="left" w:pos="840"/>
        </w:tabs>
        <w:adjustRightInd w:val="0"/>
        <w:snapToGrid w:val="0"/>
        <w:spacing w:line="360" w:lineRule="auto"/>
        <w:ind w:left="630" w:leftChars="200" w:hanging="210" w:hangingChars="100"/>
        <w:rPr>
          <w:rFonts w:ascii="宋体" w:hAnsi="宋体"/>
          <w:bCs/>
          <w:color w:val="auto"/>
        </w:rPr>
      </w:pPr>
      <w:r>
        <w:rPr>
          <w:rFonts w:hint="eastAsia" w:ascii="宋体" w:hAnsi="宋体"/>
          <w:bCs/>
          <w:color w:val="auto"/>
          <w:lang w:val="en-US" w:eastAsia="zh-CN"/>
        </w:rPr>
        <w:t>6、</w:t>
      </w:r>
      <w:r>
        <w:rPr>
          <w:rFonts w:hint="eastAsia" w:ascii="宋体" w:hAnsi="宋体"/>
          <w:bCs/>
          <w:color w:val="auto"/>
        </w:rPr>
        <w:t>投标人已详细审查全部招标文件，包括修改文件（如有的话）以及全部参考资料和有关附件。我们完全理解并同意放弃对这方面有不明及误解的权利。</w:t>
      </w:r>
    </w:p>
    <w:p>
      <w:pPr>
        <w:widowControl/>
        <w:numPr>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7、</w:t>
      </w:r>
      <w:r>
        <w:rPr>
          <w:rFonts w:hint="eastAsia" w:ascii="宋体" w:hAnsi="宋体"/>
          <w:bCs/>
          <w:color w:val="auto"/>
        </w:rPr>
        <w:t>本次投标自开标日起有效期为90天。</w:t>
      </w:r>
    </w:p>
    <w:p>
      <w:pPr>
        <w:widowControl/>
        <w:numPr>
          <w:numId w:val="0"/>
        </w:numPr>
        <w:tabs>
          <w:tab w:val="left" w:pos="840"/>
        </w:tabs>
        <w:adjustRightInd w:val="0"/>
        <w:snapToGrid w:val="0"/>
        <w:spacing w:line="360" w:lineRule="auto"/>
        <w:ind w:left="630" w:leftChars="200" w:hanging="210" w:hangingChars="100"/>
        <w:rPr>
          <w:rFonts w:ascii="宋体" w:hAnsi="宋体"/>
          <w:bCs/>
          <w:color w:val="auto"/>
        </w:rPr>
      </w:pPr>
      <w:r>
        <w:rPr>
          <w:rFonts w:hint="eastAsia" w:ascii="宋体" w:hAnsi="宋体"/>
          <w:bCs/>
          <w:color w:val="auto"/>
          <w:lang w:val="en-US" w:eastAsia="zh-CN"/>
        </w:rPr>
        <w:t>8、</w:t>
      </w:r>
      <w:r>
        <w:rPr>
          <w:rFonts w:hint="eastAsia" w:ascii="宋体" w:hAnsi="宋体"/>
          <w:bCs/>
          <w:color w:val="auto"/>
        </w:rPr>
        <w:t>如果在规定的开标时间后，投标人在投标有效期内撤回投标文件，投标保证金将被贵</w:t>
      </w:r>
      <w:r>
        <w:rPr>
          <w:rFonts w:hint="eastAsia" w:ascii="宋体" w:hAnsi="宋体"/>
          <w:color w:val="auto"/>
          <w:szCs w:val="21"/>
        </w:rPr>
        <w:t>方</w:t>
      </w:r>
      <w:r>
        <w:rPr>
          <w:rFonts w:hint="eastAsia" w:ascii="宋体" w:hAnsi="宋体"/>
          <w:bCs/>
          <w:color w:val="auto"/>
        </w:rPr>
        <w:t>不予退还。</w:t>
      </w:r>
    </w:p>
    <w:p>
      <w:pPr>
        <w:widowControl/>
        <w:numPr>
          <w:numId w:val="0"/>
        </w:numPr>
        <w:tabs>
          <w:tab w:val="left" w:pos="840"/>
        </w:tabs>
        <w:adjustRightInd w:val="0"/>
        <w:snapToGrid w:val="0"/>
        <w:spacing w:line="360" w:lineRule="auto"/>
        <w:ind w:left="630" w:leftChars="200" w:hanging="210" w:hangingChars="100"/>
        <w:rPr>
          <w:rFonts w:ascii="宋体" w:hAnsi="宋体"/>
          <w:bCs/>
          <w:color w:val="auto"/>
        </w:rPr>
      </w:pPr>
      <w:r>
        <w:rPr>
          <w:rFonts w:hint="eastAsia" w:ascii="宋体" w:hAnsi="宋体"/>
          <w:bCs/>
          <w:color w:val="auto"/>
          <w:lang w:val="en-US" w:eastAsia="zh-CN"/>
        </w:rPr>
        <w:t>9、</w:t>
      </w:r>
      <w:r>
        <w:rPr>
          <w:rFonts w:hint="eastAsia" w:ascii="宋体" w:hAnsi="宋体"/>
          <w:bCs/>
          <w:color w:val="auto"/>
        </w:rPr>
        <w:t>投标人同意提供按照贵方可能要求与其投标有关的一切数据或资料，完全理解贵方不一定接受最低价的投标或收到的任何投标。</w:t>
      </w:r>
    </w:p>
    <w:p>
      <w:pPr>
        <w:widowControl/>
        <w:numPr>
          <w:numId w:val="0"/>
        </w:numPr>
        <w:tabs>
          <w:tab w:val="left" w:pos="840"/>
        </w:tabs>
        <w:adjustRightInd w:val="0"/>
        <w:snapToGrid w:val="0"/>
        <w:spacing w:line="360" w:lineRule="auto"/>
        <w:ind w:left="420" w:leftChars="0"/>
        <w:rPr>
          <w:rFonts w:ascii="宋体" w:hAnsi="宋体"/>
          <w:bCs/>
          <w:color w:val="auto"/>
        </w:rPr>
      </w:pPr>
      <w:r>
        <w:rPr>
          <w:rFonts w:hint="eastAsia" w:ascii="宋体" w:hAnsi="宋体"/>
          <w:bCs/>
          <w:color w:val="auto"/>
          <w:lang w:val="en-US" w:eastAsia="zh-CN"/>
        </w:rPr>
        <w:t>10、</w:t>
      </w:r>
      <w:r>
        <w:rPr>
          <w:rFonts w:hint="eastAsia" w:ascii="宋体" w:hAnsi="宋体"/>
          <w:bCs/>
          <w:color w:val="auto"/>
        </w:rPr>
        <w:t>与本投标有关的一切正式往来通讯请寄至投标文件封面指定地址、联系方式。</w:t>
      </w: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bookmarkStart w:id="2007" w:name="_GoBack"/>
      <w:bookmarkEnd w:id="2007"/>
    </w:p>
    <w:p>
      <w:pPr>
        <w:adjustRightInd w:val="0"/>
        <w:snapToGrid w:val="0"/>
        <w:spacing w:line="400" w:lineRule="exact"/>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400" w:lineRule="exact"/>
        <w:rPr>
          <w:rFonts w:ascii="宋体" w:hAnsi="宋体"/>
          <w:bCs/>
          <w:color w:val="auto"/>
        </w:rPr>
      </w:pPr>
      <w:r>
        <w:rPr>
          <w:rFonts w:hint="eastAsia" w:ascii="宋体" w:hAnsi="宋体"/>
          <w:bCs/>
          <w:color w:val="auto"/>
          <w:szCs w:val="21"/>
        </w:rPr>
        <w:t>日期： 年月 日</w:t>
      </w:r>
    </w:p>
    <w:p>
      <w:pPr>
        <w:pStyle w:val="23"/>
        <w:spacing w:line="400" w:lineRule="exact"/>
        <w:rPr>
          <w:rFonts w:hAnsi="宋体"/>
          <w:color w:val="auto"/>
        </w:rPr>
      </w:pPr>
      <w:r>
        <w:rPr>
          <w:rFonts w:hint="eastAsia" w:hAnsi="宋体"/>
          <w:color w:val="auto"/>
        </w:rPr>
        <w:t>注：本投标函为投标人响应本次招标项目的郑重承诺，投标人不得改动且必须满足。</w:t>
      </w:r>
    </w:p>
    <w:p>
      <w:pPr>
        <w:pStyle w:val="23"/>
        <w:spacing w:line="400" w:lineRule="exact"/>
        <w:rPr>
          <w:rFonts w:hAnsi="宋体"/>
          <w:color w:val="auto"/>
        </w:rPr>
      </w:pPr>
    </w:p>
    <w:p>
      <w:pPr>
        <w:pStyle w:val="4"/>
        <w:numPr>
          <w:ilvl w:val="0"/>
          <w:numId w:val="0"/>
        </w:numPr>
        <w:spacing w:line="400" w:lineRule="exact"/>
        <w:rPr>
          <w:color w:val="auto"/>
        </w:rPr>
      </w:pPr>
      <w:bookmarkStart w:id="1726" w:name="_Hlt16935467"/>
      <w:bookmarkEnd w:id="1726"/>
      <w:bookmarkStart w:id="1727" w:name="_Toc343247122"/>
      <w:bookmarkStart w:id="1728" w:name="_Toc336681957"/>
      <w:bookmarkStart w:id="1729" w:name="_Toc336681602"/>
      <w:bookmarkStart w:id="1730" w:name="_Toc340672891"/>
      <w:bookmarkStart w:id="1731" w:name="_Toc350756472"/>
      <w:bookmarkStart w:id="1732" w:name="_Toc366072551"/>
      <w:bookmarkStart w:id="1733" w:name="_Toc339362322"/>
      <w:bookmarkStart w:id="1734" w:name="_Toc342398152"/>
      <w:bookmarkStart w:id="1735" w:name="_Toc339441109"/>
      <w:bookmarkStart w:id="1736" w:name="_Toc365967094"/>
      <w:bookmarkStart w:id="1737" w:name="_Toc339019911"/>
      <w:bookmarkStart w:id="1738" w:name="_Toc333237811"/>
      <w:bookmarkStart w:id="1739" w:name="_Toc332206731"/>
      <w:bookmarkStart w:id="1740" w:name="_Toc333237700"/>
      <w:bookmarkStart w:id="1741" w:name="_Toc350438771"/>
      <w:bookmarkStart w:id="1742" w:name="_Toc331512923"/>
      <w:bookmarkStart w:id="1743" w:name="_Toc343248440"/>
      <w:bookmarkStart w:id="1744" w:name="_Toc341348362"/>
      <w:bookmarkStart w:id="1745" w:name="_Toc340507464"/>
      <w:bookmarkStart w:id="1746" w:name="_Toc342312465"/>
      <w:bookmarkStart w:id="1747" w:name="_Toc333935368"/>
      <w:bookmarkStart w:id="1748" w:name="_Toc330460008"/>
      <w:bookmarkStart w:id="1749" w:name="_Toc342296783"/>
      <w:bookmarkStart w:id="1750" w:name="_Toc340677092"/>
      <w:bookmarkStart w:id="1751" w:name="_Toc345312619"/>
      <w:bookmarkStart w:id="1752" w:name="_Toc342060397"/>
      <w:bookmarkStart w:id="1753" w:name="_Toc339020117"/>
      <w:bookmarkStart w:id="1754" w:name="_Toc331684064"/>
      <w:bookmarkStart w:id="1755" w:name="_Toc339020037"/>
      <w:bookmarkStart w:id="1756" w:name="_Toc333935709"/>
      <w:bookmarkStart w:id="1757" w:name="_Toc339020255"/>
      <w:bookmarkStart w:id="1758" w:name="_Toc78816017"/>
      <w:bookmarkStart w:id="1759" w:name="_Toc365985200"/>
      <w:bookmarkStart w:id="1760" w:name="_Toc333238656"/>
      <w:bookmarkStart w:id="1761" w:name="_Toc332270369"/>
      <w:bookmarkStart w:id="1762" w:name="_Toc337632380"/>
      <w:bookmarkStart w:id="1763" w:name="_Toc343612942"/>
      <w:bookmarkStart w:id="1764" w:name="_Toc12590"/>
      <w:r>
        <w:rPr>
          <w:rFonts w:hint="eastAsia"/>
          <w:color w:val="auto"/>
        </w:rPr>
        <w:t>附件二：开标一览表</w:t>
      </w:r>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p>
    <w:tbl>
      <w:tblPr>
        <w:tblStyle w:val="46"/>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auto"/>
              </w:rPr>
            </w:pPr>
            <w:r>
              <w:rPr>
                <w:rFonts w:hint="eastAsia" w:ascii="宋体" w:hAnsi="宋体"/>
                <w:bCs/>
                <w:color w:val="auto"/>
              </w:rPr>
              <w:t>项目编号</w:t>
            </w:r>
          </w:p>
        </w:tc>
        <w:tc>
          <w:tcPr>
            <w:tcW w:w="2873" w:type="dxa"/>
            <w:vAlign w:val="center"/>
          </w:tcPr>
          <w:p>
            <w:pPr>
              <w:spacing w:line="360" w:lineRule="auto"/>
              <w:jc w:val="center"/>
              <w:rPr>
                <w:rFonts w:ascii="宋体" w:hAnsi="宋体"/>
                <w:bCs/>
                <w:color w:val="auto"/>
              </w:rPr>
            </w:pPr>
            <w:r>
              <w:rPr>
                <w:rFonts w:hint="eastAsia" w:ascii="宋体" w:hAnsi="宋体"/>
                <w:bCs/>
                <w:color w:val="auto"/>
              </w:rPr>
              <w:t>项目名称</w:t>
            </w:r>
          </w:p>
        </w:tc>
        <w:tc>
          <w:tcPr>
            <w:tcW w:w="2719" w:type="dxa"/>
            <w:vAlign w:val="center"/>
          </w:tcPr>
          <w:p>
            <w:pPr>
              <w:jc w:val="center"/>
              <w:rPr>
                <w:rFonts w:ascii="宋体" w:hAnsi="宋体"/>
                <w:bCs/>
                <w:color w:val="auto"/>
              </w:rPr>
            </w:pPr>
            <w:r>
              <w:rPr>
                <w:rFonts w:hint="eastAsia" w:ascii="宋体" w:hAnsi="宋体"/>
                <w:bCs/>
                <w:color w:val="auto"/>
              </w:rPr>
              <w:t>投标总价</w:t>
            </w:r>
          </w:p>
        </w:tc>
        <w:tc>
          <w:tcPr>
            <w:tcW w:w="1673" w:type="dxa"/>
            <w:vAlign w:val="center"/>
          </w:tcPr>
          <w:p>
            <w:pPr>
              <w:jc w:val="center"/>
              <w:rPr>
                <w:rFonts w:ascii="宋体" w:hAnsi="宋体"/>
                <w:bCs/>
                <w:color w:val="auto"/>
              </w:rPr>
            </w:pPr>
            <w:r>
              <w:rPr>
                <w:rFonts w:hint="eastAsia" w:ascii="宋体" w:hAnsi="宋体"/>
                <w:bCs/>
                <w:color w:val="auto"/>
              </w:rPr>
              <w:t>完工期</w:t>
            </w:r>
          </w:p>
        </w:tc>
        <w:tc>
          <w:tcPr>
            <w:tcW w:w="689" w:type="dxa"/>
            <w:vAlign w:val="center"/>
          </w:tcPr>
          <w:p>
            <w:pPr>
              <w:spacing w:line="360" w:lineRule="auto"/>
              <w:jc w:val="center"/>
              <w:rPr>
                <w:rFonts w:ascii="宋体" w:hAnsi="宋体"/>
                <w:bCs/>
                <w:color w:val="auto"/>
              </w:rPr>
            </w:pPr>
            <w:r>
              <w:rPr>
                <w:rFonts w:hint="eastAsia" w:ascii="宋体" w:hAnsi="宋体"/>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auto"/>
              </w:rPr>
            </w:pPr>
          </w:p>
        </w:tc>
        <w:tc>
          <w:tcPr>
            <w:tcW w:w="2873" w:type="dxa"/>
            <w:vAlign w:val="center"/>
          </w:tcPr>
          <w:p>
            <w:pPr>
              <w:adjustRightInd w:val="0"/>
              <w:snapToGrid w:val="0"/>
              <w:spacing w:line="300" w:lineRule="exact"/>
              <w:jc w:val="center"/>
              <w:rPr>
                <w:rFonts w:ascii="宋体" w:hAnsi="宋体"/>
                <w:bCs/>
                <w:color w:val="auto"/>
              </w:rPr>
            </w:pPr>
          </w:p>
        </w:tc>
        <w:tc>
          <w:tcPr>
            <w:tcW w:w="2719" w:type="dxa"/>
            <w:vAlign w:val="center"/>
          </w:tcPr>
          <w:p>
            <w:pPr>
              <w:spacing w:line="260" w:lineRule="exact"/>
              <w:rPr>
                <w:rFonts w:ascii="宋体" w:hAnsi="宋体"/>
                <w:bCs/>
                <w:color w:val="auto"/>
              </w:rPr>
            </w:pPr>
            <w:r>
              <w:rPr>
                <w:rFonts w:hint="eastAsia" w:ascii="宋体" w:hAnsi="宋体"/>
                <w:bCs/>
                <w:color w:val="auto"/>
              </w:rPr>
              <w:t>大写：</w:t>
            </w:r>
          </w:p>
          <w:p>
            <w:pPr>
              <w:spacing w:line="260" w:lineRule="exact"/>
              <w:rPr>
                <w:rFonts w:ascii="宋体" w:hAnsi="宋体"/>
                <w:bCs/>
                <w:color w:val="auto"/>
              </w:rPr>
            </w:pPr>
          </w:p>
          <w:p>
            <w:pPr>
              <w:spacing w:line="260" w:lineRule="exact"/>
              <w:rPr>
                <w:rFonts w:ascii="宋体" w:hAnsi="宋体"/>
                <w:bCs/>
                <w:color w:val="auto"/>
              </w:rPr>
            </w:pPr>
          </w:p>
          <w:p>
            <w:pPr>
              <w:spacing w:line="260" w:lineRule="exact"/>
              <w:rPr>
                <w:rFonts w:ascii="宋体" w:hAnsi="宋体"/>
                <w:bCs/>
                <w:color w:val="auto"/>
              </w:rPr>
            </w:pPr>
            <w:r>
              <w:rPr>
                <w:rFonts w:hint="eastAsia" w:ascii="宋体" w:hAnsi="宋体"/>
                <w:bCs/>
                <w:color w:val="auto"/>
              </w:rPr>
              <w:t>小写：</w:t>
            </w:r>
          </w:p>
        </w:tc>
        <w:tc>
          <w:tcPr>
            <w:tcW w:w="1673" w:type="dxa"/>
            <w:vAlign w:val="center"/>
          </w:tcPr>
          <w:p>
            <w:pPr>
              <w:topLinePunct/>
              <w:jc w:val="left"/>
              <w:rPr>
                <w:rFonts w:ascii="宋体" w:hAnsi="宋体"/>
                <w:bCs/>
                <w:color w:val="auto"/>
                <w:u w:val="single"/>
              </w:rPr>
            </w:pPr>
          </w:p>
        </w:tc>
        <w:tc>
          <w:tcPr>
            <w:tcW w:w="689" w:type="dxa"/>
            <w:vAlign w:val="center"/>
          </w:tcPr>
          <w:p>
            <w:pPr>
              <w:rPr>
                <w:rFonts w:ascii="宋体" w:hAnsi="宋体"/>
                <w:bCs/>
                <w:color w:val="auto"/>
              </w:rPr>
            </w:pPr>
          </w:p>
        </w:tc>
      </w:tr>
    </w:tbl>
    <w:p>
      <w:pPr>
        <w:spacing w:line="360" w:lineRule="auto"/>
        <w:rPr>
          <w:rFonts w:ascii="宋体" w:hAnsi="宋体"/>
          <w:bCs/>
          <w:color w:val="auto"/>
        </w:rPr>
      </w:pPr>
      <w:r>
        <w:rPr>
          <w:rFonts w:hint="eastAsia" w:ascii="宋体" w:hAnsi="宋体"/>
          <w:bCs/>
          <w:color w:val="auto"/>
        </w:rPr>
        <w:t>注：</w:t>
      </w:r>
    </w:p>
    <w:p>
      <w:pPr>
        <w:numPr>
          <w:ilvl w:val="0"/>
          <w:numId w:val="4"/>
        </w:numPr>
        <w:tabs>
          <w:tab w:val="left" w:pos="1365"/>
        </w:tabs>
        <w:spacing w:line="360" w:lineRule="auto"/>
        <w:rPr>
          <w:rFonts w:ascii="宋体" w:hAnsi="宋体"/>
          <w:bCs/>
          <w:color w:val="auto"/>
        </w:rPr>
      </w:pPr>
      <w:r>
        <w:rPr>
          <w:rFonts w:hint="eastAsia" w:ascii="宋体" w:hAnsi="宋体"/>
          <w:color w:val="auto"/>
        </w:rPr>
        <w:t>投标人填写此表时不得改变表格的形式。</w:t>
      </w:r>
    </w:p>
    <w:p>
      <w:pPr>
        <w:numPr>
          <w:ilvl w:val="0"/>
          <w:numId w:val="4"/>
        </w:numPr>
        <w:tabs>
          <w:tab w:val="left" w:pos="1365"/>
        </w:tabs>
        <w:spacing w:line="360" w:lineRule="auto"/>
        <w:rPr>
          <w:rFonts w:ascii="宋体" w:hAnsi="宋体"/>
          <w:bCs/>
          <w:color w:val="auto"/>
        </w:rPr>
      </w:pPr>
      <w:r>
        <w:rPr>
          <w:rFonts w:hint="eastAsia"/>
          <w:bCs/>
          <w:color w:val="auto"/>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auto"/>
        </w:rPr>
      </w:pPr>
      <w:r>
        <w:rPr>
          <w:rFonts w:hint="eastAsia" w:ascii="宋体" w:hAnsi="宋体"/>
          <w:bCs/>
          <w:color w:val="auto"/>
        </w:rPr>
        <w:t>投标人应将 “开标一览表”（加盖公章并由法定代表人（负责人）或其授权代理人签字），一份单独密封于一信封内，一份装订入投标文件正本。</w:t>
      </w:r>
    </w:p>
    <w:p>
      <w:pPr>
        <w:spacing w:line="360" w:lineRule="auto"/>
        <w:rPr>
          <w:rFonts w:ascii="宋体" w:hAnsi="宋体"/>
          <w:bCs/>
          <w:color w:val="auto"/>
          <w:u w:val="single"/>
        </w:rPr>
      </w:pP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400" w:lineRule="exact"/>
        <w:rPr>
          <w:rFonts w:ascii="宋体" w:hAnsi="宋体"/>
          <w:bCs/>
          <w:color w:val="auto"/>
        </w:rPr>
      </w:pPr>
      <w:r>
        <w:rPr>
          <w:rFonts w:hint="eastAsia" w:ascii="宋体" w:hAnsi="宋体"/>
          <w:bCs/>
          <w:color w:val="auto"/>
          <w:szCs w:val="21"/>
        </w:rPr>
        <w:t>日期： 年月 日</w:t>
      </w: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adjustRightInd w:val="0"/>
        <w:snapToGrid w:val="0"/>
        <w:spacing w:line="400" w:lineRule="exact"/>
        <w:rPr>
          <w:rFonts w:ascii="宋体" w:hAnsi="宋体"/>
          <w:bCs/>
          <w:color w:val="auto"/>
        </w:rPr>
      </w:pPr>
    </w:p>
    <w:p>
      <w:pPr>
        <w:pStyle w:val="4"/>
        <w:numPr>
          <w:ilvl w:val="0"/>
          <w:numId w:val="0"/>
        </w:numPr>
        <w:spacing w:line="400" w:lineRule="exact"/>
        <w:rPr>
          <w:color w:val="auto"/>
        </w:rPr>
      </w:pPr>
      <w:bookmarkStart w:id="1765" w:name="_Toc342296784"/>
      <w:bookmarkStart w:id="1766" w:name="_Toc333935369"/>
      <w:bookmarkStart w:id="1767" w:name="_Toc339020118"/>
      <w:bookmarkStart w:id="1768" w:name="_Toc343612943"/>
      <w:bookmarkStart w:id="1769" w:name="_Toc332270370"/>
      <w:bookmarkStart w:id="1770" w:name="_Toc343248441"/>
      <w:bookmarkStart w:id="1771" w:name="_Toc336681603"/>
      <w:bookmarkStart w:id="1772" w:name="_Toc341348363"/>
      <w:bookmarkStart w:id="1773" w:name="_Toc350756473"/>
      <w:bookmarkStart w:id="1774" w:name="_Toc333238657"/>
      <w:bookmarkStart w:id="1775" w:name="_Toc339020038"/>
      <w:bookmarkStart w:id="1776" w:name="_Toc342312466"/>
      <w:bookmarkStart w:id="1777" w:name="_Toc366072552"/>
      <w:bookmarkStart w:id="1778" w:name="_Toc332206732"/>
      <w:bookmarkStart w:id="1779" w:name="_Toc340507465"/>
      <w:bookmarkStart w:id="1780" w:name="_Toc339019912"/>
      <w:bookmarkStart w:id="1781" w:name="_Toc339362323"/>
      <w:bookmarkStart w:id="1782" w:name="_Toc336681958"/>
      <w:bookmarkStart w:id="1783" w:name="_Toc340677093"/>
      <w:bookmarkStart w:id="1784" w:name="_Toc365985201"/>
      <w:bookmarkStart w:id="1785" w:name="_Toc337632381"/>
      <w:bookmarkStart w:id="1786" w:name="_Toc342060398"/>
      <w:bookmarkStart w:id="1787" w:name="_Toc340672892"/>
      <w:bookmarkStart w:id="1788" w:name="_Toc339441110"/>
      <w:bookmarkStart w:id="1789" w:name="_Toc331512924"/>
      <w:bookmarkStart w:id="1790" w:name="_Toc350438772"/>
      <w:bookmarkStart w:id="1791" w:name="_Toc331684065"/>
      <w:bookmarkStart w:id="1792" w:name="_Toc365967095"/>
      <w:bookmarkStart w:id="1793" w:name="_Toc333935710"/>
      <w:bookmarkStart w:id="1794" w:name="_Toc343247123"/>
      <w:bookmarkStart w:id="1795" w:name="_Toc333237812"/>
      <w:bookmarkStart w:id="1796" w:name="_Toc342398153"/>
      <w:bookmarkStart w:id="1797" w:name="_Toc330460009"/>
      <w:bookmarkStart w:id="1798" w:name="_Toc345312620"/>
      <w:bookmarkStart w:id="1799" w:name="_Toc333237701"/>
      <w:bookmarkStart w:id="1800" w:name="_Toc339020256"/>
      <w:bookmarkStart w:id="1801" w:name="_Toc5129"/>
      <w:r>
        <w:rPr>
          <w:rFonts w:hint="eastAsia"/>
          <w:color w:val="auto"/>
        </w:rPr>
        <w:t>附件三：</w:t>
      </w:r>
      <w:r>
        <w:rPr>
          <w:color w:val="auto"/>
        </w:rPr>
        <w:t>投标</w:t>
      </w:r>
      <w:r>
        <w:rPr>
          <w:rFonts w:hint="eastAsia"/>
          <w:color w:val="auto"/>
        </w:rPr>
        <w:t>分项报价</w:t>
      </w:r>
      <w:r>
        <w:rPr>
          <w:color w:val="auto"/>
        </w:rPr>
        <w:t>表</w:t>
      </w:r>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p>
    <w:p>
      <w:pPr>
        <w:adjustRightInd w:val="0"/>
        <w:snapToGrid w:val="0"/>
        <w:spacing w:line="360" w:lineRule="auto"/>
        <w:ind w:left="1050" w:leftChars="500" w:firstLine="6195" w:firstLineChars="2950"/>
        <w:jc w:val="left"/>
        <w:rPr>
          <w:color w:val="auto"/>
          <w:szCs w:val="18"/>
        </w:rPr>
      </w:pPr>
      <w:r>
        <w:rPr>
          <w:rFonts w:hint="eastAsia"/>
          <w:color w:val="auto"/>
          <w:szCs w:val="18"/>
        </w:rPr>
        <w:t>（单位：元）</w:t>
      </w:r>
    </w:p>
    <w:tbl>
      <w:tblPr>
        <w:tblStyle w:val="4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序号</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1</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2</w:t>
            </w: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3</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4</w:t>
            </w: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1</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项目内容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2</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时间</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3</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单价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4</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总价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5</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保险费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6</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税金</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7</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技术服务费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8</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培训费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9</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质量保证期内的服务费用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10</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其他费用</w:t>
            </w:r>
          </w:p>
          <w:p>
            <w:pPr>
              <w:pStyle w:val="5"/>
              <w:snapToGrid w:val="0"/>
              <w:ind w:firstLine="0"/>
              <w:jc w:val="center"/>
              <w:rPr>
                <w:rFonts w:hAnsi="宋体" w:cs="宋体"/>
                <w:color w:val="auto"/>
                <w:sz w:val="21"/>
                <w:szCs w:val="21"/>
              </w:rPr>
            </w:pPr>
            <w:r>
              <w:rPr>
                <w:rFonts w:hint="eastAsia" w:hAnsi="宋体" w:cs="宋体"/>
                <w:color w:val="auto"/>
                <w:sz w:val="21"/>
                <w:szCs w:val="21"/>
              </w:rPr>
              <w:t>（该表中无体现的费用但本项目有产生的其他费用）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11</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rPr>
            </w:pPr>
            <w:r>
              <w:rPr>
                <w:rFonts w:hint="eastAsia" w:hAnsi="宋体" w:cs="宋体"/>
                <w:bCs/>
                <w:color w:val="auto"/>
                <w:sz w:val="21"/>
                <w:szCs w:val="21"/>
              </w:rPr>
              <w:t>投标总价</w:t>
            </w:r>
          </w:p>
        </w:tc>
        <w:tc>
          <w:tcPr>
            <w:tcW w:w="3208"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rPr>
                <w:rFonts w:hAnsi="宋体" w:cs="宋体"/>
                <w:bCs/>
                <w:color w:val="auto"/>
                <w:sz w:val="21"/>
                <w:szCs w:val="21"/>
              </w:rPr>
            </w:pPr>
            <w:r>
              <w:rPr>
                <w:rFonts w:hint="eastAsia" w:hAnsi="宋体" w:cs="宋体"/>
                <w:bCs/>
                <w:color w:val="auto"/>
                <w:sz w:val="21"/>
                <w:szCs w:val="21"/>
              </w:rPr>
              <w:t>（大写）人民币</w:t>
            </w:r>
          </w:p>
        </w:tc>
        <w:tc>
          <w:tcPr>
            <w:tcW w:w="320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rPr>
                <w:rFonts w:hAnsi="宋体" w:cs="宋体"/>
                <w:bCs/>
                <w:color w:val="auto"/>
                <w:sz w:val="21"/>
                <w:szCs w:val="21"/>
              </w:rPr>
            </w:pPr>
            <w:r>
              <w:rPr>
                <w:rFonts w:hint="eastAsia" w:hAnsi="宋体" w:cs="宋体"/>
                <w:bCs/>
                <w:color w:val="auto"/>
                <w:sz w:val="21"/>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rPr>
            </w:pPr>
            <w:r>
              <w:rPr>
                <w:rFonts w:hint="eastAsia" w:hAnsi="宋体" w:cs="宋体"/>
                <w:color w:val="auto"/>
                <w:sz w:val="21"/>
                <w:szCs w:val="21"/>
              </w:rPr>
              <w:t>12</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rPr>
            </w:pPr>
            <w:r>
              <w:rPr>
                <w:rFonts w:hint="eastAsia" w:hAnsi="宋体" w:cs="宋体"/>
                <w:bCs/>
                <w:color w:val="auto"/>
                <w:sz w:val="21"/>
                <w:szCs w:val="21"/>
              </w:rPr>
              <w:t>备注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rPr>
            </w:pPr>
          </w:p>
        </w:tc>
      </w:tr>
    </w:tbl>
    <w:p>
      <w:pPr>
        <w:spacing w:line="360" w:lineRule="auto"/>
        <w:rPr>
          <w:color w:val="auto"/>
        </w:rPr>
      </w:pPr>
      <w:r>
        <w:rPr>
          <w:rFonts w:hint="eastAsia"/>
          <w:color w:val="auto"/>
        </w:rPr>
        <w:t>注：如本表格式内容不能满足需要，投标人可自行划表填写。</w:t>
      </w:r>
    </w:p>
    <w:p>
      <w:pPr>
        <w:spacing w:line="360" w:lineRule="auto"/>
        <w:rPr>
          <w:color w:val="auto"/>
        </w:rPr>
      </w:pP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400" w:lineRule="exact"/>
        <w:rPr>
          <w:rFonts w:ascii="宋体" w:hAnsi="宋体"/>
          <w:bCs/>
          <w:color w:val="auto"/>
          <w:szCs w:val="21"/>
        </w:rPr>
      </w:pPr>
      <w:r>
        <w:rPr>
          <w:rFonts w:hint="eastAsia" w:ascii="宋体" w:hAnsi="宋体"/>
          <w:bCs/>
          <w:color w:val="auto"/>
          <w:szCs w:val="21"/>
        </w:rPr>
        <w:t>日期： 年月 日</w:t>
      </w:r>
    </w:p>
    <w:p>
      <w:pPr>
        <w:adjustRightInd w:val="0"/>
        <w:snapToGrid w:val="0"/>
        <w:spacing w:line="400" w:lineRule="exact"/>
        <w:rPr>
          <w:rFonts w:ascii="宋体" w:hAnsi="宋体"/>
          <w:bCs/>
          <w:color w:val="auto"/>
          <w:u w:val="single"/>
        </w:rPr>
      </w:pPr>
    </w:p>
    <w:p>
      <w:pPr>
        <w:pStyle w:val="4"/>
        <w:numPr>
          <w:ilvl w:val="0"/>
          <w:numId w:val="0"/>
        </w:numPr>
        <w:spacing w:line="400" w:lineRule="exact"/>
        <w:rPr>
          <w:color w:val="auto"/>
        </w:rPr>
      </w:pPr>
      <w:bookmarkStart w:id="1802" w:name="_Toc343248442"/>
      <w:bookmarkStart w:id="1803" w:name="_Toc331684066"/>
      <w:bookmarkStart w:id="1804" w:name="_Toc342296785"/>
      <w:bookmarkStart w:id="1805" w:name="_Toc345312621"/>
      <w:bookmarkStart w:id="1806" w:name="_Toc339019913"/>
      <w:bookmarkStart w:id="1807" w:name="_Toc339020039"/>
      <w:bookmarkStart w:id="1808" w:name="_Toc333935711"/>
      <w:bookmarkStart w:id="1809" w:name="_Toc342312467"/>
      <w:bookmarkStart w:id="1810" w:name="_Toc331512925"/>
      <w:bookmarkStart w:id="1811" w:name="_Toc333238658"/>
      <w:bookmarkStart w:id="1812" w:name="_Toc333935370"/>
      <w:bookmarkStart w:id="1813" w:name="_Toc339020119"/>
      <w:bookmarkStart w:id="1814" w:name="_Toc340507466"/>
      <w:bookmarkStart w:id="1815" w:name="_Toc330460010"/>
      <w:bookmarkStart w:id="1816" w:name="_Toc336681604"/>
      <w:bookmarkStart w:id="1817" w:name="_Toc337632382"/>
      <w:bookmarkStart w:id="1818" w:name="_Toc342398154"/>
      <w:bookmarkStart w:id="1819" w:name="_Toc365985202"/>
      <w:bookmarkStart w:id="1820" w:name="_Toc333237702"/>
      <w:bookmarkStart w:id="1821" w:name="_Toc332270371"/>
      <w:bookmarkStart w:id="1822" w:name="_Toc343247124"/>
      <w:bookmarkStart w:id="1823" w:name="_Toc339441111"/>
      <w:bookmarkStart w:id="1824" w:name="_Toc365967096"/>
      <w:bookmarkStart w:id="1825" w:name="_Toc333237813"/>
      <w:bookmarkStart w:id="1826" w:name="_Toc341348364"/>
      <w:bookmarkStart w:id="1827" w:name="_Toc342060399"/>
      <w:bookmarkStart w:id="1828" w:name="_Toc332206733"/>
      <w:bookmarkStart w:id="1829" w:name="_Toc350438773"/>
      <w:bookmarkStart w:id="1830" w:name="_Toc339020257"/>
      <w:bookmarkStart w:id="1831" w:name="_Toc340677094"/>
      <w:bookmarkStart w:id="1832" w:name="_Toc339362324"/>
      <w:bookmarkStart w:id="1833" w:name="_Toc350756474"/>
      <w:bookmarkStart w:id="1834" w:name="_Toc343612944"/>
      <w:bookmarkStart w:id="1835" w:name="_Toc336681959"/>
      <w:bookmarkStart w:id="1836" w:name="_Toc340672893"/>
      <w:bookmarkStart w:id="1837" w:name="_Toc366072553"/>
      <w:bookmarkStart w:id="1838" w:name="_Toc9255"/>
      <w:r>
        <w:rPr>
          <w:rFonts w:hint="eastAsia"/>
          <w:color w:val="auto"/>
        </w:rPr>
        <w:t>附件四：商务条款偏离一览表</w:t>
      </w:r>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Ansi="宋体"/>
                <w:color w:val="auto"/>
                <w:szCs w:val="21"/>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说明：1）对“偏离”一栏，填写“无偏离、正偏离、负偏离”；</w:t>
      </w:r>
    </w:p>
    <w:p>
      <w:pPr>
        <w:adjustRightInd w:val="0"/>
        <w:snapToGrid w:val="0"/>
        <w:spacing w:line="360" w:lineRule="auto"/>
        <w:ind w:firstLine="630" w:firstLineChars="300"/>
        <w:rPr>
          <w:rFonts w:ascii="宋体" w:hAnsi="宋体"/>
          <w:b/>
          <w:bCs/>
          <w:color w:val="auto"/>
        </w:rPr>
      </w:pPr>
      <w:r>
        <w:rPr>
          <w:rFonts w:hint="eastAsia" w:ascii="宋体" w:hAnsi="宋体"/>
          <w:bCs/>
          <w:color w:val="auto"/>
        </w:rPr>
        <w:t>2）对招标文件中商务条款按上列格式逐条说明。</w:t>
      </w:r>
    </w:p>
    <w:p>
      <w:pPr>
        <w:adjustRightInd w:val="0"/>
        <w:snapToGrid w:val="0"/>
        <w:spacing w:line="360" w:lineRule="auto"/>
        <w:ind w:firstLine="632" w:firstLineChars="300"/>
        <w:rPr>
          <w:rFonts w:ascii="宋体" w:hAnsi="宋体"/>
          <w:b/>
          <w:bCs/>
          <w:color w:val="auto"/>
        </w:rPr>
      </w:pPr>
    </w:p>
    <w:p>
      <w:pPr>
        <w:adjustRightInd w:val="0"/>
        <w:snapToGrid w:val="0"/>
        <w:spacing w:line="360" w:lineRule="auto"/>
        <w:rPr>
          <w:rFonts w:ascii="宋体" w:hAnsi="宋体"/>
          <w:b/>
          <w:bCs/>
          <w:color w:val="auto"/>
        </w:rPr>
      </w:pPr>
      <w:r>
        <w:rPr>
          <w:rFonts w:hint="eastAsia" w:ascii="宋体" w:hAnsi="宋体"/>
          <w:b/>
          <w:bCs/>
          <w:color w:val="auto"/>
        </w:rPr>
        <w:t>投标人声明：表中未列全的商务条款，我方均表示完全响应招标文件商务条款的所有要求。</w:t>
      </w:r>
    </w:p>
    <w:p>
      <w:pPr>
        <w:adjustRightInd w:val="0"/>
        <w:snapToGrid w:val="0"/>
        <w:spacing w:line="360" w:lineRule="auto"/>
        <w:rPr>
          <w:rFonts w:ascii="宋体"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360" w:lineRule="auto"/>
        <w:rPr>
          <w:rFonts w:ascii="宋体" w:hAnsi="宋体"/>
          <w:bCs/>
          <w:color w:val="auto"/>
          <w:u w:val="single"/>
        </w:rPr>
      </w:pPr>
      <w:r>
        <w:rPr>
          <w:rFonts w:hint="eastAsia" w:ascii="宋体" w:hAnsi="宋体"/>
          <w:bCs/>
          <w:color w:val="auto"/>
          <w:szCs w:val="21"/>
        </w:rPr>
        <w:t>日期： 年月 日</w:t>
      </w:r>
    </w:p>
    <w:p>
      <w:pPr>
        <w:adjustRightInd w:val="0"/>
        <w:snapToGrid w:val="0"/>
        <w:spacing w:line="360" w:lineRule="auto"/>
        <w:rPr>
          <w:rFonts w:ascii="宋体" w:hAnsi="宋体"/>
          <w:bCs/>
          <w:color w:val="auto"/>
          <w:u w:val="single"/>
        </w:rPr>
        <w:sectPr>
          <w:footerReference r:id="rId15"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auto"/>
        </w:rPr>
      </w:pPr>
      <w:bookmarkStart w:id="1839" w:name="_Toc5166"/>
      <w:bookmarkStart w:id="1840" w:name="_Toc330460011"/>
      <w:bookmarkStart w:id="1841" w:name="_Toc345312622"/>
      <w:bookmarkStart w:id="1842" w:name="_Toc342312468"/>
      <w:bookmarkStart w:id="1843" w:name="_Toc340672894"/>
      <w:bookmarkStart w:id="1844" w:name="_Toc332270372"/>
      <w:bookmarkStart w:id="1845" w:name="_Toc332206734"/>
      <w:bookmarkStart w:id="1846" w:name="_Toc333237703"/>
      <w:bookmarkStart w:id="1847" w:name="_Toc339020120"/>
      <w:bookmarkStart w:id="1848" w:name="_Toc342398155"/>
      <w:bookmarkStart w:id="1849" w:name="_Toc339019914"/>
      <w:bookmarkStart w:id="1850" w:name="_Toc339441112"/>
      <w:bookmarkStart w:id="1851" w:name="_Toc350756475"/>
      <w:bookmarkStart w:id="1852" w:name="_Toc336681605"/>
      <w:bookmarkStart w:id="1853" w:name="_Toc333237814"/>
      <w:bookmarkStart w:id="1854" w:name="_Toc331684067"/>
      <w:bookmarkStart w:id="1855" w:name="_Toc342296786"/>
      <w:bookmarkStart w:id="1856" w:name="_Toc365985203"/>
      <w:bookmarkStart w:id="1857" w:name="_Toc341348365"/>
      <w:bookmarkStart w:id="1858" w:name="_Toc343248443"/>
      <w:bookmarkStart w:id="1859" w:name="_Toc342060400"/>
      <w:bookmarkStart w:id="1860" w:name="_Toc343247125"/>
      <w:bookmarkStart w:id="1861" w:name="_Toc340507467"/>
      <w:bookmarkStart w:id="1862" w:name="_Toc365967097"/>
      <w:bookmarkStart w:id="1863" w:name="_Toc350438774"/>
      <w:bookmarkStart w:id="1864" w:name="_Toc339020258"/>
      <w:bookmarkStart w:id="1865" w:name="_Toc366072554"/>
      <w:bookmarkStart w:id="1866" w:name="_Toc333935712"/>
      <w:bookmarkStart w:id="1867" w:name="_Toc333238659"/>
      <w:bookmarkStart w:id="1868" w:name="_Toc339362325"/>
      <w:bookmarkStart w:id="1869" w:name="_Toc331512926"/>
      <w:bookmarkStart w:id="1870" w:name="_Toc336681960"/>
      <w:bookmarkStart w:id="1871" w:name="_Toc333935371"/>
      <w:bookmarkStart w:id="1872" w:name="_Toc340677095"/>
      <w:bookmarkStart w:id="1873" w:name="_Toc337632383"/>
      <w:bookmarkStart w:id="1874" w:name="_Toc343612945"/>
      <w:bookmarkStart w:id="1875" w:name="_Toc339020040"/>
      <w:r>
        <w:rPr>
          <w:rFonts w:hint="eastAsia"/>
          <w:color w:val="auto"/>
        </w:rPr>
        <w:t>附件五：技术条款偏离一览表</w:t>
      </w:r>
      <w:bookmarkEnd w:id="1839"/>
    </w:p>
    <w:p>
      <w:pPr>
        <w:adjustRightInd w:val="0"/>
        <w:snapToGrid w:val="0"/>
        <w:spacing w:line="360" w:lineRule="auto"/>
        <w:jc w:val="left"/>
        <w:rPr>
          <w:rFonts w:ascii="宋体" w:hAnsi="宋体"/>
          <w:bCs/>
          <w:color w:val="auto"/>
        </w:rPr>
      </w:pPr>
      <w:r>
        <w:rPr>
          <w:rFonts w:hint="eastAsia" w:ascii="宋体" w:hAnsi="宋体"/>
          <w:bCs/>
          <w:color w:val="auto"/>
        </w:rPr>
        <w:t>项目编号:</w:t>
      </w:r>
    </w:p>
    <w:p>
      <w:pPr>
        <w:adjustRightInd w:val="0"/>
        <w:snapToGrid w:val="0"/>
        <w:spacing w:line="360" w:lineRule="auto"/>
        <w:ind w:left="1050" w:hanging="1050" w:hangingChars="500"/>
        <w:jc w:val="left"/>
        <w:rPr>
          <w:rFonts w:ascii="宋体" w:hAnsi="宋体"/>
          <w:b/>
          <w:bCs/>
          <w:caps/>
          <w:color w:val="auto"/>
          <w:u w:val="single"/>
        </w:rPr>
      </w:pPr>
      <w:r>
        <w:rPr>
          <w:rFonts w:hint="eastAsia" w:ascii="宋体" w:hAnsi="宋体"/>
          <w:bCs/>
          <w:color w:val="auto"/>
        </w:rPr>
        <w:t>项目名称：</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Ansi="宋体"/>
                <w:color w:val="auto"/>
                <w:szCs w:val="21"/>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r>
              <w:rPr>
                <w:rFonts w:hint="eastAsia" w:ascii="宋体" w:hAnsi="宋体"/>
                <w:bCs/>
                <w:color w:val="auto"/>
              </w:rPr>
              <w:t>偏离</w:t>
            </w:r>
          </w:p>
          <w:p>
            <w:pPr>
              <w:adjustRightInd w:val="0"/>
              <w:snapToGrid w:val="0"/>
              <w:jc w:val="center"/>
              <w:rPr>
                <w:rFonts w:ascii="宋体" w:hAnsi="宋体"/>
                <w:bCs/>
                <w:color w:val="auto"/>
              </w:rPr>
            </w:pPr>
            <w:r>
              <w:rPr>
                <w:rFonts w:hint="eastAsia" w:ascii="宋体" w:hAnsi="宋体"/>
                <w:bCs/>
                <w:color w:val="auto"/>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r>
              <w:rPr>
                <w:rFonts w:hint="eastAsia" w:ascii="宋体" w:hAnsi="宋体"/>
                <w:bCs/>
                <w:color w:val="auto"/>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rPr>
            </w:pPr>
          </w:p>
        </w:tc>
      </w:tr>
    </w:tbl>
    <w:p>
      <w:pPr>
        <w:adjustRightInd w:val="0"/>
        <w:snapToGrid w:val="0"/>
        <w:spacing w:line="360" w:lineRule="auto"/>
        <w:rPr>
          <w:rFonts w:ascii="宋体" w:hAnsi="宋体"/>
          <w:bCs/>
          <w:color w:val="auto"/>
        </w:rPr>
      </w:pPr>
      <w:r>
        <w:rPr>
          <w:rFonts w:hint="eastAsia" w:ascii="宋体" w:hAnsi="宋体"/>
          <w:bCs/>
          <w:color w:val="auto"/>
        </w:rPr>
        <w:t>说明：1）对“偏离”一栏，填写“无偏离、正偏离、负偏离”；</w:t>
      </w:r>
    </w:p>
    <w:p>
      <w:pPr>
        <w:adjustRightInd w:val="0"/>
        <w:snapToGrid w:val="0"/>
        <w:spacing w:line="360" w:lineRule="auto"/>
        <w:ind w:firstLine="630" w:firstLineChars="300"/>
        <w:rPr>
          <w:rFonts w:ascii="宋体" w:hAnsi="宋体"/>
          <w:b/>
          <w:bCs/>
          <w:color w:val="auto"/>
        </w:rPr>
      </w:pPr>
      <w:r>
        <w:rPr>
          <w:rFonts w:hint="eastAsia" w:ascii="宋体" w:hAnsi="宋体"/>
          <w:bCs/>
          <w:color w:val="auto"/>
        </w:rPr>
        <w:t>2）对招标文件中技术条款按上列格式逐条说明。</w:t>
      </w:r>
    </w:p>
    <w:p>
      <w:pPr>
        <w:adjustRightInd w:val="0"/>
        <w:snapToGrid w:val="0"/>
        <w:spacing w:line="360" w:lineRule="auto"/>
        <w:ind w:firstLine="630" w:firstLineChars="300"/>
        <w:rPr>
          <w:rFonts w:ascii="宋体" w:hAnsi="宋体"/>
          <w:bCs/>
          <w:color w:val="auto"/>
        </w:rPr>
      </w:pPr>
    </w:p>
    <w:p>
      <w:pPr>
        <w:adjustRightInd w:val="0"/>
        <w:snapToGrid w:val="0"/>
        <w:spacing w:line="360" w:lineRule="auto"/>
        <w:rPr>
          <w:rFonts w:ascii="宋体" w:hAnsi="宋体"/>
          <w:b/>
          <w:bCs/>
          <w:color w:val="auto"/>
        </w:rPr>
      </w:pPr>
    </w:p>
    <w:p>
      <w:pPr>
        <w:adjustRightInd w:val="0"/>
        <w:snapToGrid w:val="0"/>
        <w:spacing w:line="360" w:lineRule="auto"/>
        <w:rPr>
          <w:rFonts w:ascii="宋体" w:hAnsi="宋体"/>
          <w:b/>
          <w:bCs/>
          <w:color w:val="auto"/>
        </w:rPr>
      </w:pPr>
      <w:r>
        <w:rPr>
          <w:rFonts w:hint="eastAsia" w:ascii="宋体" w:hAnsi="宋体"/>
          <w:b/>
          <w:bCs/>
          <w:color w:val="auto"/>
        </w:rPr>
        <w:t>投标人声明：表中未列全的技术条款，我方均表示完全响应招标文件技术条款的所有要求。</w:t>
      </w: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360" w:lineRule="auto"/>
        <w:rPr>
          <w:rFonts w:ascii="宋体" w:hAnsi="宋体"/>
          <w:bCs/>
          <w:color w:val="auto"/>
        </w:rPr>
      </w:pPr>
      <w:r>
        <w:rPr>
          <w:rFonts w:hint="eastAsia" w:ascii="宋体" w:hAnsi="宋体"/>
          <w:bCs/>
          <w:color w:val="auto"/>
          <w:szCs w:val="21"/>
        </w:rPr>
        <w:t>日期： 年月 日</w:t>
      </w:r>
    </w:p>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p>
      <w:pPr>
        <w:pStyle w:val="4"/>
        <w:numPr>
          <w:ilvl w:val="1"/>
          <w:numId w:val="0"/>
        </w:numPr>
        <w:spacing w:line="400" w:lineRule="exact"/>
        <w:rPr>
          <w:color w:val="auto"/>
        </w:rPr>
        <w:sectPr>
          <w:pgSz w:w="11906" w:h="16838"/>
          <w:pgMar w:top="1474" w:right="1418" w:bottom="1474" w:left="1418" w:header="851" w:footer="850" w:gutter="0"/>
          <w:cols w:space="0" w:num="1"/>
          <w:titlePg/>
          <w:docGrid w:linePitch="312" w:charSpace="0"/>
        </w:sectPr>
      </w:pPr>
      <w:bookmarkStart w:id="1876" w:name="_Toc333935716"/>
      <w:bookmarkStart w:id="1877" w:name="_Toc345312626"/>
      <w:bookmarkStart w:id="1878" w:name="_Toc337632387"/>
      <w:bookmarkStart w:id="1879" w:name="_Toc343612949"/>
      <w:bookmarkStart w:id="1880" w:name="_Toc342398159"/>
      <w:bookmarkStart w:id="1881" w:name="_Toc331684071"/>
      <w:bookmarkStart w:id="1882" w:name="_Toc339362329"/>
      <w:bookmarkStart w:id="1883" w:name="_Toc336681964"/>
      <w:bookmarkStart w:id="1884" w:name="_Toc340677099"/>
      <w:bookmarkStart w:id="1885" w:name="_Toc366072561"/>
      <w:bookmarkStart w:id="1886" w:name="_Toc343247129"/>
      <w:bookmarkStart w:id="1887" w:name="_Toc342296790"/>
      <w:bookmarkStart w:id="1888" w:name="_Toc332206738"/>
      <w:bookmarkStart w:id="1889" w:name="_Toc339020124"/>
      <w:bookmarkStart w:id="1890" w:name="_Toc365967104"/>
      <w:bookmarkStart w:id="1891" w:name="_Toc342312472"/>
      <w:bookmarkStart w:id="1892" w:name="_Toc350756479"/>
      <w:bookmarkStart w:id="1893" w:name="_Toc333935375"/>
      <w:bookmarkStart w:id="1894" w:name="_Toc332270376"/>
      <w:bookmarkStart w:id="1895" w:name="_Toc330460015"/>
      <w:bookmarkStart w:id="1896" w:name="_Toc432695228"/>
      <w:bookmarkStart w:id="1897" w:name="_Toc342060404"/>
      <w:bookmarkStart w:id="1898" w:name="_Toc365985210"/>
      <w:bookmarkStart w:id="1899" w:name="_Toc343248447"/>
      <w:bookmarkStart w:id="1900" w:name="_Toc340507471"/>
      <w:bookmarkStart w:id="1901" w:name="_Toc336681609"/>
      <w:bookmarkStart w:id="1902" w:name="_Toc339020262"/>
      <w:bookmarkStart w:id="1903" w:name="_Toc339020044"/>
      <w:bookmarkStart w:id="1904" w:name="_Toc339441116"/>
      <w:bookmarkStart w:id="1905" w:name="_Toc333237707"/>
      <w:bookmarkStart w:id="1906" w:name="_Toc333237818"/>
      <w:bookmarkStart w:id="1907" w:name="_Toc333238663"/>
      <w:bookmarkStart w:id="1908" w:name="_Toc340672898"/>
      <w:bookmarkStart w:id="1909" w:name="_Toc350438778"/>
      <w:bookmarkStart w:id="1910" w:name="_Toc341348369"/>
      <w:bookmarkStart w:id="1911" w:name="_Toc331512930"/>
      <w:bookmarkStart w:id="1912" w:name="_Toc339019918"/>
    </w:p>
    <w:p>
      <w:pPr>
        <w:pStyle w:val="4"/>
        <w:numPr>
          <w:ilvl w:val="1"/>
          <w:numId w:val="0"/>
        </w:numPr>
        <w:spacing w:line="400" w:lineRule="exact"/>
        <w:rPr>
          <w:color w:val="auto"/>
        </w:rPr>
      </w:pPr>
      <w:bookmarkStart w:id="1913" w:name="_Toc17320"/>
      <w:r>
        <w:rPr>
          <w:rFonts w:hint="eastAsia"/>
          <w:color w:val="auto"/>
        </w:rPr>
        <w:t>附件六：同类业绩一览表</w:t>
      </w:r>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p>
    <w:p>
      <w:pPr>
        <w:adjustRightInd w:val="0"/>
        <w:snapToGrid w:val="0"/>
        <w:spacing w:line="360" w:lineRule="auto"/>
        <w:jc w:val="left"/>
        <w:rPr>
          <w:rFonts w:ascii="宋体" w:hAnsi="宋体"/>
          <w:bCs/>
          <w:caps/>
          <w:color w:val="auto"/>
          <w:szCs w:val="21"/>
          <w:u w:val="single"/>
        </w:rPr>
      </w:pPr>
      <w:r>
        <w:rPr>
          <w:rFonts w:hint="eastAsia" w:ascii="宋体" w:hAnsi="宋体"/>
          <w:bCs/>
          <w:color w:val="auto"/>
          <w:szCs w:val="21"/>
        </w:rPr>
        <w:t>项目编号:</w:t>
      </w:r>
    </w:p>
    <w:p>
      <w:pPr>
        <w:adjustRightInd w:val="0"/>
        <w:snapToGrid w:val="0"/>
        <w:spacing w:line="360" w:lineRule="auto"/>
        <w:ind w:left="1050" w:hanging="1050" w:hangingChars="500"/>
        <w:jc w:val="left"/>
        <w:rPr>
          <w:rFonts w:ascii="宋体" w:hAnsi="宋体"/>
          <w:bCs/>
          <w:color w:val="auto"/>
        </w:rPr>
      </w:pPr>
      <w:r>
        <w:rPr>
          <w:rFonts w:hint="eastAsia" w:ascii="宋体" w:hAnsi="宋体"/>
          <w:bCs/>
          <w:color w:val="auto"/>
          <w:szCs w:val="21"/>
        </w:rPr>
        <w:t>项目名称：</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序号</w:t>
            </w:r>
          </w:p>
        </w:tc>
        <w:tc>
          <w:tcPr>
            <w:tcW w:w="1215"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项目名称</w:t>
            </w:r>
          </w:p>
        </w:tc>
        <w:tc>
          <w:tcPr>
            <w:tcW w:w="1267"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内容</w:t>
            </w:r>
          </w:p>
        </w:tc>
        <w:tc>
          <w:tcPr>
            <w:tcW w:w="1117"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数量</w:t>
            </w:r>
          </w:p>
        </w:tc>
        <w:tc>
          <w:tcPr>
            <w:tcW w:w="1400"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中标金额（元）</w:t>
            </w:r>
          </w:p>
        </w:tc>
        <w:tc>
          <w:tcPr>
            <w:tcW w:w="1233"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完成日期</w:t>
            </w:r>
          </w:p>
        </w:tc>
        <w:tc>
          <w:tcPr>
            <w:tcW w:w="1183"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用户单位</w:t>
            </w:r>
          </w:p>
        </w:tc>
        <w:tc>
          <w:tcPr>
            <w:tcW w:w="1220"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联系电话</w:t>
            </w:r>
          </w:p>
        </w:tc>
        <w:tc>
          <w:tcPr>
            <w:tcW w:w="817" w:type="dxa"/>
            <w:vAlign w:val="center"/>
          </w:tcPr>
          <w:p>
            <w:pPr>
              <w:pStyle w:val="5"/>
              <w:snapToGrid w:val="0"/>
              <w:ind w:firstLine="0"/>
              <w:jc w:val="center"/>
              <w:rPr>
                <w:rFonts w:hAnsi="宋体"/>
                <w:bCs/>
                <w:color w:val="auto"/>
                <w:kern w:val="2"/>
                <w:sz w:val="21"/>
                <w:szCs w:val="24"/>
              </w:rPr>
            </w:pPr>
            <w:r>
              <w:rPr>
                <w:rFonts w:hint="eastAsia" w:hAnsi="宋体"/>
                <w:bCs/>
                <w:color w:val="auto"/>
                <w:kern w:val="2"/>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rPr>
            </w:pPr>
          </w:p>
        </w:tc>
        <w:tc>
          <w:tcPr>
            <w:tcW w:w="1215" w:type="dxa"/>
            <w:vAlign w:val="center"/>
          </w:tcPr>
          <w:p>
            <w:pPr>
              <w:pStyle w:val="5"/>
              <w:snapToGrid w:val="0"/>
              <w:ind w:firstLine="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ind w:firstLine="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rPr>
            </w:pPr>
          </w:p>
        </w:tc>
        <w:tc>
          <w:tcPr>
            <w:tcW w:w="1215" w:type="dxa"/>
            <w:vAlign w:val="center"/>
          </w:tcPr>
          <w:p>
            <w:pPr>
              <w:pStyle w:val="5"/>
              <w:snapToGrid w:val="0"/>
              <w:jc w:val="center"/>
              <w:rPr>
                <w:rFonts w:hAnsi="宋体"/>
                <w:bCs/>
                <w:color w:val="auto"/>
                <w:kern w:val="2"/>
                <w:sz w:val="21"/>
                <w:szCs w:val="24"/>
              </w:rPr>
            </w:pPr>
          </w:p>
        </w:tc>
        <w:tc>
          <w:tcPr>
            <w:tcW w:w="1267" w:type="dxa"/>
            <w:vAlign w:val="center"/>
          </w:tcPr>
          <w:p>
            <w:pPr>
              <w:pStyle w:val="5"/>
              <w:snapToGrid w:val="0"/>
              <w:jc w:val="center"/>
              <w:rPr>
                <w:rFonts w:hAnsi="宋体"/>
                <w:bCs/>
                <w:color w:val="auto"/>
                <w:kern w:val="2"/>
                <w:sz w:val="21"/>
                <w:szCs w:val="24"/>
              </w:rPr>
            </w:pPr>
          </w:p>
        </w:tc>
        <w:tc>
          <w:tcPr>
            <w:tcW w:w="1117" w:type="dxa"/>
            <w:vAlign w:val="center"/>
          </w:tcPr>
          <w:p>
            <w:pPr>
              <w:pStyle w:val="5"/>
              <w:snapToGrid w:val="0"/>
              <w:jc w:val="center"/>
              <w:rPr>
                <w:rFonts w:hAnsi="宋体"/>
                <w:bCs/>
                <w:color w:val="auto"/>
                <w:kern w:val="2"/>
                <w:sz w:val="21"/>
                <w:szCs w:val="24"/>
              </w:rPr>
            </w:pPr>
          </w:p>
        </w:tc>
        <w:tc>
          <w:tcPr>
            <w:tcW w:w="1400" w:type="dxa"/>
            <w:vAlign w:val="center"/>
          </w:tcPr>
          <w:p>
            <w:pPr>
              <w:pStyle w:val="5"/>
              <w:snapToGrid w:val="0"/>
              <w:jc w:val="center"/>
              <w:rPr>
                <w:rFonts w:hAnsi="宋体"/>
                <w:bCs/>
                <w:color w:val="auto"/>
                <w:kern w:val="2"/>
                <w:sz w:val="21"/>
                <w:szCs w:val="24"/>
              </w:rPr>
            </w:pPr>
          </w:p>
        </w:tc>
        <w:tc>
          <w:tcPr>
            <w:tcW w:w="1233" w:type="dxa"/>
            <w:vAlign w:val="center"/>
          </w:tcPr>
          <w:p>
            <w:pPr>
              <w:pStyle w:val="5"/>
              <w:snapToGrid w:val="0"/>
              <w:jc w:val="center"/>
              <w:rPr>
                <w:rFonts w:hAnsi="宋体"/>
                <w:bCs/>
                <w:color w:val="auto"/>
                <w:kern w:val="2"/>
                <w:sz w:val="21"/>
                <w:szCs w:val="24"/>
              </w:rPr>
            </w:pPr>
          </w:p>
        </w:tc>
        <w:tc>
          <w:tcPr>
            <w:tcW w:w="1183" w:type="dxa"/>
            <w:vAlign w:val="center"/>
          </w:tcPr>
          <w:p>
            <w:pPr>
              <w:pStyle w:val="5"/>
              <w:snapToGrid w:val="0"/>
              <w:jc w:val="center"/>
              <w:rPr>
                <w:rFonts w:hAnsi="宋体"/>
                <w:bCs/>
                <w:color w:val="auto"/>
                <w:kern w:val="2"/>
                <w:sz w:val="21"/>
                <w:szCs w:val="24"/>
              </w:rPr>
            </w:pPr>
          </w:p>
        </w:tc>
        <w:tc>
          <w:tcPr>
            <w:tcW w:w="1220" w:type="dxa"/>
            <w:vAlign w:val="center"/>
          </w:tcPr>
          <w:p>
            <w:pPr>
              <w:pStyle w:val="5"/>
              <w:snapToGrid w:val="0"/>
              <w:jc w:val="center"/>
              <w:rPr>
                <w:rFonts w:hAnsi="宋体"/>
                <w:bCs/>
                <w:color w:val="auto"/>
                <w:kern w:val="2"/>
                <w:sz w:val="21"/>
                <w:szCs w:val="24"/>
              </w:rPr>
            </w:pPr>
          </w:p>
        </w:tc>
        <w:tc>
          <w:tcPr>
            <w:tcW w:w="817" w:type="dxa"/>
            <w:vAlign w:val="center"/>
          </w:tcPr>
          <w:p>
            <w:pPr>
              <w:pStyle w:val="5"/>
              <w:snapToGrid w:val="0"/>
              <w:jc w:val="center"/>
              <w:rPr>
                <w:rFonts w:hAnsi="宋体"/>
                <w:bCs/>
                <w:color w:val="auto"/>
                <w:kern w:val="2"/>
                <w:sz w:val="21"/>
                <w:szCs w:val="24"/>
              </w:rPr>
            </w:pPr>
          </w:p>
        </w:tc>
      </w:tr>
    </w:tbl>
    <w:p>
      <w:pPr>
        <w:pStyle w:val="5"/>
        <w:snapToGrid w:val="0"/>
        <w:spacing w:line="360" w:lineRule="auto"/>
        <w:ind w:firstLine="0"/>
        <w:rPr>
          <w:rFonts w:hAnsi="宋体"/>
          <w:bCs/>
          <w:color w:val="auto"/>
          <w:sz w:val="21"/>
        </w:rPr>
      </w:pPr>
      <w:r>
        <w:rPr>
          <w:rFonts w:hint="eastAsia" w:hAnsi="宋体"/>
          <w:bCs/>
          <w:color w:val="auto"/>
          <w:sz w:val="21"/>
        </w:rPr>
        <w:t>注：如本表格式内容不能满足需要，投标人可自行划表填写，但必须体现以上内容。</w:t>
      </w:r>
    </w:p>
    <w:p>
      <w:pPr>
        <w:pStyle w:val="5"/>
        <w:snapToGrid w:val="0"/>
        <w:spacing w:line="360" w:lineRule="auto"/>
        <w:rPr>
          <w:rFonts w:hAnsi="宋体"/>
          <w:bCs/>
          <w:color w:val="auto"/>
          <w:sz w:val="21"/>
        </w:rPr>
      </w:pPr>
    </w:p>
    <w:p>
      <w:pPr>
        <w:pStyle w:val="5"/>
        <w:snapToGrid w:val="0"/>
        <w:spacing w:line="360" w:lineRule="auto"/>
        <w:rPr>
          <w:rFonts w:hAnsi="宋体"/>
          <w:bCs/>
          <w:color w:val="auto"/>
          <w:sz w:val="21"/>
        </w:rPr>
      </w:pPr>
    </w:p>
    <w:p>
      <w:pPr>
        <w:pStyle w:val="5"/>
        <w:snapToGrid w:val="0"/>
        <w:spacing w:line="360" w:lineRule="auto"/>
        <w:rPr>
          <w:rFonts w:hAnsi="宋体"/>
          <w:bCs/>
          <w:color w:val="auto"/>
          <w:sz w:val="21"/>
        </w:rPr>
      </w:pPr>
    </w:p>
    <w:p>
      <w:pPr>
        <w:pStyle w:val="5"/>
        <w:snapToGrid w:val="0"/>
        <w:spacing w:line="360" w:lineRule="auto"/>
        <w:rPr>
          <w:rFonts w:hAnsi="宋体"/>
          <w:bCs/>
          <w:color w:val="auto"/>
          <w:sz w:val="21"/>
        </w:rPr>
      </w:pPr>
    </w:p>
    <w:p>
      <w:pPr>
        <w:adjustRightInd w:val="0"/>
        <w:snapToGrid w:val="0"/>
        <w:spacing w:line="360" w:lineRule="auto"/>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360" w:lineRule="auto"/>
        <w:rPr>
          <w:rFonts w:ascii="宋体" w:hAnsi="宋体"/>
          <w:bCs/>
          <w:color w:val="auto"/>
          <w:u w:val="single"/>
        </w:rPr>
      </w:pPr>
      <w:r>
        <w:rPr>
          <w:rFonts w:hint="eastAsia" w:ascii="宋体" w:hAnsi="宋体"/>
          <w:bCs/>
          <w:color w:val="auto"/>
        </w:rPr>
        <w:t>投标人名称（公章）：</w:t>
      </w:r>
    </w:p>
    <w:p>
      <w:pPr>
        <w:adjustRightInd w:val="0"/>
        <w:snapToGrid w:val="0"/>
        <w:spacing w:line="360" w:lineRule="auto"/>
        <w:rPr>
          <w:rFonts w:ascii="宋体" w:hAnsi="宋体"/>
          <w:bCs/>
          <w:color w:val="auto"/>
        </w:rPr>
      </w:pPr>
      <w:r>
        <w:rPr>
          <w:rFonts w:hint="eastAsia" w:ascii="宋体" w:hAnsi="宋体"/>
          <w:bCs/>
          <w:color w:val="auto"/>
          <w:szCs w:val="21"/>
        </w:rPr>
        <w:t>日期： 年月 日</w:t>
      </w:r>
    </w:p>
    <w:p>
      <w:pPr>
        <w:pStyle w:val="4"/>
        <w:numPr>
          <w:ilvl w:val="1"/>
          <w:numId w:val="0"/>
        </w:numPr>
        <w:jc w:val="both"/>
        <w:rPr>
          <w:color w:val="auto"/>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auto"/>
        </w:rPr>
      </w:pPr>
      <w:bookmarkStart w:id="1914" w:name="_Toc432682754"/>
      <w:bookmarkStart w:id="1915" w:name="_Toc432695229"/>
      <w:bookmarkStart w:id="1916" w:name="_Toc430771089"/>
      <w:bookmarkStart w:id="1917" w:name="_Toc21628"/>
      <w:bookmarkStart w:id="1918" w:name="_Toc366072562"/>
      <w:bookmarkStart w:id="1919" w:name="_Toc350438779"/>
      <w:bookmarkStart w:id="1920" w:name="_Toc343248448"/>
      <w:bookmarkStart w:id="1921" w:name="_Toc332270377"/>
      <w:bookmarkStart w:id="1922" w:name="_Toc342398160"/>
      <w:bookmarkStart w:id="1923" w:name="_Toc339020125"/>
      <w:bookmarkStart w:id="1924" w:name="_Toc339019919"/>
      <w:bookmarkStart w:id="1925" w:name="_Toc336681610"/>
      <w:bookmarkStart w:id="1926" w:name="_Toc333237708"/>
      <w:bookmarkStart w:id="1927" w:name="_Toc339441117"/>
      <w:bookmarkStart w:id="1928" w:name="_Toc343247130"/>
      <w:bookmarkStart w:id="1929" w:name="_Toc365985211"/>
      <w:bookmarkStart w:id="1930" w:name="_Toc337632388"/>
      <w:bookmarkStart w:id="1931" w:name="_Toc339020045"/>
      <w:bookmarkStart w:id="1932" w:name="_Toc343612950"/>
      <w:bookmarkStart w:id="1933" w:name="_Toc345312627"/>
      <w:bookmarkStart w:id="1934" w:name="_Toc350756480"/>
      <w:bookmarkStart w:id="1935" w:name="_Toc331684072"/>
      <w:bookmarkStart w:id="1936" w:name="_Toc102451601"/>
      <w:bookmarkStart w:id="1937" w:name="_Toc342312473"/>
      <w:bookmarkStart w:id="1938" w:name="_Toc339020263"/>
      <w:bookmarkStart w:id="1939" w:name="_Toc339362330"/>
      <w:bookmarkStart w:id="1940" w:name="_Toc365967105"/>
      <w:bookmarkStart w:id="1941" w:name="_Toc336681965"/>
      <w:bookmarkStart w:id="1942" w:name="_Toc340677100"/>
      <w:bookmarkStart w:id="1943" w:name="_Toc333935376"/>
      <w:bookmarkStart w:id="1944" w:name="_Toc333237819"/>
      <w:bookmarkStart w:id="1945" w:name="_Toc331512931"/>
      <w:bookmarkStart w:id="1946" w:name="_Toc342296791"/>
      <w:bookmarkStart w:id="1947" w:name="_Toc342060405"/>
      <w:bookmarkStart w:id="1948" w:name="_Toc341348370"/>
      <w:bookmarkStart w:id="1949" w:name="_Toc330460016"/>
      <w:bookmarkStart w:id="1950" w:name="_Toc333238664"/>
      <w:bookmarkStart w:id="1951" w:name="_Toc332206739"/>
      <w:bookmarkStart w:id="1952" w:name="_Toc340672899"/>
      <w:bookmarkStart w:id="1953" w:name="_Toc340507472"/>
      <w:bookmarkStart w:id="1954" w:name="_Toc333935717"/>
      <w:r>
        <w:rPr>
          <w:rFonts w:hint="eastAsia"/>
          <w:color w:val="auto"/>
        </w:rPr>
        <w:t>附件七：</w:t>
      </w:r>
      <w:r>
        <w:rPr>
          <w:rFonts w:hint="eastAsia" w:hAnsi="黑体" w:cs="黑体"/>
          <w:color w:val="auto"/>
        </w:rPr>
        <w:t>中小微企业声明函</w:t>
      </w:r>
      <w:bookmarkEnd w:id="1914"/>
      <w:bookmarkEnd w:id="1915"/>
      <w:bookmarkEnd w:id="1916"/>
      <w:bookmarkEnd w:id="1917"/>
    </w:p>
    <w:p>
      <w:pPr>
        <w:spacing w:line="440" w:lineRule="exact"/>
        <w:ind w:firstLine="420"/>
        <w:rPr>
          <w:rFonts w:ascii="宋体"/>
          <w:color w:val="auto"/>
        </w:rPr>
      </w:pPr>
      <w:r>
        <w:rPr>
          <w:rFonts w:hint="eastAsia" w:ascii="宋体" w:hAnsi="宋体" w:cs="宋体"/>
          <w:color w:val="auto"/>
        </w:rPr>
        <w:t>本公司郑重声明，根据</w:t>
      </w:r>
      <w:r>
        <w:rPr>
          <w:rFonts w:ascii="宋体" w:hAnsi="宋体"/>
          <w:color w:val="auto"/>
          <w:szCs w:val="21"/>
        </w:rPr>
        <w:t>《政府采购促进中小企业发展管理办法》（财库﹝2020﹞46 号）</w:t>
      </w:r>
      <w:r>
        <w:rPr>
          <w:rFonts w:hint="eastAsia" w:ascii="宋体" w:hAnsi="宋体" w:cs="宋体"/>
          <w:color w:val="auto"/>
        </w:rPr>
        <w:t>的规定，本公司为</w:t>
      </w:r>
      <w:r>
        <w:rPr>
          <w:rFonts w:ascii="宋体" w:hAnsi="宋体" w:cs="宋体"/>
          <w:color w:val="auto"/>
          <w:u w:val="single"/>
        </w:rPr>
        <w:t>______</w:t>
      </w:r>
      <w:r>
        <w:rPr>
          <w:rFonts w:hint="eastAsia" w:ascii="宋体" w:hAnsi="宋体" w:cs="宋体"/>
          <w:color w:val="auto"/>
        </w:rPr>
        <w:t>（请填写：中型、小型、微型）企业。即，本公司同时满足以下条件：</w:t>
      </w:r>
    </w:p>
    <w:p>
      <w:pPr>
        <w:spacing w:line="440" w:lineRule="exact"/>
        <w:ind w:firstLine="420"/>
        <w:rPr>
          <w:rFonts w:ascii="宋体"/>
          <w:color w:val="auto"/>
        </w:rPr>
      </w:pPr>
      <w:r>
        <w:rPr>
          <w:rFonts w:ascii="宋体" w:hAnsi="宋体" w:cs="宋体"/>
          <w:color w:val="auto"/>
        </w:rPr>
        <w:t xml:space="preserve"> 1.</w:t>
      </w:r>
      <w:r>
        <w:rPr>
          <w:rFonts w:hint="eastAsia" w:ascii="宋体" w:hAnsi="宋体" w:cs="宋体"/>
          <w:color w:val="auto"/>
        </w:rPr>
        <w:t>根据《工业和信息化部、国家统计局、国家发展和改革委员会、财政部关于印发中小企业划型标准规定的通知》（工信部联企业</w:t>
      </w:r>
      <w:r>
        <w:rPr>
          <w:rFonts w:ascii="宋体" w:hAnsi="宋体" w:cs="宋体"/>
          <w:color w:val="auto"/>
        </w:rPr>
        <w:t xml:space="preserve">[2011]300 </w:t>
      </w:r>
      <w:r>
        <w:rPr>
          <w:rFonts w:hint="eastAsia" w:ascii="宋体" w:hAnsi="宋体" w:cs="宋体"/>
          <w:color w:val="auto"/>
        </w:rPr>
        <w:t>号）规定的划分标准：第四条第</w:t>
      </w:r>
      <w:r>
        <w:rPr>
          <w:rFonts w:ascii="宋体" w:hAnsi="宋体" w:cs="宋体"/>
          <w:color w:val="auto"/>
          <w:u w:val="single"/>
        </w:rPr>
        <w:t>______</w:t>
      </w:r>
      <w:r>
        <w:rPr>
          <w:rFonts w:hint="eastAsia" w:ascii="宋体" w:hAnsi="宋体" w:cs="宋体"/>
          <w:color w:val="auto"/>
        </w:rPr>
        <w:t>项</w:t>
      </w:r>
      <w:r>
        <w:rPr>
          <w:rFonts w:ascii="宋体" w:hAnsi="宋体" w:cs="宋体"/>
          <w:color w:val="auto"/>
          <w:u w:val="single"/>
        </w:rPr>
        <w:t>_________</w:t>
      </w:r>
      <w:r>
        <w:rPr>
          <w:rFonts w:hint="eastAsia" w:ascii="宋体" w:hAnsi="宋体" w:cs="宋体"/>
          <w:color w:val="auto"/>
        </w:rPr>
        <w:t>行业，本公司（此处填写从业人员或营业收入的具体数据），为</w:t>
      </w:r>
      <w:r>
        <w:rPr>
          <w:rFonts w:ascii="宋体" w:hAnsi="宋体" w:cs="宋体"/>
          <w:color w:val="auto"/>
          <w:u w:val="single"/>
        </w:rPr>
        <w:t xml:space="preserve"> ______</w:t>
      </w:r>
      <w:r>
        <w:rPr>
          <w:rFonts w:hint="eastAsia" w:ascii="宋体" w:hAnsi="宋体" w:cs="宋体"/>
          <w:color w:val="auto"/>
        </w:rPr>
        <w:t>（请填写：中型、小型、微型）企业。</w:t>
      </w:r>
    </w:p>
    <w:p>
      <w:pPr>
        <w:spacing w:line="440" w:lineRule="exact"/>
        <w:rPr>
          <w:rFonts w:ascii="宋体"/>
          <w:color w:val="auto"/>
        </w:rPr>
      </w:pPr>
      <w:r>
        <w:rPr>
          <w:rFonts w:ascii="宋体" w:hAnsi="宋体" w:cs="宋体"/>
          <w:color w:val="auto"/>
        </w:rPr>
        <w:t xml:space="preserve">     2.</w:t>
      </w:r>
      <w:r>
        <w:rPr>
          <w:rFonts w:hint="eastAsia" w:ascii="宋体" w:hAnsi="宋体" w:cs="宋体"/>
          <w:color w:val="auto"/>
        </w:rPr>
        <w:t>本公司参加</w:t>
      </w:r>
      <w:r>
        <w:rPr>
          <w:rFonts w:hint="eastAsia" w:ascii="宋体" w:hAnsi="宋体"/>
          <w:color w:val="auto"/>
        </w:rPr>
        <w:t>（项目名称：）</w:t>
      </w:r>
      <w:r>
        <w:rPr>
          <w:rFonts w:hint="eastAsia" w:ascii="宋体" w:hAnsi="宋体" w:cs="宋体"/>
          <w:color w:val="auto"/>
        </w:rPr>
        <w:t>（项目编号：）采购活动提供本企业制造的货物，由本企业承担工程、提供服务，或者提供其他</w:t>
      </w:r>
      <w:r>
        <w:rPr>
          <w:rFonts w:ascii="宋体" w:hAnsi="宋体" w:cs="宋体"/>
          <w:color w:val="auto"/>
          <w:u w:val="single"/>
        </w:rPr>
        <w:t>______</w:t>
      </w:r>
      <w:r>
        <w:rPr>
          <w:rFonts w:hint="eastAsia" w:ascii="宋体" w:hAnsi="宋体" w:cs="宋体"/>
          <w:color w:val="auto"/>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rPr>
      </w:pPr>
      <w:r>
        <w:rPr>
          <w:rFonts w:hint="eastAsia" w:ascii="宋体" w:hAnsi="宋体" w:cs="宋体"/>
          <w:color w:val="auto"/>
        </w:rPr>
        <w:t>本公司对上述声明的真实性负责。如有虚假，将依法承担相应责任。</w:t>
      </w:r>
    </w:p>
    <w:p>
      <w:pPr>
        <w:spacing w:line="440" w:lineRule="exact"/>
        <w:rPr>
          <w:rFonts w:ascii="宋体"/>
          <w:color w:val="auto"/>
        </w:rPr>
      </w:pPr>
    </w:p>
    <w:p>
      <w:pPr>
        <w:adjustRightInd w:val="0"/>
        <w:snapToGrid w:val="0"/>
        <w:spacing w:line="440" w:lineRule="exact"/>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440" w:lineRule="exact"/>
        <w:rPr>
          <w:rFonts w:ascii="宋体" w:hAnsi="宋体"/>
          <w:bCs/>
          <w:color w:val="auto"/>
        </w:rPr>
      </w:pPr>
      <w:r>
        <w:rPr>
          <w:rFonts w:hint="eastAsia" w:ascii="宋体" w:hAnsi="宋体"/>
          <w:bCs/>
          <w:color w:val="auto"/>
        </w:rPr>
        <w:t>投标人名称（公章）：</w:t>
      </w:r>
    </w:p>
    <w:p>
      <w:pPr>
        <w:spacing w:line="440" w:lineRule="exact"/>
        <w:rPr>
          <w:rFonts w:ascii="宋体"/>
          <w:color w:val="auto"/>
        </w:rPr>
      </w:pPr>
      <w:r>
        <w:rPr>
          <w:rFonts w:ascii="宋体" w:hAnsi="宋体"/>
          <w:color w:val="auto"/>
          <w:szCs w:val="21"/>
        </w:rPr>
        <w:t>日期：年月日</w:t>
      </w:r>
    </w:p>
    <w:p>
      <w:pPr>
        <w:spacing w:line="440" w:lineRule="exact"/>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spacing w:line="440" w:lineRule="exact"/>
        <w:jc w:val="center"/>
        <w:rPr>
          <w:rFonts w:ascii="宋体"/>
          <w:color w:val="auto"/>
        </w:rPr>
      </w:pPr>
    </w:p>
    <w:p>
      <w:pPr>
        <w:adjustRightInd w:val="0"/>
        <w:snapToGrid w:val="0"/>
        <w:spacing w:line="440" w:lineRule="exact"/>
        <w:rPr>
          <w:rFonts w:ascii="宋体" w:hAnsi="宋体"/>
          <w:bCs/>
          <w:color w:val="auto"/>
        </w:rPr>
      </w:pPr>
      <w:r>
        <w:rPr>
          <w:rFonts w:hint="eastAsia" w:ascii="宋体" w:hAnsi="宋体"/>
          <w:bCs/>
          <w:color w:val="auto"/>
        </w:rPr>
        <w:t>说明：提供其他中小微企业制造的货物，必须同时提供该中小微企业的声明函。</w:t>
      </w: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p>
      <w:pPr>
        <w:pStyle w:val="4"/>
        <w:keepLines w:val="0"/>
        <w:numPr>
          <w:ilvl w:val="0"/>
          <w:numId w:val="0"/>
        </w:numPr>
        <w:tabs>
          <w:tab w:val="left" w:pos="851"/>
        </w:tabs>
        <w:spacing w:before="0" w:after="0" w:line="360" w:lineRule="auto"/>
        <w:rPr>
          <w:rFonts w:ascii="宋体" w:eastAsia="宋体"/>
          <w:color w:val="auto"/>
          <w:szCs w:val="21"/>
        </w:rPr>
      </w:pPr>
      <w:bookmarkStart w:id="1955" w:name="_Toc32373"/>
      <w:bookmarkStart w:id="1956" w:name="_Toc10852"/>
      <w:bookmarkStart w:id="1957" w:name="_Toc434832511"/>
      <w:r>
        <w:rPr>
          <w:rFonts w:hint="eastAsia"/>
          <w:color w:val="auto"/>
        </w:rPr>
        <w:t>附件八：</w:t>
      </w:r>
      <w:r>
        <w:rPr>
          <w:rFonts w:hint="eastAsia" w:hAnsi="黑体" w:cs="黑体"/>
          <w:color w:val="auto"/>
        </w:rPr>
        <w:t>残疾人福利性单位声明函</w:t>
      </w:r>
      <w:bookmarkEnd w:id="1955"/>
      <w:bookmarkEnd w:id="1956"/>
    </w:p>
    <w:p>
      <w:pPr>
        <w:spacing w:line="360" w:lineRule="auto"/>
        <w:jc w:val="center"/>
        <w:rPr>
          <w:rFonts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残疾人福利性单位声明函</w:t>
      </w:r>
    </w:p>
    <w:p>
      <w:pPr>
        <w:spacing w:line="360" w:lineRule="auto"/>
        <w:jc w:val="center"/>
        <w:rPr>
          <w:rFonts w:ascii="宋体" w:hAnsi="宋体"/>
          <w:b/>
          <w:color w:val="auto"/>
          <w:sz w:val="24"/>
        </w:rPr>
      </w:pPr>
    </w:p>
    <w:p>
      <w:pPr>
        <w:spacing w:line="480" w:lineRule="auto"/>
        <w:jc w:val="left"/>
        <w:rPr>
          <w:rFonts w:ascii="宋体" w:hAnsi="宋体" w:cs="宋体"/>
          <w:color w:val="auto"/>
        </w:rPr>
      </w:pPr>
      <w:r>
        <w:rPr>
          <w:rFonts w:hint="eastAsia" w:ascii="宋体" w:hAnsi="宋体" w:cs="宋体"/>
          <w:color w:val="auto"/>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rPr>
      </w:pPr>
      <w:r>
        <w:rPr>
          <w:rFonts w:hint="eastAsia" w:ascii="宋体" w:hAnsi="宋体" w:cs="宋体"/>
          <w:color w:val="auto"/>
        </w:rPr>
        <w:t>本单位对上述声明的真实性负责。如有虚假，将依法承担相应责任。</w:t>
      </w:r>
    </w:p>
    <w:p>
      <w:pPr>
        <w:spacing w:line="360" w:lineRule="auto"/>
        <w:ind w:firstLine="420" w:firstLineChars="200"/>
        <w:rPr>
          <w:rFonts w:ascii="宋体" w:hAnsi="宋体" w:cs="宋体"/>
          <w:color w:val="auto"/>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r>
        <w:rPr>
          <w:rFonts w:hint="eastAsia" w:ascii="宋体" w:hAnsi="宋体"/>
          <w:bCs/>
          <w:color w:val="auto"/>
          <w:szCs w:val="21"/>
        </w:rPr>
        <w:t>投标人法定代表人（负责人）或授权代理人（签字）：</w:t>
      </w:r>
    </w:p>
    <w:p>
      <w:pPr>
        <w:adjustRightInd w:val="0"/>
        <w:snapToGrid w:val="0"/>
        <w:spacing w:line="440" w:lineRule="exact"/>
        <w:rPr>
          <w:rFonts w:ascii="宋体" w:hAnsi="宋体"/>
          <w:bCs/>
          <w:color w:val="auto"/>
          <w:szCs w:val="21"/>
        </w:rPr>
      </w:pPr>
      <w:r>
        <w:rPr>
          <w:rFonts w:hint="eastAsia" w:ascii="宋体" w:hAnsi="宋体"/>
          <w:bCs/>
          <w:color w:val="auto"/>
          <w:szCs w:val="21"/>
        </w:rPr>
        <w:t>投标人名称（公章）：</w:t>
      </w:r>
    </w:p>
    <w:p>
      <w:pPr>
        <w:pStyle w:val="5"/>
        <w:spacing w:line="360" w:lineRule="auto"/>
        <w:ind w:firstLine="0"/>
        <w:rPr>
          <w:rFonts w:hAnsi="宋体" w:cs="宋体"/>
          <w:color w:val="auto"/>
          <w:kern w:val="2"/>
          <w:sz w:val="21"/>
          <w:szCs w:val="24"/>
        </w:rPr>
      </w:pPr>
      <w:r>
        <w:rPr>
          <w:rFonts w:hAnsi="宋体"/>
          <w:color w:val="auto"/>
          <w:sz w:val="21"/>
          <w:szCs w:val="21"/>
        </w:rPr>
        <w:t>日期：年月日</w:t>
      </w: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4"/>
        <w:numPr>
          <w:ilvl w:val="1"/>
          <w:numId w:val="0"/>
        </w:numPr>
        <w:spacing w:line="400" w:lineRule="exact"/>
        <w:rPr>
          <w:color w:val="auto"/>
        </w:rPr>
      </w:pPr>
      <w:bookmarkStart w:id="1958" w:name="_Toc9858"/>
      <w:bookmarkStart w:id="1959" w:name="_Toc432695230"/>
      <w:bookmarkStart w:id="1960" w:name="_Toc7407"/>
      <w:r>
        <w:rPr>
          <w:rFonts w:hint="eastAsia"/>
          <w:color w:val="auto"/>
        </w:rPr>
        <w:t>附件九：中标服务费承诺</w:t>
      </w:r>
      <w:bookmarkEnd w:id="1958"/>
      <w:bookmarkEnd w:id="1959"/>
      <w:bookmarkEnd w:id="1960"/>
    </w:p>
    <w:p>
      <w:pPr>
        <w:spacing w:line="360" w:lineRule="auto"/>
        <w:rPr>
          <w:rFonts w:ascii="宋体" w:hAnsi="宋体"/>
          <w:color w:val="auto"/>
        </w:rPr>
      </w:pPr>
      <w:r>
        <w:rPr>
          <w:rFonts w:hint="eastAsia" w:ascii="宋体" w:hAnsi="宋体"/>
          <w:color w:val="auto"/>
        </w:rPr>
        <w:t>致</w:t>
      </w:r>
      <w:r>
        <w:rPr>
          <w:rFonts w:hint="eastAsia" w:ascii="宋体" w:hAnsi="宋体"/>
          <w:color w:val="auto"/>
          <w:u w:val="single"/>
        </w:rPr>
        <w:t>广东业信采购招标有限公司</w:t>
      </w:r>
      <w:r>
        <w:rPr>
          <w:rFonts w:hint="eastAsia" w:ascii="宋体" w:hAnsi="宋体"/>
          <w:color w:val="auto"/>
        </w:rPr>
        <w:t>：</w:t>
      </w:r>
    </w:p>
    <w:p>
      <w:pPr>
        <w:spacing w:line="360" w:lineRule="auto"/>
        <w:rPr>
          <w:rFonts w:ascii="宋体" w:hAnsi="宋体"/>
          <w:color w:val="auto"/>
        </w:rPr>
      </w:pPr>
    </w:p>
    <w:p>
      <w:pPr>
        <w:spacing w:line="440" w:lineRule="exact"/>
        <w:ind w:firstLine="420" w:firstLineChars="200"/>
        <w:rPr>
          <w:rFonts w:ascii="宋体" w:hAnsi="宋体"/>
          <w:color w:val="auto"/>
        </w:rPr>
      </w:pPr>
      <w:r>
        <w:rPr>
          <w:rFonts w:hint="eastAsia" w:ascii="宋体" w:hAnsi="宋体"/>
          <w:color w:val="auto"/>
        </w:rPr>
        <w:t>针对贵方组织的（项目名称：）招标（项目编号: ），我方承诺：</w:t>
      </w:r>
    </w:p>
    <w:p>
      <w:pPr>
        <w:spacing w:line="440" w:lineRule="exact"/>
        <w:ind w:firstLine="420" w:firstLineChars="200"/>
        <w:rPr>
          <w:rFonts w:ascii="宋体" w:hAnsi="宋体"/>
          <w:color w:val="auto"/>
        </w:rPr>
      </w:pPr>
      <w:r>
        <w:rPr>
          <w:rFonts w:hint="eastAsia" w:ascii="宋体" w:hAnsi="宋体"/>
          <w:color w:val="auto"/>
        </w:rPr>
        <w:t>1. 若我方中标，将严格遵照本项目招标文件的规定向代理采购机构缴纳中标服务费。</w:t>
      </w:r>
    </w:p>
    <w:p>
      <w:pPr>
        <w:spacing w:line="440" w:lineRule="exact"/>
        <w:ind w:firstLine="420" w:firstLineChars="200"/>
        <w:rPr>
          <w:rFonts w:ascii="宋体" w:hAnsi="宋体"/>
          <w:color w:val="auto"/>
        </w:rPr>
      </w:pPr>
      <w:r>
        <w:rPr>
          <w:rFonts w:hint="eastAsia" w:ascii="宋体" w:hAnsi="宋体"/>
          <w:color w:val="auto"/>
        </w:rPr>
        <w:t>2. 若我方中标后拒绝如数缴纳或未按本项目招标文件规定的期限缴纳中标服务费，则视为我方自动放弃该中标结果，贵</w:t>
      </w:r>
      <w:r>
        <w:rPr>
          <w:rFonts w:hint="eastAsia" w:ascii="宋体" w:hAnsi="宋体"/>
          <w:color w:val="auto"/>
          <w:szCs w:val="21"/>
        </w:rPr>
        <w:t>方</w:t>
      </w:r>
      <w:r>
        <w:rPr>
          <w:rFonts w:hint="eastAsia" w:ascii="宋体" w:hAnsi="宋体"/>
          <w:color w:val="auto"/>
        </w:rPr>
        <w:t>有权不予退还我方的投标保证金并重新确定中标结果，</w:t>
      </w:r>
      <w:r>
        <w:rPr>
          <w:rFonts w:hint="eastAsia" w:ascii="宋体"/>
          <w:color w:val="auto"/>
        </w:rPr>
        <w:t>我方对此无任何异议。</w:t>
      </w:r>
    </w:p>
    <w:p>
      <w:pPr>
        <w:spacing w:line="440" w:lineRule="exact"/>
        <w:rPr>
          <w:rFonts w:ascii="宋体" w:hAnsi="宋体"/>
          <w:color w:val="auto"/>
        </w:rPr>
      </w:pPr>
    </w:p>
    <w:p>
      <w:pPr>
        <w:spacing w:line="440" w:lineRule="exact"/>
        <w:ind w:firstLine="420" w:firstLineChars="200"/>
        <w:rPr>
          <w:rFonts w:ascii="宋体" w:hAnsi="宋体"/>
          <w:color w:val="auto"/>
        </w:rPr>
      </w:pPr>
    </w:p>
    <w:p>
      <w:pPr>
        <w:adjustRightInd w:val="0"/>
        <w:snapToGrid w:val="0"/>
        <w:spacing w:line="440" w:lineRule="exact"/>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440" w:lineRule="exact"/>
        <w:rPr>
          <w:rFonts w:ascii="宋体" w:hAnsi="宋体"/>
          <w:bCs/>
          <w:color w:val="auto"/>
          <w:u w:val="single"/>
        </w:rPr>
      </w:pPr>
      <w:r>
        <w:rPr>
          <w:rFonts w:hint="eastAsia" w:ascii="宋体" w:hAnsi="宋体"/>
          <w:bCs/>
          <w:color w:val="auto"/>
        </w:rPr>
        <w:t>投标人名称（公章）：</w:t>
      </w:r>
    </w:p>
    <w:p>
      <w:pPr>
        <w:adjustRightInd w:val="0"/>
        <w:snapToGrid w:val="0"/>
        <w:spacing w:line="440" w:lineRule="exact"/>
        <w:rPr>
          <w:rFonts w:ascii="宋体" w:hAnsi="宋体"/>
          <w:bCs/>
          <w:color w:val="auto"/>
        </w:rPr>
      </w:pPr>
      <w:r>
        <w:rPr>
          <w:rFonts w:hint="eastAsia" w:ascii="宋体" w:hAnsi="宋体"/>
          <w:bCs/>
          <w:color w:val="auto"/>
          <w:szCs w:val="21"/>
        </w:rPr>
        <w:t>日期： 年月 日</w:t>
      </w:r>
    </w:p>
    <w:p>
      <w:pPr>
        <w:rPr>
          <w:color w:val="auto"/>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auto"/>
        </w:rPr>
      </w:pPr>
      <w:bookmarkStart w:id="1961" w:name="_Toc326065622"/>
      <w:bookmarkStart w:id="1962" w:name="_Toc333237820"/>
      <w:bookmarkStart w:id="1963" w:name="_Toc332270378"/>
      <w:bookmarkStart w:id="1964" w:name="_Toc350756481"/>
      <w:bookmarkStart w:id="1965" w:name="_Toc340677101"/>
      <w:bookmarkStart w:id="1966" w:name="_Toc340672900"/>
      <w:bookmarkStart w:id="1967" w:name="_Toc337632389"/>
      <w:bookmarkStart w:id="1968" w:name="_Toc330460017"/>
      <w:bookmarkStart w:id="1969" w:name="_Toc342398161"/>
      <w:bookmarkStart w:id="1970" w:name="_Toc366072563"/>
      <w:bookmarkStart w:id="1971" w:name="_Toc365985212"/>
      <w:bookmarkStart w:id="1972" w:name="_Toc365967106"/>
      <w:bookmarkStart w:id="1973" w:name="_Toc339019920"/>
      <w:bookmarkStart w:id="1974" w:name="_Toc339362331"/>
      <w:bookmarkStart w:id="1975" w:name="_Toc331684073"/>
      <w:bookmarkStart w:id="1976" w:name="_Toc342060406"/>
      <w:bookmarkStart w:id="1977" w:name="_Toc332206740"/>
      <w:bookmarkStart w:id="1978" w:name="_Toc333237709"/>
      <w:bookmarkStart w:id="1979" w:name="_Toc343612951"/>
      <w:bookmarkStart w:id="1980" w:name="_Toc343247131"/>
      <w:bookmarkStart w:id="1981" w:name="_Toc333935377"/>
      <w:bookmarkStart w:id="1982" w:name="_Toc343248449"/>
      <w:bookmarkStart w:id="1983" w:name="_Toc339020126"/>
      <w:bookmarkStart w:id="1984" w:name="_Toc331512932"/>
      <w:bookmarkStart w:id="1985" w:name="_Toc333935718"/>
      <w:bookmarkStart w:id="1986" w:name="_Toc340507473"/>
      <w:bookmarkStart w:id="1987" w:name="_Toc342296792"/>
      <w:bookmarkStart w:id="1988" w:name="_Toc336681966"/>
      <w:bookmarkStart w:id="1989" w:name="_Toc336681611"/>
      <w:bookmarkStart w:id="1990" w:name="_Toc350438780"/>
      <w:bookmarkStart w:id="1991" w:name="_Toc339020046"/>
      <w:bookmarkStart w:id="1992" w:name="_Toc342312474"/>
      <w:bookmarkStart w:id="1993" w:name="_Toc333238665"/>
      <w:bookmarkStart w:id="1994" w:name="_Toc339020264"/>
      <w:bookmarkStart w:id="1995" w:name="_Toc345312628"/>
      <w:bookmarkStart w:id="1996" w:name="_Toc339441118"/>
      <w:bookmarkStart w:id="1997" w:name="_Toc10463"/>
      <w:bookmarkStart w:id="1998" w:name="_Toc432695231"/>
      <w:bookmarkStart w:id="1999" w:name="_Toc341348371"/>
      <w:bookmarkStart w:id="2000" w:name="_Toc57"/>
      <w:r>
        <w:rPr>
          <w:rFonts w:hint="eastAsia"/>
          <w:color w:val="auto"/>
        </w:rPr>
        <w:t>附件十：</w:t>
      </w:r>
      <w:bookmarkEnd w:id="1961"/>
      <w:r>
        <w:rPr>
          <w:rFonts w:hint="eastAsia"/>
          <w:color w:val="auto"/>
        </w:rPr>
        <w:t>投标人提交的其它商务和技术资料</w:t>
      </w:r>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p>
    <w:p>
      <w:pPr>
        <w:adjustRightInd w:val="0"/>
        <w:snapToGrid w:val="0"/>
        <w:spacing w:line="360" w:lineRule="auto"/>
        <w:jc w:val="left"/>
        <w:rPr>
          <w:rFonts w:ascii="宋体" w:hAnsi="宋体"/>
          <w:bCs/>
          <w:color w:val="auto"/>
        </w:rPr>
      </w:pPr>
    </w:p>
    <w:p>
      <w:pPr>
        <w:adjustRightInd w:val="0"/>
        <w:snapToGrid w:val="0"/>
        <w:spacing w:line="360" w:lineRule="auto"/>
        <w:jc w:val="left"/>
        <w:rPr>
          <w:rFonts w:ascii="宋体" w:hAnsi="宋体"/>
          <w:bCs/>
          <w:caps/>
          <w:color w:val="auto"/>
          <w:szCs w:val="21"/>
          <w:u w:val="single"/>
        </w:rPr>
      </w:pPr>
      <w:r>
        <w:rPr>
          <w:rFonts w:hint="eastAsia" w:ascii="宋体" w:hAnsi="宋体"/>
          <w:bCs/>
          <w:color w:val="auto"/>
          <w:szCs w:val="21"/>
        </w:rPr>
        <w:t>项目编号:</w:t>
      </w:r>
    </w:p>
    <w:p>
      <w:pPr>
        <w:adjustRightInd w:val="0"/>
        <w:snapToGrid w:val="0"/>
        <w:spacing w:line="360" w:lineRule="auto"/>
        <w:ind w:left="1050" w:hanging="1050" w:hangingChars="500"/>
        <w:jc w:val="left"/>
        <w:rPr>
          <w:rFonts w:ascii="宋体" w:hAnsi="宋体"/>
          <w:bCs/>
          <w:color w:val="auto"/>
        </w:rPr>
      </w:pPr>
      <w:r>
        <w:rPr>
          <w:rFonts w:hint="eastAsia" w:ascii="宋体" w:hAnsi="宋体"/>
          <w:bCs/>
          <w:color w:val="auto"/>
          <w:szCs w:val="21"/>
        </w:rPr>
        <w:t>项目名称：</w:t>
      </w:r>
    </w:p>
    <w:p>
      <w:pPr>
        <w:adjustRightInd w:val="0"/>
        <w:snapToGrid w:val="0"/>
        <w:spacing w:line="360" w:lineRule="auto"/>
        <w:ind w:left="1050" w:hanging="1050" w:hangingChars="500"/>
        <w:jc w:val="left"/>
        <w:rPr>
          <w:rFonts w:ascii="宋体" w:hAnsi="宋体"/>
          <w:bCs/>
          <w:color w:val="auto"/>
        </w:rPr>
      </w:pPr>
    </w:p>
    <w:p>
      <w:pPr>
        <w:pStyle w:val="5"/>
        <w:spacing w:line="360" w:lineRule="auto"/>
        <w:rPr>
          <w:rFonts w:hAnsi="宋体"/>
          <w:bCs/>
          <w:color w:val="auto"/>
          <w:sz w:val="21"/>
        </w:rPr>
      </w:pPr>
    </w:p>
    <w:p>
      <w:pPr>
        <w:pStyle w:val="5"/>
        <w:spacing w:line="360" w:lineRule="auto"/>
        <w:rPr>
          <w:rFonts w:hAnsi="宋体"/>
          <w:bCs/>
          <w:color w:val="auto"/>
          <w:sz w:val="21"/>
        </w:rPr>
      </w:pPr>
      <w:r>
        <w:rPr>
          <w:rFonts w:hint="eastAsia" w:hAnsi="宋体"/>
          <w:bCs/>
          <w:color w:val="auto"/>
          <w:sz w:val="21"/>
        </w:rPr>
        <w:t>本节无格式要求，投标人可根据自身实际情况以及招标文件评分细则规定的详细评审内容和应当提供的证明材料进行编制。</w:t>
      </w:r>
    </w:p>
    <w:p>
      <w:pPr>
        <w:pStyle w:val="5"/>
        <w:spacing w:line="360" w:lineRule="auto"/>
        <w:rPr>
          <w:rFonts w:hAnsi="宋体"/>
          <w:bCs/>
          <w:color w:val="auto"/>
          <w:sz w:val="21"/>
        </w:rPr>
      </w:pPr>
      <w:r>
        <w:rPr>
          <w:rFonts w:hint="eastAsia" w:hAnsi="宋体"/>
          <w:bCs/>
          <w:color w:val="auto"/>
          <w:sz w:val="21"/>
        </w:rPr>
        <w:t>一、</w:t>
      </w:r>
      <w:r>
        <w:rPr>
          <w:rFonts w:hAnsi="宋体"/>
          <w:bCs/>
          <w:color w:val="auto"/>
          <w:sz w:val="21"/>
        </w:rPr>
        <w:t>...</w:t>
      </w:r>
    </w:p>
    <w:p>
      <w:pPr>
        <w:pStyle w:val="5"/>
        <w:spacing w:line="360" w:lineRule="auto"/>
        <w:rPr>
          <w:rFonts w:hAnsi="宋体"/>
          <w:bCs/>
          <w:color w:val="auto"/>
          <w:sz w:val="21"/>
        </w:rPr>
      </w:pPr>
      <w:r>
        <w:rPr>
          <w:rFonts w:hint="eastAsia" w:hAnsi="宋体"/>
          <w:bCs/>
          <w:color w:val="auto"/>
          <w:sz w:val="21"/>
        </w:rPr>
        <w:t>二、</w:t>
      </w:r>
      <w:r>
        <w:rPr>
          <w:rFonts w:hAnsi="宋体"/>
          <w:bCs/>
          <w:color w:val="auto"/>
          <w:sz w:val="21"/>
        </w:rPr>
        <w:t>...</w:t>
      </w:r>
    </w:p>
    <w:p>
      <w:pPr>
        <w:pStyle w:val="5"/>
        <w:spacing w:line="360" w:lineRule="auto"/>
        <w:rPr>
          <w:rFonts w:hAnsi="宋体"/>
          <w:bCs/>
          <w:color w:val="auto"/>
          <w:sz w:val="21"/>
        </w:rPr>
      </w:pPr>
      <w:r>
        <w:rPr>
          <w:rFonts w:hint="eastAsia" w:hAnsi="宋体"/>
          <w:bCs/>
          <w:color w:val="auto"/>
          <w:sz w:val="21"/>
        </w:rPr>
        <w:t>三、</w:t>
      </w:r>
      <w:r>
        <w:rPr>
          <w:rFonts w:hAnsi="宋体"/>
          <w:bCs/>
          <w:color w:val="auto"/>
          <w:sz w:val="21"/>
        </w:rPr>
        <w:t>...</w:t>
      </w:r>
    </w:p>
    <w:p>
      <w:pPr>
        <w:pStyle w:val="5"/>
        <w:spacing w:line="360" w:lineRule="auto"/>
        <w:rPr>
          <w:rFonts w:hAnsi="宋体"/>
          <w:bCs/>
          <w:color w:val="auto"/>
          <w:sz w:val="21"/>
        </w:rPr>
      </w:pPr>
      <w:r>
        <w:rPr>
          <w:rFonts w:hint="eastAsia" w:hAnsi="宋体"/>
          <w:bCs/>
          <w:color w:val="auto"/>
          <w:sz w:val="21"/>
        </w:rPr>
        <w:t>四、</w:t>
      </w:r>
      <w:r>
        <w:rPr>
          <w:rFonts w:hAnsi="宋体"/>
          <w:bCs/>
          <w:color w:val="auto"/>
          <w:sz w:val="21"/>
        </w:rPr>
        <w:t>...</w:t>
      </w: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p>
    <w:p>
      <w:pPr>
        <w:adjustRightInd w:val="0"/>
        <w:snapToGrid w:val="0"/>
        <w:spacing w:line="440" w:lineRule="exact"/>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440" w:lineRule="exact"/>
        <w:rPr>
          <w:rFonts w:ascii="宋体" w:hAnsi="宋体"/>
          <w:bCs/>
          <w:color w:val="auto"/>
          <w:u w:val="single"/>
        </w:rPr>
      </w:pPr>
      <w:r>
        <w:rPr>
          <w:rFonts w:hint="eastAsia" w:ascii="宋体" w:hAnsi="宋体"/>
          <w:bCs/>
          <w:color w:val="auto"/>
        </w:rPr>
        <w:t>投标人名称（公章）：</w:t>
      </w:r>
    </w:p>
    <w:p>
      <w:pPr>
        <w:adjustRightInd w:val="0"/>
        <w:snapToGrid w:val="0"/>
        <w:spacing w:line="440" w:lineRule="exact"/>
        <w:rPr>
          <w:rFonts w:ascii="宋体" w:hAnsi="宋体"/>
          <w:bCs/>
          <w:color w:val="auto"/>
        </w:rPr>
      </w:pPr>
      <w:r>
        <w:rPr>
          <w:rFonts w:hint="eastAsia" w:ascii="宋体" w:hAnsi="宋体"/>
          <w:bCs/>
          <w:color w:val="auto"/>
          <w:szCs w:val="21"/>
        </w:rPr>
        <w:t>日期： 年月 日</w:t>
      </w:r>
    </w:p>
    <w:p>
      <w:pPr>
        <w:pStyle w:val="5"/>
        <w:spacing w:line="360" w:lineRule="auto"/>
        <w:rPr>
          <w:color w:val="auto"/>
        </w:rPr>
      </w:pPr>
    </w:p>
    <w:p>
      <w:pPr>
        <w:adjustRightInd w:val="0"/>
        <w:snapToGrid w:val="0"/>
        <w:spacing w:line="440" w:lineRule="exact"/>
        <w:rPr>
          <w:color w:val="auto"/>
        </w:rPr>
      </w:pPr>
      <w:r>
        <w:rPr>
          <w:rFonts w:hint="eastAsia"/>
          <w:color w:val="auto"/>
        </w:rPr>
        <w:t>（投标人认为本节无须提交的，应注明“本节空白”字样）。</w:t>
      </w: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ind w:firstLine="0"/>
        <w:rPr>
          <w:color w:val="auto"/>
        </w:rPr>
      </w:pPr>
    </w:p>
    <w:p>
      <w:pPr>
        <w:pStyle w:val="5"/>
        <w:rPr>
          <w:color w:val="auto"/>
        </w:rPr>
      </w:pPr>
    </w:p>
    <w:p>
      <w:pPr>
        <w:pStyle w:val="5"/>
        <w:rPr>
          <w:color w:val="auto"/>
        </w:rPr>
      </w:pPr>
    </w:p>
    <w:p>
      <w:pPr>
        <w:pStyle w:val="5"/>
        <w:rPr>
          <w:color w:val="auto"/>
        </w:rPr>
      </w:pPr>
    </w:p>
    <w:p>
      <w:pPr>
        <w:pStyle w:val="4"/>
        <w:numPr>
          <w:ilvl w:val="0"/>
          <w:numId w:val="0"/>
        </w:numPr>
        <w:rPr>
          <w:color w:val="auto"/>
          <w:sz w:val="52"/>
        </w:rPr>
      </w:pPr>
      <w:bookmarkStart w:id="2001" w:name="_Toc456887842"/>
      <w:bookmarkStart w:id="2002" w:name="_Toc456888293"/>
      <w:bookmarkStart w:id="2003" w:name="_Toc7821"/>
      <w:r>
        <w:rPr>
          <w:rFonts w:hint="eastAsia"/>
          <w:color w:val="auto"/>
          <w:sz w:val="52"/>
        </w:rPr>
        <w:t>其 他 格 式</w:t>
      </w:r>
      <w:bookmarkEnd w:id="1957"/>
      <w:bookmarkEnd w:id="2001"/>
      <w:bookmarkEnd w:id="2002"/>
      <w:bookmarkEnd w:id="2003"/>
    </w:p>
    <w:p>
      <w:pPr>
        <w:jc w:val="center"/>
        <w:rPr>
          <w:rFonts w:ascii="宋体" w:hAnsi="宋体"/>
          <w:b/>
          <w:color w:val="auto"/>
          <w:sz w:val="28"/>
        </w:rPr>
      </w:pPr>
      <w:r>
        <w:rPr>
          <w:rFonts w:hint="eastAsia" w:ascii="宋体" w:hAnsi="宋体"/>
          <w:b/>
          <w:color w:val="auto"/>
          <w:sz w:val="36"/>
        </w:rPr>
        <w:t>（以下文件勿装订在投标文件内</w:t>
      </w:r>
      <w:r>
        <w:rPr>
          <w:rFonts w:ascii="宋体" w:hAnsi="宋体"/>
          <w:b/>
          <w:color w:val="auto"/>
          <w:sz w:val="36"/>
        </w:rPr>
        <w:t>）</w:t>
      </w: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pStyle w:val="6"/>
        <w:numPr>
          <w:ilvl w:val="0"/>
          <w:numId w:val="0"/>
        </w:numPr>
        <w:spacing w:afterLines="50"/>
        <w:jc w:val="center"/>
        <w:rPr>
          <w:rFonts w:ascii="宋体" w:hAnsi="宋体" w:eastAsia="宋体"/>
          <w:b/>
          <w:color w:val="auto"/>
          <w:sz w:val="28"/>
        </w:rPr>
      </w:pPr>
      <w:bookmarkStart w:id="2004" w:name="_Toc456887843"/>
      <w:bookmarkStart w:id="2005" w:name="_Toc456888294"/>
      <w:bookmarkStart w:id="2006" w:name="_Toc16422"/>
      <w:r>
        <w:rPr>
          <w:rFonts w:hint="eastAsia" w:ascii="宋体" w:hAnsi="宋体" w:eastAsia="宋体"/>
          <w:b/>
          <w:color w:val="auto"/>
          <w:sz w:val="28"/>
        </w:rPr>
        <w:t>投标保证金退付书</w:t>
      </w:r>
      <w:bookmarkEnd w:id="2004"/>
      <w:bookmarkEnd w:id="2005"/>
      <w:bookmarkEnd w:id="2006"/>
    </w:p>
    <w:p>
      <w:pPr>
        <w:pStyle w:val="5"/>
        <w:rPr>
          <w:color w:val="auto"/>
        </w:rPr>
      </w:pPr>
    </w:p>
    <w:p>
      <w:pPr>
        <w:spacing w:line="288" w:lineRule="auto"/>
        <w:rPr>
          <w:rFonts w:ascii="宋体" w:hAnsi="宋体"/>
          <w:b/>
          <w:color w:val="auto"/>
          <w:szCs w:val="21"/>
        </w:rPr>
      </w:pPr>
      <w:r>
        <w:rPr>
          <w:rFonts w:hint="eastAsia" w:ascii="宋体" w:hAnsi="宋体"/>
          <w:b/>
          <w:color w:val="auto"/>
          <w:szCs w:val="21"/>
        </w:rPr>
        <w:t>致：广东业信采购招标有限公司</w:t>
      </w:r>
    </w:p>
    <w:p>
      <w:pPr>
        <w:spacing w:line="288" w:lineRule="auto"/>
        <w:ind w:firstLine="420" w:firstLineChars="200"/>
        <w:rPr>
          <w:rFonts w:ascii="宋体" w:hAnsi="宋体"/>
          <w:color w:val="auto"/>
          <w:szCs w:val="21"/>
        </w:rPr>
      </w:pPr>
      <w:r>
        <w:rPr>
          <w:rFonts w:hint="eastAsia" w:ascii="宋体" w:hAnsi="宋体"/>
          <w:color w:val="auto"/>
          <w:szCs w:val="21"/>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项目名称</w:t>
            </w:r>
          </w:p>
        </w:tc>
        <w:tc>
          <w:tcPr>
            <w:tcW w:w="6095" w:type="dxa"/>
            <w:gridSpan w:val="3"/>
          </w:tcPr>
          <w:p>
            <w:pPr>
              <w:ind w:right="206" w:rightChars="98"/>
              <w:rPr>
                <w:rStyle w:val="303"/>
                <w:rFonts w:ascii="宋体" w:hAnsi="宋体"/>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项目编号</w:t>
            </w:r>
          </w:p>
        </w:tc>
        <w:tc>
          <w:tcPr>
            <w:tcW w:w="6095" w:type="dxa"/>
            <w:gridSpan w:val="3"/>
          </w:tcPr>
          <w:p>
            <w:pPr>
              <w:ind w:right="206" w:rightChars="98"/>
              <w:rPr>
                <w:rStyle w:val="303"/>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收款单位</w:t>
            </w:r>
          </w:p>
        </w:tc>
        <w:tc>
          <w:tcPr>
            <w:tcW w:w="2836" w:type="dxa"/>
          </w:tcPr>
          <w:p>
            <w:pPr>
              <w:ind w:right="206" w:rightChars="98"/>
              <w:jc w:val="center"/>
              <w:rPr>
                <w:rStyle w:val="303"/>
                <w:b/>
                <w:color w:val="auto"/>
                <w:spacing w:val="10"/>
                <w:sz w:val="21"/>
                <w:szCs w:val="21"/>
                <w:lang w:val="zh-CN"/>
              </w:rPr>
            </w:pPr>
            <w:r>
              <w:rPr>
                <w:rStyle w:val="303"/>
                <w:b/>
                <w:color w:val="auto"/>
                <w:spacing w:val="10"/>
                <w:sz w:val="21"/>
                <w:szCs w:val="21"/>
                <w:lang w:val="zh-CN"/>
              </w:rPr>
              <w:t>收款单位名称</w:t>
            </w:r>
          </w:p>
        </w:tc>
        <w:tc>
          <w:tcPr>
            <w:tcW w:w="6095" w:type="dxa"/>
            <w:gridSpan w:val="3"/>
          </w:tcPr>
          <w:p>
            <w:pPr>
              <w:ind w:right="206" w:rightChars="98"/>
              <w:jc w:val="center"/>
              <w:rPr>
                <w:rStyle w:val="303"/>
                <w:color w:val="auto"/>
                <w:spacing w:val="10"/>
                <w:sz w:val="21"/>
                <w:szCs w:val="21"/>
                <w:u w:val="single"/>
                <w:lang w:val="zh-CN"/>
              </w:rPr>
            </w:pPr>
            <w:r>
              <w:rPr>
                <w:rStyle w:val="303"/>
                <w:color w:val="auto"/>
                <w:spacing w:val="10"/>
                <w:sz w:val="21"/>
                <w:szCs w:val="21"/>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tcPr>
          <w:p>
            <w:pPr>
              <w:ind w:right="206" w:rightChars="98"/>
              <w:jc w:val="center"/>
              <w:rPr>
                <w:rStyle w:val="303"/>
                <w:b/>
                <w:color w:val="auto"/>
                <w:spacing w:val="10"/>
                <w:sz w:val="21"/>
                <w:szCs w:val="21"/>
                <w:lang w:val="zh-CN"/>
              </w:rPr>
            </w:pPr>
            <w:r>
              <w:rPr>
                <w:rStyle w:val="303"/>
                <w:b/>
                <w:color w:val="auto"/>
                <w:spacing w:val="10"/>
                <w:sz w:val="21"/>
                <w:szCs w:val="21"/>
                <w:lang w:val="zh-CN"/>
              </w:rPr>
              <w:t>收款单位地址</w:t>
            </w:r>
          </w:p>
        </w:tc>
        <w:tc>
          <w:tcPr>
            <w:tcW w:w="6095" w:type="dxa"/>
            <w:gridSpan w:val="3"/>
          </w:tcPr>
          <w:p>
            <w:pPr>
              <w:ind w:right="206" w:rightChars="98"/>
              <w:jc w:val="center"/>
              <w:rPr>
                <w:rStyle w:val="303"/>
                <w:color w:val="auto"/>
                <w:spacing w:val="10"/>
                <w:sz w:val="21"/>
                <w:szCs w:val="21"/>
                <w:lang w:val="zh-CN"/>
              </w:rPr>
            </w:pPr>
            <w:r>
              <w:rPr>
                <w:rStyle w:val="303"/>
                <w:color w:val="auto"/>
                <w:spacing w:val="10"/>
                <w:sz w:val="21"/>
                <w:szCs w:val="21"/>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开户银行</w:t>
            </w:r>
            <w:r>
              <w:rPr>
                <w:rStyle w:val="303"/>
                <w:color w:val="auto"/>
                <w:spacing w:val="10"/>
                <w:sz w:val="21"/>
                <w:szCs w:val="21"/>
                <w:lang w:val="zh-CN"/>
              </w:rPr>
              <w:t>（含汇入地点）</w:t>
            </w:r>
          </w:p>
        </w:tc>
        <w:tc>
          <w:tcPr>
            <w:tcW w:w="6095" w:type="dxa"/>
            <w:gridSpan w:val="3"/>
            <w:vAlign w:val="center"/>
          </w:tcPr>
          <w:p>
            <w:pPr>
              <w:ind w:right="206" w:rightChars="98" w:firstLine="460" w:firstLineChars="200"/>
              <w:rPr>
                <w:rStyle w:val="303"/>
                <w:color w:val="auto"/>
                <w:spacing w:val="10"/>
                <w:sz w:val="21"/>
                <w:szCs w:val="21"/>
                <w:lang w:val="zh-CN"/>
              </w:rPr>
            </w:pPr>
            <w:r>
              <w:rPr>
                <w:rStyle w:val="303"/>
                <w:color w:val="auto"/>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银行账号</w:t>
            </w:r>
          </w:p>
        </w:tc>
        <w:tc>
          <w:tcPr>
            <w:tcW w:w="6095" w:type="dxa"/>
            <w:gridSpan w:val="3"/>
          </w:tcPr>
          <w:p>
            <w:pPr>
              <w:ind w:right="206" w:rightChars="98"/>
              <w:jc w:val="center"/>
              <w:rPr>
                <w:rStyle w:val="303"/>
                <w:color w:val="auto"/>
                <w:spacing w:val="10"/>
                <w:sz w:val="21"/>
                <w:szCs w:val="21"/>
                <w:u w:val="single"/>
                <w:lang w:val="zh-CN"/>
              </w:rPr>
            </w:pPr>
            <w:r>
              <w:rPr>
                <w:rStyle w:val="303"/>
                <w:color w:val="auto"/>
                <w:spacing w:val="10"/>
                <w:sz w:val="21"/>
                <w:szCs w:val="21"/>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总金额（投标保证金）</w:t>
            </w:r>
          </w:p>
        </w:tc>
        <w:tc>
          <w:tcPr>
            <w:tcW w:w="6095" w:type="dxa"/>
            <w:gridSpan w:val="3"/>
            <w:vAlign w:val="center"/>
          </w:tcPr>
          <w:p>
            <w:pPr>
              <w:ind w:right="206" w:rightChars="98"/>
              <w:jc w:val="center"/>
              <w:rPr>
                <w:rStyle w:val="303"/>
                <w:color w:val="auto"/>
                <w:spacing w:val="10"/>
                <w:sz w:val="21"/>
                <w:szCs w:val="21"/>
                <w:lang w:val="zh-CN"/>
              </w:rPr>
            </w:pPr>
            <w:r>
              <w:rPr>
                <w:color w:val="auto"/>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vMerge w:val="restart"/>
            <w:vAlign w:val="center"/>
          </w:tcPr>
          <w:p>
            <w:pPr>
              <w:ind w:right="206" w:rightChars="98"/>
              <w:jc w:val="center"/>
              <w:rPr>
                <w:rStyle w:val="303"/>
                <w:b/>
                <w:color w:val="auto"/>
                <w:spacing w:val="10"/>
                <w:sz w:val="21"/>
                <w:szCs w:val="21"/>
                <w:lang w:val="zh-CN"/>
              </w:rPr>
            </w:pPr>
            <w:r>
              <w:rPr>
                <w:rStyle w:val="303"/>
                <w:b/>
                <w:color w:val="auto"/>
                <w:spacing w:val="10"/>
                <w:sz w:val="21"/>
                <w:szCs w:val="21"/>
                <w:lang w:val="zh-CN"/>
              </w:rPr>
              <w:t>财务联系人</w:t>
            </w:r>
          </w:p>
        </w:tc>
        <w:tc>
          <w:tcPr>
            <w:tcW w:w="1498" w:type="dxa"/>
            <w:vMerge w:val="restart"/>
            <w:vAlign w:val="center"/>
          </w:tcPr>
          <w:p>
            <w:pPr>
              <w:ind w:right="206" w:rightChars="98"/>
              <w:rPr>
                <w:rStyle w:val="303"/>
                <w:color w:val="auto"/>
                <w:spacing w:val="10"/>
                <w:sz w:val="21"/>
                <w:szCs w:val="21"/>
                <w:lang w:val="zh-CN"/>
              </w:rPr>
            </w:pPr>
          </w:p>
        </w:tc>
        <w:tc>
          <w:tcPr>
            <w:tcW w:w="1481" w:type="dxa"/>
            <w:vAlign w:val="center"/>
          </w:tcPr>
          <w:p>
            <w:pPr>
              <w:ind w:right="206" w:rightChars="98"/>
              <w:jc w:val="center"/>
              <w:rPr>
                <w:rStyle w:val="303"/>
                <w:color w:val="auto"/>
                <w:spacing w:val="10"/>
                <w:sz w:val="21"/>
                <w:szCs w:val="21"/>
                <w:lang w:val="zh-CN"/>
              </w:rPr>
            </w:pPr>
            <w:r>
              <w:rPr>
                <w:rStyle w:val="303"/>
                <w:color w:val="auto"/>
                <w:spacing w:val="10"/>
                <w:sz w:val="21"/>
                <w:szCs w:val="21"/>
                <w:lang w:val="zh-CN"/>
              </w:rPr>
              <w:t>联系电话</w:t>
            </w:r>
          </w:p>
        </w:tc>
        <w:tc>
          <w:tcPr>
            <w:tcW w:w="3116" w:type="dxa"/>
            <w:vAlign w:val="center"/>
          </w:tcPr>
          <w:p>
            <w:pPr>
              <w:ind w:right="206" w:rightChars="98"/>
              <w:rPr>
                <w:rStyle w:val="303"/>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lang w:val="zh-CN"/>
              </w:rPr>
            </w:pPr>
          </w:p>
        </w:tc>
        <w:tc>
          <w:tcPr>
            <w:tcW w:w="2836" w:type="dxa"/>
            <w:vMerge w:val="continue"/>
          </w:tcPr>
          <w:p>
            <w:pPr>
              <w:ind w:right="206" w:rightChars="98"/>
              <w:jc w:val="center"/>
              <w:rPr>
                <w:rStyle w:val="303"/>
                <w:b/>
                <w:color w:val="auto"/>
                <w:spacing w:val="10"/>
                <w:sz w:val="21"/>
                <w:szCs w:val="21"/>
                <w:lang w:val="zh-CN"/>
              </w:rPr>
            </w:pPr>
          </w:p>
        </w:tc>
        <w:tc>
          <w:tcPr>
            <w:tcW w:w="1498" w:type="dxa"/>
            <w:vMerge w:val="continue"/>
            <w:vAlign w:val="center"/>
          </w:tcPr>
          <w:p>
            <w:pPr>
              <w:ind w:right="206" w:rightChars="98"/>
              <w:rPr>
                <w:rStyle w:val="303"/>
                <w:color w:val="auto"/>
                <w:spacing w:val="10"/>
                <w:sz w:val="21"/>
                <w:szCs w:val="21"/>
                <w:lang w:val="zh-CN"/>
              </w:rPr>
            </w:pPr>
          </w:p>
        </w:tc>
        <w:tc>
          <w:tcPr>
            <w:tcW w:w="1481" w:type="dxa"/>
            <w:vAlign w:val="center"/>
          </w:tcPr>
          <w:p>
            <w:pPr>
              <w:ind w:right="206" w:rightChars="98"/>
              <w:jc w:val="center"/>
              <w:rPr>
                <w:rStyle w:val="303"/>
                <w:color w:val="auto"/>
                <w:spacing w:val="10"/>
                <w:sz w:val="21"/>
                <w:szCs w:val="21"/>
                <w:lang w:val="zh-CN"/>
              </w:rPr>
            </w:pPr>
            <w:r>
              <w:rPr>
                <w:rStyle w:val="303"/>
                <w:color w:val="auto"/>
                <w:spacing w:val="10"/>
                <w:sz w:val="21"/>
                <w:szCs w:val="21"/>
                <w:lang w:val="zh-CN"/>
              </w:rPr>
              <w:t>传真</w:t>
            </w:r>
          </w:p>
        </w:tc>
        <w:tc>
          <w:tcPr>
            <w:tcW w:w="3116" w:type="dxa"/>
            <w:vAlign w:val="center"/>
          </w:tcPr>
          <w:p>
            <w:pPr>
              <w:ind w:right="206" w:rightChars="98"/>
              <w:rPr>
                <w:rStyle w:val="303"/>
                <w:color w:val="auto"/>
                <w:spacing w:val="10"/>
                <w:sz w:val="21"/>
                <w:szCs w:val="21"/>
                <w:lang w:val="zh-CN"/>
              </w:rPr>
            </w:pPr>
          </w:p>
        </w:tc>
      </w:tr>
    </w:tbl>
    <w:p>
      <w:pPr>
        <w:rPr>
          <w:rFonts w:ascii="宋体" w:hAnsi="宋体"/>
          <w:color w:val="auto"/>
          <w:szCs w:val="21"/>
        </w:rPr>
      </w:pPr>
      <w:r>
        <w:rPr>
          <w:rFonts w:hint="eastAsia" w:ascii="宋体" w:hAnsi="宋体"/>
          <w:color w:val="auto"/>
          <w:szCs w:val="21"/>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rPr>
            </w:pPr>
            <w:r>
              <w:rPr>
                <w:rFonts w:hint="eastAsia" w:ascii="宋体" w:hAnsi="宋体"/>
                <w:b/>
                <w:color w:val="auto"/>
                <w:szCs w:val="21"/>
              </w:rPr>
              <w:t>投标保证金银行汇款单复印件</w:t>
            </w:r>
          </w:p>
          <w:p>
            <w:pPr>
              <w:jc w:val="center"/>
              <w:rPr>
                <w:rFonts w:ascii="宋体" w:hAnsi="宋体"/>
                <w:b/>
                <w:color w:val="auto"/>
                <w:szCs w:val="21"/>
              </w:rPr>
            </w:pPr>
            <w:r>
              <w:rPr>
                <w:rFonts w:hint="eastAsia" w:ascii="宋体" w:hAnsi="宋体"/>
                <w:b/>
                <w:color w:val="auto"/>
                <w:szCs w:val="21"/>
              </w:rPr>
              <w:t>（请投标投标人在此处贴上）</w:t>
            </w:r>
          </w:p>
        </w:tc>
      </w:tr>
    </w:tbl>
    <w:p>
      <w:pPr>
        <w:rPr>
          <w:rFonts w:ascii="宋体" w:hAnsi="宋体"/>
          <w:color w:val="auto"/>
          <w:szCs w:val="21"/>
        </w:rPr>
      </w:pPr>
    </w:p>
    <w:p>
      <w:pPr>
        <w:adjustRightInd w:val="0"/>
        <w:snapToGrid w:val="0"/>
        <w:spacing w:line="440" w:lineRule="exact"/>
        <w:rPr>
          <w:rFonts w:ascii="宋体" w:hAnsi="宋体"/>
          <w:bCs/>
          <w:color w:val="auto"/>
        </w:rPr>
      </w:pPr>
      <w:r>
        <w:rPr>
          <w:rFonts w:hint="eastAsia" w:ascii="宋体" w:hAnsi="宋体"/>
          <w:bCs/>
          <w:color w:val="auto"/>
        </w:rPr>
        <w:t>投标人法定代表人（负责人）或授权代理人（签字）：</w:t>
      </w:r>
    </w:p>
    <w:p>
      <w:pPr>
        <w:adjustRightInd w:val="0"/>
        <w:snapToGrid w:val="0"/>
        <w:spacing w:line="440" w:lineRule="exact"/>
        <w:rPr>
          <w:rFonts w:ascii="宋体" w:hAnsi="宋体"/>
          <w:bCs/>
          <w:color w:val="auto"/>
          <w:u w:val="single"/>
        </w:rPr>
      </w:pPr>
      <w:r>
        <w:rPr>
          <w:rFonts w:hint="eastAsia" w:ascii="宋体" w:hAnsi="宋体"/>
          <w:bCs/>
          <w:color w:val="auto"/>
        </w:rPr>
        <w:t>投标人名称（公章）：</w:t>
      </w:r>
    </w:p>
    <w:p>
      <w:pPr>
        <w:rPr>
          <w:rFonts w:ascii="宋体" w:hAnsi="宋体"/>
          <w:bCs/>
          <w:color w:val="auto"/>
          <w:szCs w:val="21"/>
        </w:rPr>
      </w:pPr>
      <w:r>
        <w:rPr>
          <w:rFonts w:hint="eastAsia" w:ascii="宋体" w:hAnsi="宋体"/>
          <w:bCs/>
          <w:color w:val="auto"/>
          <w:szCs w:val="21"/>
        </w:rPr>
        <w:t>日期： 年月 日</w:t>
      </w:r>
    </w:p>
    <w:p>
      <w:pPr>
        <w:rPr>
          <w:rFonts w:ascii="宋体" w:hAnsi="宋体"/>
          <w:b/>
          <w:color w:val="auto"/>
          <w:szCs w:val="21"/>
        </w:rPr>
      </w:pPr>
      <w:r>
        <w:rPr>
          <w:rFonts w:hint="eastAsia" w:ascii="宋体" w:hAnsi="宋体"/>
          <w:b/>
          <w:color w:val="auto"/>
          <w:szCs w:val="21"/>
        </w:rPr>
        <w:t>注：本退付书须放入唱标信封内，勿装订在投标文件内。</w:t>
      </w:r>
    </w:p>
    <w:p>
      <w:pPr>
        <w:rPr>
          <w:rFonts w:ascii="宋体" w:hAnsi="宋体"/>
          <w:b/>
          <w:color w:val="auto"/>
          <w:szCs w:val="21"/>
        </w:rPr>
      </w:pPr>
    </w:p>
    <w:p>
      <w:pPr>
        <w:jc w:val="center"/>
        <w:rPr>
          <w:b/>
          <w:bCs/>
          <w:color w:val="auto"/>
          <w:sz w:val="44"/>
          <w:szCs w:val="44"/>
        </w:rPr>
      </w:pPr>
    </w:p>
    <w:p>
      <w:pPr>
        <w:jc w:val="center"/>
        <w:rPr>
          <w:b/>
          <w:bCs/>
          <w:color w:val="auto"/>
          <w:szCs w:val="21"/>
        </w:rPr>
      </w:pPr>
      <w:r>
        <w:rPr>
          <w:rFonts w:hint="eastAsia"/>
          <w:b/>
          <w:bCs/>
          <w:color w:val="auto"/>
          <w:sz w:val="44"/>
          <w:szCs w:val="44"/>
        </w:rPr>
        <w:t>购买标书登记表</w:t>
      </w:r>
    </w:p>
    <w:p>
      <w:pPr>
        <w:jc w:val="center"/>
        <w:rPr>
          <w:color w:val="auto"/>
          <w:szCs w:val="21"/>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项目名称</w:t>
            </w:r>
          </w:p>
        </w:tc>
        <w:tc>
          <w:tcPr>
            <w:tcW w:w="6775" w:type="dxa"/>
            <w:gridSpan w:val="3"/>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招标编号</w:t>
            </w:r>
          </w:p>
        </w:tc>
        <w:tc>
          <w:tcPr>
            <w:tcW w:w="1940" w:type="dxa"/>
            <w:noWrap/>
          </w:tcPr>
          <w:p>
            <w:pPr>
              <w:rPr>
                <w:color w:val="auto"/>
                <w:sz w:val="28"/>
                <w:szCs w:val="28"/>
              </w:rPr>
            </w:pPr>
          </w:p>
        </w:tc>
        <w:tc>
          <w:tcPr>
            <w:tcW w:w="1940" w:type="dxa"/>
            <w:noWrap/>
            <w:vAlign w:val="center"/>
          </w:tcPr>
          <w:p>
            <w:pPr>
              <w:jc w:val="center"/>
              <w:rPr>
                <w:color w:val="auto"/>
                <w:sz w:val="28"/>
                <w:szCs w:val="28"/>
              </w:rPr>
            </w:pPr>
            <w:r>
              <w:rPr>
                <w:rFonts w:hint="eastAsia"/>
                <w:color w:val="auto"/>
                <w:sz w:val="28"/>
                <w:szCs w:val="28"/>
              </w:rPr>
              <w:t>购买时间</w:t>
            </w:r>
          </w:p>
        </w:tc>
        <w:tc>
          <w:tcPr>
            <w:tcW w:w="2895" w:type="dxa"/>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投标商名称</w:t>
            </w:r>
          </w:p>
        </w:tc>
        <w:tc>
          <w:tcPr>
            <w:tcW w:w="6775" w:type="dxa"/>
            <w:gridSpan w:val="3"/>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地址</w:t>
            </w:r>
          </w:p>
        </w:tc>
        <w:tc>
          <w:tcPr>
            <w:tcW w:w="6775" w:type="dxa"/>
            <w:gridSpan w:val="3"/>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电话</w:t>
            </w:r>
          </w:p>
        </w:tc>
        <w:tc>
          <w:tcPr>
            <w:tcW w:w="1940" w:type="dxa"/>
            <w:noWrap/>
          </w:tcPr>
          <w:p>
            <w:pPr>
              <w:rPr>
                <w:color w:val="auto"/>
                <w:sz w:val="28"/>
                <w:szCs w:val="28"/>
              </w:rPr>
            </w:pPr>
          </w:p>
        </w:tc>
        <w:tc>
          <w:tcPr>
            <w:tcW w:w="1940" w:type="dxa"/>
            <w:noWrap/>
            <w:vAlign w:val="center"/>
          </w:tcPr>
          <w:p>
            <w:pPr>
              <w:jc w:val="center"/>
              <w:rPr>
                <w:color w:val="auto"/>
                <w:sz w:val="28"/>
                <w:szCs w:val="28"/>
              </w:rPr>
            </w:pPr>
            <w:r>
              <w:rPr>
                <w:rFonts w:hint="eastAsia"/>
                <w:color w:val="auto"/>
                <w:sz w:val="28"/>
                <w:szCs w:val="28"/>
              </w:rPr>
              <w:t>传真</w:t>
            </w:r>
          </w:p>
        </w:tc>
        <w:tc>
          <w:tcPr>
            <w:tcW w:w="2895" w:type="dxa"/>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联系人</w:t>
            </w:r>
          </w:p>
        </w:tc>
        <w:tc>
          <w:tcPr>
            <w:tcW w:w="1940" w:type="dxa"/>
            <w:noWrap/>
          </w:tcPr>
          <w:p>
            <w:pPr>
              <w:rPr>
                <w:color w:val="auto"/>
                <w:sz w:val="28"/>
                <w:szCs w:val="28"/>
              </w:rPr>
            </w:pPr>
          </w:p>
        </w:tc>
        <w:tc>
          <w:tcPr>
            <w:tcW w:w="1940" w:type="dxa"/>
            <w:noWrap/>
            <w:vAlign w:val="center"/>
          </w:tcPr>
          <w:p>
            <w:pPr>
              <w:jc w:val="center"/>
              <w:rPr>
                <w:color w:val="auto"/>
                <w:sz w:val="28"/>
                <w:szCs w:val="28"/>
              </w:rPr>
            </w:pPr>
            <w:r>
              <w:rPr>
                <w:rFonts w:hint="eastAsia"/>
                <w:color w:val="auto"/>
                <w:sz w:val="28"/>
                <w:szCs w:val="28"/>
              </w:rPr>
              <w:t>手机</w:t>
            </w:r>
          </w:p>
        </w:tc>
        <w:tc>
          <w:tcPr>
            <w:tcW w:w="2895" w:type="dxa"/>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职务</w:t>
            </w:r>
          </w:p>
        </w:tc>
        <w:tc>
          <w:tcPr>
            <w:tcW w:w="1940" w:type="dxa"/>
            <w:noWrap/>
          </w:tcPr>
          <w:p>
            <w:pPr>
              <w:rPr>
                <w:color w:val="auto"/>
                <w:sz w:val="28"/>
                <w:szCs w:val="28"/>
              </w:rPr>
            </w:pPr>
          </w:p>
        </w:tc>
        <w:tc>
          <w:tcPr>
            <w:tcW w:w="1940" w:type="dxa"/>
            <w:noWrap/>
            <w:vAlign w:val="center"/>
          </w:tcPr>
          <w:p>
            <w:pPr>
              <w:jc w:val="center"/>
              <w:rPr>
                <w:color w:val="auto"/>
                <w:sz w:val="28"/>
                <w:szCs w:val="28"/>
              </w:rPr>
            </w:pPr>
            <w:r>
              <w:rPr>
                <w:rFonts w:hint="eastAsia"/>
                <w:color w:val="auto"/>
                <w:sz w:val="28"/>
                <w:szCs w:val="28"/>
              </w:rPr>
              <w:t>电子邮件</w:t>
            </w:r>
          </w:p>
        </w:tc>
        <w:tc>
          <w:tcPr>
            <w:tcW w:w="2895" w:type="dxa"/>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拟投设备</w:t>
            </w:r>
          </w:p>
        </w:tc>
        <w:tc>
          <w:tcPr>
            <w:tcW w:w="6775" w:type="dxa"/>
            <w:gridSpan w:val="3"/>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制造厂商</w:t>
            </w:r>
          </w:p>
        </w:tc>
        <w:tc>
          <w:tcPr>
            <w:tcW w:w="6775" w:type="dxa"/>
            <w:gridSpan w:val="3"/>
            <w:noWrap/>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ign w:val="center"/>
          </w:tcPr>
          <w:p>
            <w:pPr>
              <w:jc w:val="center"/>
              <w:rPr>
                <w:color w:val="auto"/>
                <w:sz w:val="28"/>
                <w:szCs w:val="28"/>
              </w:rPr>
            </w:pPr>
            <w:r>
              <w:rPr>
                <w:rFonts w:hint="eastAsia"/>
                <w:color w:val="auto"/>
                <w:sz w:val="28"/>
                <w:szCs w:val="28"/>
              </w:rPr>
              <w:t>经营范围</w:t>
            </w:r>
          </w:p>
        </w:tc>
        <w:tc>
          <w:tcPr>
            <w:tcW w:w="6775" w:type="dxa"/>
            <w:gridSpan w:val="3"/>
            <w:noWrap/>
          </w:tcPr>
          <w:p>
            <w:pPr>
              <w:rPr>
                <w:color w:val="auto"/>
                <w:sz w:val="28"/>
                <w:szCs w:val="28"/>
              </w:rPr>
            </w:pPr>
          </w:p>
        </w:tc>
      </w:tr>
    </w:tbl>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p>
    <w:p>
      <w:pPr>
        <w:spacing w:line="360" w:lineRule="auto"/>
        <w:jc w:val="center"/>
        <w:rPr>
          <w:rFonts w:ascii="宋体" w:hAnsi="宋体"/>
          <w:b/>
          <w:color w:val="auto"/>
          <w:sz w:val="24"/>
        </w:rPr>
      </w:pPr>
      <w:r>
        <w:rPr>
          <w:rFonts w:hint="eastAsia" w:ascii="宋体" w:hAnsi="宋体"/>
          <w:b/>
          <w:color w:val="auto"/>
          <w:sz w:val="24"/>
        </w:rPr>
        <w:t>询问函、质疑函格式</w:t>
      </w:r>
    </w:p>
    <w:p>
      <w:pPr>
        <w:pStyle w:val="41"/>
        <w:snapToGrid w:val="0"/>
        <w:spacing w:before="0" w:beforeAutospacing="0" w:after="0" w:afterAutospacing="0" w:line="360" w:lineRule="auto"/>
        <w:jc w:val="both"/>
        <w:rPr>
          <w:color w:val="auto"/>
          <w:szCs w:val="21"/>
        </w:rPr>
      </w:pPr>
    </w:p>
    <w:p>
      <w:pPr>
        <w:snapToGrid w:val="0"/>
        <w:spacing w:line="360" w:lineRule="auto"/>
        <w:ind w:firstLine="424" w:firstLineChars="201"/>
        <w:rPr>
          <w:rFonts w:ascii="宋体" w:hAnsi="宋体"/>
          <w:b/>
          <w:color w:val="auto"/>
          <w:szCs w:val="21"/>
        </w:rPr>
      </w:pPr>
      <w:r>
        <w:rPr>
          <w:rFonts w:hint="eastAsia" w:ascii="宋体" w:hAnsi="宋体"/>
          <w:b/>
          <w:color w:val="auto"/>
          <w:szCs w:val="21"/>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auto"/>
          <w:szCs w:val="21"/>
        </w:rPr>
      </w:pPr>
    </w:p>
    <w:p>
      <w:pPr>
        <w:pStyle w:val="41"/>
        <w:snapToGrid w:val="0"/>
        <w:spacing w:before="0" w:beforeAutospacing="0" w:after="0" w:afterAutospacing="0" w:line="360" w:lineRule="auto"/>
        <w:jc w:val="both"/>
        <w:rPr>
          <w:color w:val="auto"/>
        </w:rPr>
      </w:pPr>
      <w:r>
        <w:rPr>
          <w:rFonts w:hint="eastAsia"/>
          <w:color w:val="auto"/>
        </w:rPr>
        <w:t>1：询问函格式</w:t>
      </w:r>
    </w:p>
    <w:p>
      <w:pPr>
        <w:pStyle w:val="41"/>
        <w:spacing w:before="0" w:beforeAutospacing="0" w:after="0" w:afterAutospacing="0" w:line="360" w:lineRule="auto"/>
        <w:jc w:val="center"/>
        <w:rPr>
          <w:rStyle w:val="49"/>
          <w:rFonts w:cs="Times New Roman"/>
          <w:color w:val="auto"/>
        </w:rPr>
      </w:pPr>
      <w:r>
        <w:rPr>
          <w:rStyle w:val="49"/>
          <w:rFonts w:hint="eastAsia" w:cs="Times New Roman"/>
          <w:b w:val="0"/>
          <w:color w:val="auto"/>
        </w:rPr>
        <w:t>询问函</w:t>
      </w:r>
    </w:p>
    <w:p>
      <w:pPr>
        <w:widowControl/>
        <w:tabs>
          <w:tab w:val="left" w:pos="6300"/>
        </w:tabs>
        <w:snapToGrid w:val="0"/>
        <w:spacing w:line="360" w:lineRule="auto"/>
        <w:jc w:val="left"/>
        <w:rPr>
          <w:rFonts w:ascii="宋体" w:hAnsi="宋体"/>
          <w:color w:val="auto"/>
        </w:rPr>
      </w:pPr>
      <w:r>
        <w:rPr>
          <w:rFonts w:hint="eastAsia" w:ascii="宋体" w:hAnsi="宋体"/>
          <w:color w:val="auto"/>
          <w:sz w:val="24"/>
        </w:rPr>
        <w:t>广东业信采购招标有限公司：</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我单位已报名并准备参与</w:t>
      </w:r>
      <w:r>
        <w:rPr>
          <w:rFonts w:hint="eastAsia" w:ascii="宋体" w:hAnsi="宋体"/>
          <w:color w:val="auto"/>
          <w:sz w:val="24"/>
          <w:u w:val="single"/>
        </w:rPr>
        <w:t>（项目名称）</w:t>
      </w:r>
      <w:r>
        <w:rPr>
          <w:rFonts w:hint="eastAsia" w:ascii="宋体" w:hAnsi="宋体"/>
          <w:color w:val="auto"/>
          <w:sz w:val="24"/>
        </w:rPr>
        <w:t>项目（采购文件编号：）的投标（或报价）活动，现有以下几个内容（或条款）存在疑问（或无法理解），特提出询问。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一、_____________________（事项一）</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（3）____________________（建议）</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二、_____________________（事项二）</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w:t>
      </w:r>
    </w:p>
    <w:p>
      <w:pPr>
        <w:widowControl/>
        <w:tabs>
          <w:tab w:val="left" w:pos="6300"/>
        </w:tabs>
        <w:snapToGrid w:val="0"/>
        <w:spacing w:line="360" w:lineRule="auto"/>
        <w:ind w:firstLine="480" w:firstLineChars="200"/>
        <w:jc w:val="left"/>
        <w:rPr>
          <w:rFonts w:ascii="宋体" w:hAnsi="宋体"/>
          <w:color w:val="auto"/>
          <w:sz w:val="24"/>
        </w:rPr>
      </w:pPr>
      <w:r>
        <w:rPr>
          <w:rFonts w:hint="eastAsia" w:ascii="宋体" w:hAnsi="宋体"/>
          <w:color w:val="auto"/>
          <w:sz w:val="24"/>
        </w:rPr>
        <w:t>随附相关证明材料如下：（目录）。</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询问人：（公章）</w:t>
      </w:r>
    </w:p>
    <w:p>
      <w:pPr>
        <w:widowControl/>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法定代表人（负责人）（授权代表）：</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地址/邮编：</w:t>
      </w:r>
    </w:p>
    <w:p>
      <w:pPr>
        <w:tabs>
          <w:tab w:val="left" w:pos="6300"/>
        </w:tabs>
        <w:snapToGrid w:val="0"/>
        <w:spacing w:line="360" w:lineRule="auto"/>
        <w:ind w:firstLine="1440" w:firstLineChars="600"/>
        <w:jc w:val="left"/>
        <w:rPr>
          <w:rFonts w:ascii="宋体" w:hAnsi="宋体"/>
          <w:color w:val="auto"/>
          <w:sz w:val="24"/>
        </w:rPr>
      </w:pPr>
      <w:r>
        <w:rPr>
          <w:rFonts w:hint="eastAsia" w:ascii="宋体" w:hAnsi="宋体"/>
          <w:color w:val="auto"/>
          <w:sz w:val="24"/>
        </w:rPr>
        <w:t>电话/传真：</w:t>
      </w:r>
    </w:p>
    <w:p>
      <w:pPr>
        <w:spacing w:line="360" w:lineRule="auto"/>
        <w:jc w:val="right"/>
        <w:rPr>
          <w:rFonts w:ascii="宋体" w:hAnsi="宋体"/>
          <w:color w:val="auto"/>
          <w:sz w:val="24"/>
        </w:rPr>
      </w:pPr>
      <w:r>
        <w:rPr>
          <w:rFonts w:hint="eastAsia" w:ascii="宋体" w:hAnsi="宋体"/>
          <w:color w:val="auto"/>
          <w:sz w:val="24"/>
        </w:rPr>
        <w:t>年月日</w:t>
      </w:r>
    </w:p>
    <w:p>
      <w:pPr>
        <w:snapToGrid w:val="0"/>
        <w:spacing w:line="360" w:lineRule="auto"/>
        <w:ind w:firstLine="432" w:firstLineChars="180"/>
        <w:rPr>
          <w:rFonts w:ascii="宋体" w:hAnsi="宋体"/>
          <w:color w:val="auto"/>
          <w:sz w:val="24"/>
        </w:rPr>
      </w:pPr>
    </w:p>
    <w:p>
      <w:pPr>
        <w:pStyle w:val="41"/>
        <w:adjustRightInd w:val="0"/>
        <w:snapToGrid w:val="0"/>
        <w:spacing w:before="0" w:beforeAutospacing="0" w:after="0" w:afterAutospacing="0" w:line="360" w:lineRule="auto"/>
        <w:jc w:val="both"/>
        <w:rPr>
          <w:color w:val="auto"/>
        </w:rPr>
      </w:pPr>
      <w:r>
        <w:rPr>
          <w:rFonts w:hint="eastAsia"/>
          <w:color w:val="auto"/>
        </w:rPr>
        <w:br w:type="page"/>
      </w:r>
      <w:r>
        <w:rPr>
          <w:rFonts w:hint="eastAsia"/>
          <w:color w:val="auto"/>
        </w:rPr>
        <w:t>2：质疑函格式</w:t>
      </w:r>
    </w:p>
    <w:p>
      <w:pPr>
        <w:pStyle w:val="41"/>
        <w:spacing w:before="0" w:beforeAutospacing="0" w:after="0" w:afterAutospacing="0" w:line="360" w:lineRule="auto"/>
        <w:jc w:val="center"/>
        <w:rPr>
          <w:rStyle w:val="49"/>
          <w:rFonts w:cs="Times New Roman"/>
          <w:color w:val="auto"/>
        </w:rPr>
      </w:pPr>
      <w:r>
        <w:rPr>
          <w:rStyle w:val="49"/>
          <w:rFonts w:hint="eastAsia" w:cs="Times New Roman"/>
          <w:b w:val="0"/>
          <w:color w:val="auto"/>
        </w:rPr>
        <w:t>质疑函</w:t>
      </w:r>
    </w:p>
    <w:p>
      <w:pPr>
        <w:adjustRightInd w:val="0"/>
        <w:snapToGrid w:val="0"/>
        <w:spacing w:beforeLines="100" w:line="360" w:lineRule="auto"/>
        <w:rPr>
          <w:rFonts w:ascii="宋体" w:hAnsi="宋体" w:cs="仿宋"/>
          <w:bCs/>
          <w:color w:val="auto"/>
          <w:sz w:val="24"/>
        </w:rPr>
      </w:pPr>
      <w:r>
        <w:rPr>
          <w:rFonts w:hint="eastAsia" w:ascii="宋体" w:hAnsi="宋体" w:cs="仿宋"/>
          <w:bCs/>
          <w:color w:val="auto"/>
          <w:sz w:val="24"/>
        </w:rPr>
        <w:t>一、质疑供应商基本信息</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质疑供应商：</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地址：邮编：</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联系人：联系电话：</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授权代表：</w:t>
      </w:r>
    </w:p>
    <w:p>
      <w:pPr>
        <w:adjustRightInd w:val="0"/>
        <w:snapToGrid w:val="0"/>
        <w:spacing w:line="360" w:lineRule="auto"/>
        <w:rPr>
          <w:rFonts w:ascii="宋体" w:hAnsi="宋体" w:cs="仿宋"/>
          <w:color w:val="auto"/>
          <w:sz w:val="24"/>
        </w:rPr>
      </w:pPr>
      <w:r>
        <w:rPr>
          <w:rFonts w:hint="eastAsia" w:ascii="宋体" w:hAnsi="宋体" w:cs="仿宋"/>
          <w:color w:val="auto"/>
          <w:sz w:val="24"/>
        </w:rPr>
        <w:t>联系电话：</w:t>
      </w:r>
    </w:p>
    <w:p>
      <w:pPr>
        <w:adjustRightInd w:val="0"/>
        <w:snapToGrid w:val="0"/>
        <w:spacing w:line="360" w:lineRule="auto"/>
        <w:rPr>
          <w:rFonts w:ascii="宋体" w:hAnsi="宋体" w:cs="仿宋"/>
          <w:color w:val="auto"/>
          <w:sz w:val="24"/>
        </w:rPr>
      </w:pPr>
      <w:r>
        <w:rPr>
          <w:rFonts w:hint="eastAsia" w:ascii="宋体" w:hAnsi="宋体" w:cs="仿宋"/>
          <w:color w:val="auto"/>
          <w:sz w:val="24"/>
        </w:rPr>
        <w:t>地址：邮编：</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二、质疑项目基本情况</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质疑项目的名称：</w:t>
      </w:r>
    </w:p>
    <w:p>
      <w:pPr>
        <w:adjustRightInd w:val="0"/>
        <w:snapToGrid w:val="0"/>
        <w:spacing w:line="360" w:lineRule="auto"/>
        <w:rPr>
          <w:rFonts w:ascii="宋体" w:hAnsi="宋体" w:cs="仿宋"/>
          <w:color w:val="auto"/>
          <w:sz w:val="24"/>
        </w:rPr>
      </w:pPr>
      <w:r>
        <w:rPr>
          <w:rFonts w:hint="eastAsia" w:ascii="宋体" w:hAnsi="宋体" w:cs="仿宋"/>
          <w:color w:val="auto"/>
          <w:sz w:val="24"/>
        </w:rPr>
        <w:t>质疑项目的编号：包号：</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采购人名称：</w:t>
      </w:r>
    </w:p>
    <w:p>
      <w:pPr>
        <w:adjustRightInd w:val="0"/>
        <w:snapToGrid w:val="0"/>
        <w:spacing w:line="360" w:lineRule="auto"/>
        <w:rPr>
          <w:rFonts w:ascii="宋体" w:hAnsi="宋体" w:cs="仿宋"/>
          <w:color w:val="auto"/>
          <w:sz w:val="24"/>
        </w:rPr>
      </w:pPr>
      <w:r>
        <w:rPr>
          <w:rFonts w:hint="eastAsia" w:ascii="宋体" w:hAnsi="宋体" w:cs="仿宋"/>
          <w:color w:val="auto"/>
          <w:sz w:val="24"/>
        </w:rPr>
        <w:t>采购文件获取日期：</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三、质疑事项具体内容</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质疑事项1：</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事实依据：</w:t>
      </w: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法律依据：</w:t>
      </w:r>
    </w:p>
    <w:p>
      <w:pPr>
        <w:adjustRightInd w:val="0"/>
        <w:snapToGrid w:val="0"/>
        <w:spacing w:line="360" w:lineRule="auto"/>
        <w:rPr>
          <w:rFonts w:ascii="宋体" w:hAnsi="宋体" w:cs="仿宋"/>
          <w:color w:val="auto"/>
          <w:sz w:val="24"/>
          <w:u w:val="dotted"/>
        </w:rPr>
      </w:pP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质疑事项2</w:t>
      </w:r>
    </w:p>
    <w:p>
      <w:pPr>
        <w:adjustRightInd w:val="0"/>
        <w:snapToGrid w:val="0"/>
        <w:spacing w:line="360" w:lineRule="auto"/>
        <w:rPr>
          <w:rFonts w:ascii="宋体" w:hAnsi="宋体" w:cs="仿宋"/>
          <w:color w:val="auto"/>
          <w:sz w:val="24"/>
        </w:rPr>
      </w:pPr>
      <w:r>
        <w:rPr>
          <w:rFonts w:hint="eastAsia" w:ascii="宋体" w:hAnsi="宋体" w:cs="仿宋"/>
          <w:color w:val="auto"/>
          <w:sz w:val="24"/>
        </w:rPr>
        <w:t>……</w:t>
      </w:r>
    </w:p>
    <w:p>
      <w:pPr>
        <w:adjustRightInd w:val="0"/>
        <w:snapToGrid w:val="0"/>
        <w:spacing w:line="360" w:lineRule="auto"/>
        <w:rPr>
          <w:rFonts w:ascii="宋体" w:hAnsi="宋体" w:cs="仿宋"/>
          <w:bCs/>
          <w:color w:val="auto"/>
          <w:sz w:val="24"/>
        </w:rPr>
      </w:pPr>
      <w:r>
        <w:rPr>
          <w:rFonts w:hint="eastAsia" w:ascii="宋体" w:hAnsi="宋体" w:cs="仿宋"/>
          <w:bCs/>
          <w:color w:val="auto"/>
          <w:sz w:val="24"/>
        </w:rPr>
        <w:t>四、与质疑事项相关的质疑请求</w:t>
      </w:r>
    </w:p>
    <w:p>
      <w:pPr>
        <w:adjustRightInd w:val="0"/>
        <w:snapToGrid w:val="0"/>
        <w:spacing w:line="360" w:lineRule="auto"/>
        <w:rPr>
          <w:rFonts w:ascii="宋体" w:hAnsi="宋体" w:cs="仿宋"/>
          <w:color w:val="auto"/>
          <w:sz w:val="24"/>
          <w:u w:val="dotted"/>
        </w:rPr>
      </w:pPr>
      <w:r>
        <w:rPr>
          <w:rFonts w:hint="eastAsia" w:ascii="宋体" w:hAnsi="宋体" w:cs="仿宋"/>
          <w:color w:val="auto"/>
          <w:sz w:val="24"/>
        </w:rPr>
        <w:t>请求：</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签字(签章)：                   公章：                      </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日期：    </w:t>
      </w: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rPr>
      </w:pPr>
    </w:p>
    <w:p>
      <w:pPr>
        <w:adjustRightInd w:val="0"/>
        <w:snapToGrid w:val="0"/>
        <w:spacing w:line="360" w:lineRule="auto"/>
        <w:rPr>
          <w:rFonts w:ascii="宋体" w:hAnsi="宋体" w:cs="仿宋"/>
          <w:color w:val="auto"/>
          <w:sz w:val="24"/>
        </w:rPr>
      </w:pPr>
    </w:p>
    <w:p>
      <w:pPr>
        <w:spacing w:line="360" w:lineRule="auto"/>
        <w:rPr>
          <w:rFonts w:ascii="宋体" w:hAnsi="宋体"/>
          <w:b/>
          <w:color w:val="auto"/>
          <w:sz w:val="24"/>
        </w:rPr>
      </w:pPr>
      <w:r>
        <w:rPr>
          <w:rFonts w:hint="eastAsia" w:ascii="宋体" w:hAnsi="宋体"/>
          <w:b/>
          <w:color w:val="auto"/>
          <w:sz w:val="24"/>
        </w:rPr>
        <w:t>质疑函制作说明：</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1.供应商提出质疑时，应提交质疑函和必要的证明材料。</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2.质疑供应商若委托代理人进行质疑的，质疑函应按要求列明“授权代表”的有关内容，并在附件中提交由质疑</w:t>
      </w:r>
      <w:r>
        <w:rPr>
          <w:rFonts w:hint="eastAsia" w:ascii="宋体" w:hAnsi="宋体" w:cs="宋体"/>
          <w:color w:val="auto"/>
          <w:kern w:val="0"/>
          <w:szCs w:val="21"/>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4.质疑函的质疑事项应具体、明确，并有必要的事实依据和法律依据。</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5.质疑函的质疑请求应与质疑事项相关。</w:t>
      </w:r>
    </w:p>
    <w:p>
      <w:pPr>
        <w:widowControl/>
        <w:spacing w:line="360" w:lineRule="auto"/>
        <w:ind w:firstLine="420" w:firstLineChars="200"/>
        <w:jc w:val="left"/>
        <w:rPr>
          <w:rFonts w:ascii="宋体" w:hAnsi="宋体"/>
          <w:color w:val="auto"/>
          <w:szCs w:val="21"/>
        </w:rPr>
      </w:pPr>
      <w:r>
        <w:rPr>
          <w:rFonts w:hint="eastAsia" w:ascii="宋体" w:hAnsi="宋体"/>
          <w:color w:val="auto"/>
          <w:szCs w:val="21"/>
        </w:rPr>
        <w:t>6.质疑供应商为自然人的，质疑函应由本人签字；质疑供应商为法人或者其他组织的，</w:t>
      </w:r>
      <w:r>
        <w:rPr>
          <w:rFonts w:ascii="宋体" w:hAnsi="宋体" w:cs="宋体"/>
          <w:color w:val="auto"/>
          <w:kern w:val="0"/>
          <w:szCs w:val="21"/>
        </w:rPr>
        <w:t>质疑函应当</w:t>
      </w:r>
      <w:r>
        <w:rPr>
          <w:rFonts w:hint="eastAsia" w:ascii="宋体" w:hAnsi="宋体" w:cs="宋体"/>
          <w:color w:val="auto"/>
          <w:kern w:val="0"/>
          <w:szCs w:val="21"/>
        </w:rPr>
        <w:t>由</w:t>
      </w:r>
      <w:r>
        <w:rPr>
          <w:rFonts w:ascii="宋体" w:hAnsi="宋体" w:cs="宋体"/>
          <w:color w:val="auto"/>
          <w:kern w:val="0"/>
          <w:szCs w:val="21"/>
        </w:rPr>
        <w:t>质疑</w:t>
      </w:r>
      <w:r>
        <w:rPr>
          <w:rFonts w:hint="eastAsia" w:ascii="宋体" w:hAnsi="宋体" w:cs="宋体"/>
          <w:color w:val="auto"/>
          <w:kern w:val="0"/>
          <w:szCs w:val="21"/>
        </w:rPr>
        <w:t>投标人的</w:t>
      </w:r>
      <w:r>
        <w:rPr>
          <w:rFonts w:ascii="宋体" w:hAnsi="宋体" w:cs="宋体"/>
          <w:color w:val="auto"/>
          <w:kern w:val="0"/>
          <w:szCs w:val="21"/>
        </w:rPr>
        <w:t>法定代表人（负责人）或主要负责人签字并加盖</w:t>
      </w:r>
      <w:r>
        <w:rPr>
          <w:rFonts w:hint="eastAsia" w:ascii="宋体" w:hAnsi="宋体" w:cs="宋体"/>
          <w:color w:val="auto"/>
          <w:kern w:val="0"/>
          <w:szCs w:val="21"/>
        </w:rPr>
        <w:t>单位</w:t>
      </w:r>
      <w:r>
        <w:rPr>
          <w:rFonts w:ascii="宋体" w:hAnsi="宋体" w:cs="宋体"/>
          <w:color w:val="auto"/>
          <w:kern w:val="0"/>
          <w:szCs w:val="21"/>
        </w:rPr>
        <w:t>公章</w:t>
      </w:r>
      <w:r>
        <w:rPr>
          <w:rFonts w:hint="eastAsia" w:ascii="宋体" w:hAnsi="宋体" w:cs="宋体"/>
          <w:color w:val="auto"/>
          <w:kern w:val="0"/>
          <w:szCs w:val="21"/>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rPr>
        <w:t>采购人或</w:t>
      </w:r>
      <w:r>
        <w:rPr>
          <w:rFonts w:hint="eastAsia" w:ascii="宋体" w:hAnsi="宋体" w:cs="宋体"/>
          <w:color w:val="auto"/>
          <w:kern w:val="0"/>
          <w:szCs w:val="21"/>
        </w:rPr>
        <w:t>代理采购机构可不予作答。</w:t>
      </w:r>
    </w:p>
    <w:p>
      <w:pPr>
        <w:widowControl/>
        <w:snapToGrid w:val="0"/>
        <w:spacing w:line="360" w:lineRule="auto"/>
        <w:ind w:right="960"/>
        <w:rPr>
          <w:rFonts w:ascii="宋体" w:hAnsi="宋体"/>
          <w:color w:val="auto"/>
          <w:sz w:val="24"/>
        </w:rPr>
      </w:pPr>
    </w:p>
    <w:p>
      <w:pPr>
        <w:spacing w:line="360" w:lineRule="auto"/>
        <w:jc w:val="left"/>
        <w:rPr>
          <w:rFonts w:ascii="仿宋_GB2312" w:hAnsi="仿宋" w:eastAsia="仿宋_GB2312"/>
          <w:color w:val="auto"/>
          <w:sz w:val="24"/>
        </w:rPr>
      </w:pPr>
    </w:p>
    <w:p>
      <w:pPr>
        <w:rPr>
          <w:rFonts w:ascii="宋体" w:hAnsi="宋体"/>
          <w:b/>
          <w:color w:val="auto"/>
          <w:szCs w:val="21"/>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DejaVuSans">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74</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fldChar w:fldCharType="begin"/>
    </w:r>
    <w:r>
      <w:rPr>
        <w:rStyle w:val="50"/>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74</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7</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74</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50</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68</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57</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74</w:t>
    </w:r>
    <w:r>
      <w:rPr>
        <w:kern w:val="0"/>
        <w:szCs w:val="21"/>
      </w:rPr>
      <w:fldChar w:fldCharType="end"/>
    </w:r>
    <w:r>
      <w:rPr>
        <w:rFonts w:hint="eastAsia"/>
        <w:kern w:val="0"/>
        <w:szCs w:val="21"/>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74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74</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firstLine="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0"/>
  </w:num>
  <w:num w:numId="23">
    <w:abstractNumId w:val="1"/>
  </w:num>
  <w:num w:numId="24">
    <w:abstractNumId w:val="16"/>
  </w:num>
  <w:num w:numId="25">
    <w:abstractNumId w:val="21"/>
  </w:num>
  <w:num w:numId="26">
    <w:abstractNumId w:val="22"/>
  </w:num>
  <w:num w:numId="27">
    <w:abstractNumId w:val="5"/>
  </w:num>
  <w:num w:numId="28">
    <w:abstractNumId w:val="10"/>
  </w:num>
  <w:num w:numId="29">
    <w:abstractNumId w:val="23"/>
    <w:lvlOverride w:ilvl="0">
      <w:startOverride w:val="1"/>
    </w:lvlOverride>
  </w:num>
  <w:num w:numId="30">
    <w:abstractNumId w:val="32"/>
  </w:num>
  <w:num w:numId="31">
    <w:abstractNumId w:val="2"/>
  </w:num>
  <w:num w:numId="32">
    <w:abstractNumId w:val="0"/>
  </w:num>
  <w:num w:numId="33">
    <w:abstractNumId w:val="33"/>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drawingGridHorizontalSpacing w:val="97"/>
  <w:drawingGridVerticalSpacing w:val="190"/>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4959"/>
    <w:rsid w:val="0029515B"/>
    <w:rsid w:val="00296186"/>
    <w:rsid w:val="00296876"/>
    <w:rsid w:val="002A3338"/>
    <w:rsid w:val="002A7806"/>
    <w:rsid w:val="002B17A9"/>
    <w:rsid w:val="002B2330"/>
    <w:rsid w:val="002B3328"/>
    <w:rsid w:val="002C148C"/>
    <w:rsid w:val="002C3110"/>
    <w:rsid w:val="002C35CA"/>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01A"/>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178F"/>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65218"/>
    <w:rsid w:val="0047226C"/>
    <w:rsid w:val="0048094A"/>
    <w:rsid w:val="00482FBA"/>
    <w:rsid w:val="004836B1"/>
    <w:rsid w:val="00484719"/>
    <w:rsid w:val="00487D39"/>
    <w:rsid w:val="00494327"/>
    <w:rsid w:val="00496389"/>
    <w:rsid w:val="004965F4"/>
    <w:rsid w:val="004A0E7E"/>
    <w:rsid w:val="004A3CDF"/>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4A6"/>
    <w:rsid w:val="00626828"/>
    <w:rsid w:val="006309F1"/>
    <w:rsid w:val="006318CD"/>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2EDD"/>
    <w:rsid w:val="007334F3"/>
    <w:rsid w:val="00740850"/>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44570"/>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750"/>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83459"/>
    <w:rsid w:val="00B843BE"/>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64B60"/>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46F62"/>
    <w:rsid w:val="00D50233"/>
    <w:rsid w:val="00D51E1A"/>
    <w:rsid w:val="00D523B9"/>
    <w:rsid w:val="00D56FBD"/>
    <w:rsid w:val="00D57417"/>
    <w:rsid w:val="00D63028"/>
    <w:rsid w:val="00D679F3"/>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656EB"/>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5A52CD4"/>
    <w:rsid w:val="075C6FD7"/>
    <w:rsid w:val="08680198"/>
    <w:rsid w:val="096C7482"/>
    <w:rsid w:val="0B5C2951"/>
    <w:rsid w:val="0BCA4A38"/>
    <w:rsid w:val="0D5079C9"/>
    <w:rsid w:val="0F621C2B"/>
    <w:rsid w:val="0FCA12E5"/>
    <w:rsid w:val="0FEB1C2B"/>
    <w:rsid w:val="1045133B"/>
    <w:rsid w:val="10A00E68"/>
    <w:rsid w:val="135B2C24"/>
    <w:rsid w:val="148372A7"/>
    <w:rsid w:val="14B6708E"/>
    <w:rsid w:val="170C32A1"/>
    <w:rsid w:val="179B7A92"/>
    <w:rsid w:val="19687E48"/>
    <w:rsid w:val="19AB1C63"/>
    <w:rsid w:val="1BD87507"/>
    <w:rsid w:val="1C3660D4"/>
    <w:rsid w:val="1C5D20B1"/>
    <w:rsid w:val="1D9D51F3"/>
    <w:rsid w:val="1E485273"/>
    <w:rsid w:val="1FB21E1D"/>
    <w:rsid w:val="21151D88"/>
    <w:rsid w:val="211B629E"/>
    <w:rsid w:val="21451B35"/>
    <w:rsid w:val="21D733AB"/>
    <w:rsid w:val="22D121EA"/>
    <w:rsid w:val="23B56C14"/>
    <w:rsid w:val="23FA051B"/>
    <w:rsid w:val="241237D2"/>
    <w:rsid w:val="2657371E"/>
    <w:rsid w:val="27740528"/>
    <w:rsid w:val="28E55011"/>
    <w:rsid w:val="29E55A72"/>
    <w:rsid w:val="2A145433"/>
    <w:rsid w:val="2A515672"/>
    <w:rsid w:val="2A6F1145"/>
    <w:rsid w:val="2AB90BF0"/>
    <w:rsid w:val="2AFA0B1C"/>
    <w:rsid w:val="2BDC59D2"/>
    <w:rsid w:val="2CBF6E23"/>
    <w:rsid w:val="2F0D6640"/>
    <w:rsid w:val="2F5C6564"/>
    <w:rsid w:val="312850D7"/>
    <w:rsid w:val="31DD2D14"/>
    <w:rsid w:val="32755858"/>
    <w:rsid w:val="32A801AF"/>
    <w:rsid w:val="333B5506"/>
    <w:rsid w:val="343312FE"/>
    <w:rsid w:val="34875821"/>
    <w:rsid w:val="34E45C3F"/>
    <w:rsid w:val="36897F35"/>
    <w:rsid w:val="372C4753"/>
    <w:rsid w:val="388D4973"/>
    <w:rsid w:val="39145CDA"/>
    <w:rsid w:val="399D36E6"/>
    <w:rsid w:val="3A7061B9"/>
    <w:rsid w:val="3C5B588C"/>
    <w:rsid w:val="3CA43AB9"/>
    <w:rsid w:val="3D8D6DD0"/>
    <w:rsid w:val="3F285800"/>
    <w:rsid w:val="3F5A0AE8"/>
    <w:rsid w:val="40044CA3"/>
    <w:rsid w:val="41654AEA"/>
    <w:rsid w:val="417148FA"/>
    <w:rsid w:val="43CF28BC"/>
    <w:rsid w:val="43EE1A1D"/>
    <w:rsid w:val="458F470E"/>
    <w:rsid w:val="458F65D9"/>
    <w:rsid w:val="45D65FB6"/>
    <w:rsid w:val="468E4E6D"/>
    <w:rsid w:val="47B03BA9"/>
    <w:rsid w:val="47D74267"/>
    <w:rsid w:val="47E96FDE"/>
    <w:rsid w:val="48B13CBF"/>
    <w:rsid w:val="48E93727"/>
    <w:rsid w:val="496248E4"/>
    <w:rsid w:val="4A0B4034"/>
    <w:rsid w:val="4A2E02C6"/>
    <w:rsid w:val="4A720527"/>
    <w:rsid w:val="4B9E1DB9"/>
    <w:rsid w:val="4CE0771A"/>
    <w:rsid w:val="4D842037"/>
    <w:rsid w:val="4D9B2F7F"/>
    <w:rsid w:val="4F3912D1"/>
    <w:rsid w:val="50086B0C"/>
    <w:rsid w:val="508825A3"/>
    <w:rsid w:val="50EA53AA"/>
    <w:rsid w:val="51340212"/>
    <w:rsid w:val="52267A1D"/>
    <w:rsid w:val="52657621"/>
    <w:rsid w:val="54022FBD"/>
    <w:rsid w:val="54810BF1"/>
    <w:rsid w:val="550024AC"/>
    <w:rsid w:val="568D446F"/>
    <w:rsid w:val="570016CA"/>
    <w:rsid w:val="571F1612"/>
    <w:rsid w:val="5768620E"/>
    <w:rsid w:val="589647C1"/>
    <w:rsid w:val="59857735"/>
    <w:rsid w:val="5AAB6294"/>
    <w:rsid w:val="5B6C3F69"/>
    <w:rsid w:val="5C214309"/>
    <w:rsid w:val="5C6D5D5D"/>
    <w:rsid w:val="5C7F0843"/>
    <w:rsid w:val="5D886622"/>
    <w:rsid w:val="5E93433C"/>
    <w:rsid w:val="5FE86B22"/>
    <w:rsid w:val="60AE2B4F"/>
    <w:rsid w:val="6230267F"/>
    <w:rsid w:val="645529A9"/>
    <w:rsid w:val="64862C2B"/>
    <w:rsid w:val="6552795A"/>
    <w:rsid w:val="65D0211A"/>
    <w:rsid w:val="6661072D"/>
    <w:rsid w:val="666422CC"/>
    <w:rsid w:val="674E6A5F"/>
    <w:rsid w:val="6760172C"/>
    <w:rsid w:val="6A8B3BD0"/>
    <w:rsid w:val="6E015061"/>
    <w:rsid w:val="715E7281"/>
    <w:rsid w:val="718B55F7"/>
    <w:rsid w:val="720C6738"/>
    <w:rsid w:val="72394572"/>
    <w:rsid w:val="73110955"/>
    <w:rsid w:val="73532145"/>
    <w:rsid w:val="735A1441"/>
    <w:rsid w:val="73E3171A"/>
    <w:rsid w:val="73EF230B"/>
    <w:rsid w:val="75F265F9"/>
    <w:rsid w:val="77364257"/>
    <w:rsid w:val="774126B5"/>
    <w:rsid w:val="793067AF"/>
    <w:rsid w:val="7A293F92"/>
    <w:rsid w:val="7CCF6CE0"/>
    <w:rsid w:val="7CD04806"/>
    <w:rsid w:val="7D1B0177"/>
    <w:rsid w:val="7D8C69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3"/>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6"/>
    <w:qFormat/>
    <w:uiPriority w:val="0"/>
    <w:pPr>
      <w:keepNext/>
      <w:keepLines/>
      <w:spacing w:before="280" w:after="290" w:line="376" w:lineRule="auto"/>
      <w:outlineLvl w:val="4"/>
    </w:pPr>
    <w:rPr>
      <w:b/>
      <w:sz w:val="28"/>
      <w:szCs w:val="20"/>
    </w:rPr>
  </w:style>
  <w:style w:type="paragraph" w:styleId="9">
    <w:name w:val="heading 6"/>
    <w:basedOn w:val="1"/>
    <w:next w:val="5"/>
    <w:link w:val="91"/>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1"/>
    <w:qFormat/>
    <w:uiPriority w:val="0"/>
    <w:pPr>
      <w:keepNext/>
      <w:keepLines/>
      <w:spacing w:before="240" w:after="64" w:line="320" w:lineRule="auto"/>
      <w:outlineLvl w:val="6"/>
    </w:pPr>
    <w:rPr>
      <w:b/>
      <w:sz w:val="24"/>
      <w:szCs w:val="20"/>
    </w:rPr>
  </w:style>
  <w:style w:type="paragraph" w:styleId="11">
    <w:name w:val="heading 8"/>
    <w:basedOn w:val="1"/>
    <w:next w:val="5"/>
    <w:link w:val="98"/>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6"/>
    <w:qFormat/>
    <w:uiPriority w:val="0"/>
    <w:pPr>
      <w:spacing w:after="120"/>
    </w:pPr>
  </w:style>
  <w:style w:type="paragraph" w:styleId="5">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1"/>
    <w:qFormat/>
    <w:uiPriority w:val="0"/>
    <w:pPr>
      <w:spacing w:line="360" w:lineRule="auto"/>
      <w:jc w:val="left"/>
    </w:pPr>
    <w:rPr>
      <w:sz w:val="24"/>
    </w:rPr>
  </w:style>
  <w:style w:type="paragraph" w:styleId="18">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9"/>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4"/>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3"/>
    <w:qFormat/>
    <w:uiPriority w:val="0"/>
    <w:pPr>
      <w:numPr>
        <w:ilvl w:val="0"/>
        <w:numId w:val="4"/>
      </w:numPr>
      <w:ind w:left="100" w:leftChars="2500"/>
    </w:pPr>
  </w:style>
  <w:style w:type="paragraph" w:styleId="26">
    <w:name w:val="Body Text Indent 2"/>
    <w:basedOn w:val="1"/>
    <w:link w:val="71"/>
    <w:qFormat/>
    <w:uiPriority w:val="0"/>
    <w:pPr>
      <w:spacing w:line="480" w:lineRule="exact"/>
      <w:ind w:left="810" w:firstLine="675"/>
    </w:pPr>
    <w:rPr>
      <w:rFonts w:eastAsia="仿宋_GB2312"/>
      <w:sz w:val="30"/>
      <w:szCs w:val="20"/>
    </w:rPr>
  </w:style>
  <w:style w:type="paragraph" w:styleId="27">
    <w:name w:val="Balloon Text"/>
    <w:basedOn w:val="1"/>
    <w:link w:val="86"/>
    <w:qFormat/>
    <w:uiPriority w:val="0"/>
    <w:rPr>
      <w:sz w:val="18"/>
      <w:szCs w:val="18"/>
    </w:rPr>
  </w:style>
  <w:style w:type="paragraph" w:styleId="28">
    <w:name w:val="footer"/>
    <w:basedOn w:val="1"/>
    <w:link w:val="132"/>
    <w:qFormat/>
    <w:uiPriority w:val="0"/>
    <w:pPr>
      <w:tabs>
        <w:tab w:val="center" w:pos="4153"/>
        <w:tab w:val="right" w:pos="8306"/>
      </w:tabs>
      <w:snapToGrid w:val="0"/>
      <w:jc w:val="left"/>
    </w:pPr>
    <w:rPr>
      <w:sz w:val="18"/>
      <w:szCs w:val="20"/>
    </w:rPr>
  </w:style>
  <w:style w:type="paragraph" w:styleId="29">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1"/>
    <w:qFormat/>
    <w:uiPriority w:val="0"/>
    <w:pPr>
      <w:spacing w:line="360" w:lineRule="auto"/>
    </w:pPr>
    <w:rPr>
      <w:rFonts w:ascii="仿宋_GB2312" w:eastAsia="仿宋_GB2312"/>
      <w:sz w:val="32"/>
    </w:rPr>
  </w:style>
  <w:style w:type="paragraph" w:styleId="40">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5"/>
    <w:qFormat/>
    <w:uiPriority w:val="0"/>
    <w:pPr>
      <w:spacing w:before="240" w:after="60"/>
      <w:jc w:val="center"/>
      <w:outlineLvl w:val="0"/>
    </w:pPr>
    <w:rPr>
      <w:rFonts w:ascii="Cambria" w:hAnsi="Cambria"/>
      <w:b/>
      <w:bCs/>
      <w:sz w:val="32"/>
      <w:szCs w:val="32"/>
    </w:rPr>
  </w:style>
  <w:style w:type="paragraph" w:styleId="44">
    <w:name w:val="Body Text First Indent"/>
    <w:basedOn w:val="2"/>
    <w:link w:val="133"/>
    <w:qFormat/>
    <w:uiPriority w:val="0"/>
    <w:pPr>
      <w:ind w:firstLine="100" w:firstLineChars="100"/>
    </w:pPr>
    <w:rPr>
      <w:rFonts w:ascii="Calibri" w:hAnsi="Calibri"/>
      <w:szCs w:val="22"/>
    </w:rPr>
  </w:style>
  <w:style w:type="paragraph" w:styleId="45">
    <w:name w:val="Body Text First Indent 2"/>
    <w:basedOn w:val="18"/>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7">
    <w:name w:val="Table Grid"/>
    <w:basedOn w:val="4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Char"/>
    <w:link w:val="45"/>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Char"/>
    <w:link w:val="25"/>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5"/>
    <w:link w:val="68"/>
    <w:qFormat/>
    <w:uiPriority w:val="0"/>
  </w:style>
  <w:style w:type="character" w:customStyle="1" w:styleId="70">
    <w:name w:val="style71"/>
    <w:qFormat/>
    <w:uiPriority w:val="0"/>
    <w:rPr>
      <w:sz w:val="21"/>
      <w:szCs w:val="21"/>
    </w:rPr>
  </w:style>
  <w:style w:type="character" w:customStyle="1" w:styleId="71">
    <w:name w:val="正文文本缩进 2 Char"/>
    <w:link w:val="26"/>
    <w:qFormat/>
    <w:uiPriority w:val="0"/>
    <w:rPr>
      <w:rFonts w:eastAsia="仿宋_GB2312"/>
      <w:kern w:val="2"/>
      <w:sz w:val="30"/>
      <w:lang w:val="en-US" w:eastAsia="zh-CN" w:bidi="ar-SA"/>
    </w:rPr>
  </w:style>
  <w:style w:type="character" w:customStyle="1" w:styleId="72">
    <w:name w:val="正文文本缩进 3 Char"/>
    <w:link w:val="36"/>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Char"/>
    <w:link w:val="23"/>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Char"/>
    <w:link w:val="2"/>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Char"/>
    <w:link w:val="27"/>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Char"/>
    <w:link w:val="12"/>
    <w:qFormat/>
    <w:uiPriority w:val="0"/>
    <w:rPr>
      <w:rFonts w:ascii="Arial" w:hAnsi="Arial" w:eastAsia="黑体"/>
      <w:kern w:val="2"/>
      <w:sz w:val="21"/>
      <w:lang w:val="en-US" w:eastAsia="zh-CN" w:bidi="ar-SA"/>
    </w:rPr>
  </w:style>
  <w:style w:type="character" w:customStyle="1" w:styleId="91">
    <w:name w:val="标题 6 Char"/>
    <w:link w:val="9"/>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Char"/>
    <w:link w:val="7"/>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Char"/>
    <w:link w:val="11"/>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Char"/>
    <w:link w:val="39"/>
    <w:qFormat/>
    <w:uiPriority w:val="0"/>
    <w:rPr>
      <w:rFonts w:ascii="仿宋_GB2312" w:eastAsia="仿宋_GB2312"/>
      <w:kern w:val="2"/>
      <w:sz w:val="32"/>
      <w:szCs w:val="24"/>
      <w:lang w:val="en-US" w:eastAsia="zh-CN" w:bidi="ar-SA"/>
    </w:rPr>
  </w:style>
  <w:style w:type="character" w:customStyle="1" w:styleId="102">
    <w:name w:val="标题 2 Char"/>
    <w:link w:val="4"/>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Char"/>
    <w:link w:val="8"/>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Char"/>
    <w:link w:val="10"/>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Char"/>
    <w:link w:val="5"/>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Char"/>
    <w:link w:val="6"/>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8"/>
    <w:qFormat/>
    <w:uiPriority w:val="0"/>
    <w:rPr>
      <w:rFonts w:ascii="仿宋_GB2312" w:eastAsia="仿宋_GB2312"/>
      <w:sz w:val="28"/>
      <w:lang w:val="en-US" w:eastAsia="zh-CN" w:bidi="ar-SA"/>
    </w:rPr>
  </w:style>
  <w:style w:type="character" w:customStyle="1" w:styleId="124">
    <w:name w:val="页眉 Char"/>
    <w:link w:val="29"/>
    <w:qFormat/>
    <w:uiPriority w:val="99"/>
    <w:rPr>
      <w:rFonts w:eastAsia="宋体"/>
      <w:kern w:val="2"/>
      <w:sz w:val="18"/>
      <w:lang w:val="en-US" w:eastAsia="zh-CN" w:bidi="ar-SA"/>
    </w:rPr>
  </w:style>
  <w:style w:type="character" w:customStyle="1" w:styleId="125">
    <w:name w:val="标题 Char"/>
    <w:link w:val="43"/>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Char"/>
    <w:link w:val="20"/>
    <w:qFormat/>
    <w:uiPriority w:val="0"/>
    <w:rPr>
      <w:i/>
      <w:kern w:val="2"/>
      <w:sz w:val="21"/>
      <w:szCs w:val="24"/>
    </w:rPr>
  </w:style>
  <w:style w:type="character" w:customStyle="1" w:styleId="130">
    <w:name w:val="标题 1 Char"/>
    <w:link w:val="3"/>
    <w:qFormat/>
    <w:uiPriority w:val="0"/>
    <w:rPr>
      <w:rFonts w:ascii="黑体" w:eastAsia="黑体"/>
      <w:bCs/>
      <w:kern w:val="44"/>
      <w:sz w:val="24"/>
      <w:szCs w:val="24"/>
    </w:rPr>
  </w:style>
  <w:style w:type="character" w:customStyle="1" w:styleId="131">
    <w:name w:val="批注文字 Char"/>
    <w:link w:val="17"/>
    <w:qFormat/>
    <w:uiPriority w:val="0"/>
    <w:rPr>
      <w:kern w:val="2"/>
      <w:sz w:val="24"/>
      <w:szCs w:val="24"/>
    </w:rPr>
  </w:style>
  <w:style w:type="character" w:customStyle="1" w:styleId="132">
    <w:name w:val="页脚 Char"/>
    <w:link w:val="28"/>
    <w:qFormat/>
    <w:uiPriority w:val="0"/>
    <w:rPr>
      <w:rFonts w:eastAsia="宋体"/>
      <w:kern w:val="2"/>
      <w:sz w:val="18"/>
      <w:lang w:val="en-US" w:eastAsia="zh-CN" w:bidi="ar-SA"/>
    </w:rPr>
  </w:style>
  <w:style w:type="character" w:customStyle="1" w:styleId="133">
    <w:name w:val="正文首行缩进 Char"/>
    <w:link w:val="44"/>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5"/>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0"/>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4"/>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8"/>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7"/>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正文缩进 Char3"/>
    <w:qFormat/>
    <w:uiPriority w:val="0"/>
    <w:rPr>
      <w:rFonts w:ascii="宋体" w:eastAsia="宋体"/>
      <w:sz w:val="34"/>
      <w:lang w:val="en-US" w:eastAsia="zh-CN" w:bidi="ar-SA"/>
    </w:rPr>
  </w:style>
  <w:style w:type="paragraph" w:customStyle="1" w:styleId="30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07">
    <w:name w:val="表正文"/>
    <w:basedOn w:val="1"/>
    <w:qFormat/>
    <w:uiPriority w:val="0"/>
    <w:pPr>
      <w:jc w:val="left"/>
    </w:pPr>
    <w:rPr>
      <w:rFonts w:ascii="Arial" w:hAnsi="Arial"/>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YJLK</Company>
  <Pages>74</Pages>
  <Words>38537</Words>
  <Characters>42132</Characters>
  <Lines>357</Lines>
  <Paragraphs>100</Paragraphs>
  <TotalTime>2</TotalTime>
  <ScaleCrop>false</ScaleCrop>
  <LinksUpToDate>false</LinksUpToDate>
  <CharactersWithSpaces>43840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2022-06-10T07:35:00Z</cp:lastPrinted>
  <dcterms:modified xsi:type="dcterms:W3CDTF">2022-06-10T09:59:59Z</dcterms:modified>
  <dc:title>货物公开招标</dc:title>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E0B6C10659A44F5C81DAC4B79408920D</vt:lpwstr>
  </property>
</Properties>
</file>